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caps w:val="false"/>
          <w:smallCaps w:val="false"/>
        </w:rPr>
      </w:pPr>
      <w:bookmarkStart w:id="0" w:name="apvo-10q_20210630.htm"/>
      <w:bookmarkStart w:id="1" w:name="ksapvo10q_20210630"/>
      <w:bookmarkEnd w:id="0"/>
      <w:bookmarkEnd w:id="1"/>
      <w:r>
        <w:rPr>
          <w:caps w:val="false"/>
          <w:smallCaps w:val="false"/>
        </w:rPr>
        <w:t> </w:t>
      </w:r>
    </w:p>
    <w:p>
      <w:pPr>
        <w:pStyle w:val="TextBody"/>
        <w:pBdr>
          <w:bottom w:val="double" w:sz="6" w:space="1" w:color="000000"/>
        </w:pBdr>
        <w:spacing w:before="0" w:after="0"/>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WASHINGTON, DC 20549</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8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(Mark One)</w:t>
      </w:r>
    </w:p>
    <w:p>
      <w:pPr>
        <w:pStyle w:val="TextBody"/>
        <w:spacing w:before="0" w:after="0"/>
        <w:jc w:val="both"/>
        <w:rPr/>
      </w:pPr>
      <w:r>
        <w:rPr/>
        <w:t> </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vAlign w:val="center"/>
          </w:tcPr>
          <w:p>
            <w:pPr>
              <w:pStyle w:val="TableContents"/>
              <w:spacing w:before="0" w:after="283"/>
              <w:rPr>
                <w:sz w:val="4"/>
                <w:szCs w:val="4"/>
              </w:rPr>
            </w:pPr>
            <w:r>
              <w:rPr>
                <w:sz w:val="4"/>
                <w:szCs w:val="4"/>
              </w:rPr>
            </w:r>
          </w:p>
        </w:tc>
        <w:tc>
          <w:tcPr>
            <w:tcW w:w="987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9875" w:type="dxa"/>
            <w:tcBorders/>
            <w:shd w:fill="auto" w:val="clear"/>
          </w:tcPr>
          <w:p>
            <w:pPr>
              <w:pStyle w:val="TableContents"/>
              <w:spacing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0" w:after="0"/>
        <w:jc w:val="both"/>
        <w:rPr/>
      </w:pPr>
      <w:r>
        <w:rPr/>
        <w:t> </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June 30, 2021</w:t>
      </w:r>
    </w:p>
    <w:p>
      <w:pPr>
        <w:pStyle w:val="TextBody"/>
        <w:spacing w:before="80" w:after="8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p>
      <w:pPr>
        <w:pStyle w:val="TextBody"/>
        <w:spacing w:before="0" w:after="0"/>
        <w:jc w:val="center"/>
        <w:rPr/>
      </w:pPr>
      <w:r>
        <w:rPr/>
        <w:t> </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vAlign w:val="center"/>
          </w:tcPr>
          <w:p>
            <w:pPr>
              <w:pStyle w:val="TableContents"/>
              <w:spacing w:before="0" w:after="283"/>
              <w:rPr>
                <w:sz w:val="4"/>
                <w:szCs w:val="4"/>
              </w:rPr>
            </w:pPr>
            <w:r>
              <w:rPr>
                <w:sz w:val="4"/>
                <w:szCs w:val="4"/>
              </w:rPr>
            </w:r>
          </w:p>
        </w:tc>
        <w:tc>
          <w:tcPr>
            <w:tcW w:w="986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tcPr>
          <w:p>
            <w:pPr>
              <w:pStyle w:val="TableContents"/>
              <w:spacing w:before="0" w:after="0"/>
              <w:ind w:left="0" w:right="0" w:hanging="0"/>
              <w:jc w:val="both"/>
              <w:rPr>
                <w:caps w:val="false"/>
                <w:smallCaps w:val="false"/>
              </w:rPr>
            </w:pPr>
            <w:r>
              <w:rPr>
                <w:caps w:val="false"/>
                <w:smallCaps w:val="false"/>
              </w:rPr>
              <w:t>☐</w:t>
            </w:r>
          </w:p>
        </w:tc>
        <w:tc>
          <w:tcPr>
            <w:tcW w:w="9860" w:type="dxa"/>
            <w:tcBorders/>
            <w:shd w:fill="auto" w:val="clear"/>
          </w:tcPr>
          <w:p>
            <w:pPr>
              <w:pStyle w:val="TableContents"/>
              <w:spacing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0" w:after="0"/>
        <w:rPr/>
      </w:pPr>
      <w:r>
        <w:rPr/>
        <w:t> </w:t>
      </w:r>
    </w:p>
    <w:p>
      <w:pPr>
        <w:pStyle w:val="TextBody"/>
        <w:spacing w:lineRule="atLeast" w:line="220"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For the transition </w:t>
      </w:r>
      <w:r>
        <w:rPr>
          <w:rFonts w:ascii="Times New Roman" w:hAnsi="Times New Roman"/>
          <w:b/>
          <w:i w:val="false"/>
          <w:caps w:val="false"/>
          <w:smallCaps w:val="false"/>
          <w:spacing w:val="-1"/>
          <w:sz w:val="20"/>
        </w:rPr>
        <w:t>p</w:t>
      </w:r>
      <w:r>
        <w:rPr>
          <w:rFonts w:ascii="Times New Roman" w:hAnsi="Times New Roman"/>
          <w:b/>
          <w:i w:val="false"/>
          <w:caps w:val="false"/>
          <w:smallCaps w:val="false"/>
          <w:sz w:val="20"/>
        </w:rPr>
        <w:t>eriod</w:t>
      </w:r>
      <w:r>
        <w:rPr>
          <w:rFonts w:ascii="Times New Roman" w:hAnsi="Times New Roman"/>
          <w:b/>
          <w:i w:val="false"/>
          <w:caps w:val="false"/>
          <w:smallCaps w:val="false"/>
          <w:spacing w:val="-1"/>
          <w:sz w:val="20"/>
        </w:rPr>
        <w:t xml:space="preserve"> </w:t>
      </w:r>
      <w:r>
        <w:rPr>
          <w:rFonts w:ascii="Times New Roman" w:hAnsi="Times New Roman"/>
          <w:b/>
          <w:i w:val="false"/>
          <w:caps w:val="false"/>
          <w:smallCaps w:val="false"/>
          <w:sz w:val="20"/>
        </w:rPr>
        <w:t>fro</w:t>
      </w:r>
      <w:r>
        <w:rPr>
          <w:rFonts w:ascii="Times New Roman" w:hAnsi="Times New Roman"/>
          <w:b/>
          <w:i w:val="false"/>
          <w:caps w:val="false"/>
          <w:smallCaps w:val="false"/>
          <w:spacing w:val="-6"/>
          <w:sz w:val="20"/>
        </w:rPr>
        <w:t>m</w:t>
      </w:r>
      <w:r>
        <w:rPr>
          <w:rFonts w:ascii="Times New Roman" w:hAnsi="Times New Roman"/>
          <w:b/>
          <w:i w:val="false"/>
          <w:caps w:val="false"/>
          <w:smallCaps w:val="false"/>
          <w:sz w:val="20"/>
          <w:u w:val="single"/>
        </w:rPr>
        <w:t>               </w:t>
      </w:r>
      <w:r>
        <w:rPr>
          <w:rFonts w:ascii="Times New Roman" w:hAnsi="Times New Roman"/>
          <w:b/>
          <w:i w:val="false"/>
          <w:caps w:val="false"/>
          <w:smallCaps w:val="false"/>
          <w:spacing w:val="-1"/>
          <w:sz w:val="20"/>
        </w:rPr>
        <w:t>t</w:t>
      </w:r>
      <w:r>
        <w:rPr>
          <w:rFonts w:ascii="Times New Roman" w:hAnsi="Times New Roman"/>
          <w:b/>
          <w:i w:val="false"/>
          <w:caps w:val="false"/>
          <w:smallCaps w:val="false"/>
          <w:sz w:val="20"/>
        </w:rPr>
        <w:t>o</w:t>
      </w:r>
      <w:r>
        <w:rPr>
          <w:rFonts w:ascii="Times New Roman" w:hAnsi="Times New Roman"/>
          <w:b/>
          <w:i w:val="false"/>
          <w:caps w:val="false"/>
          <w:smallCaps w:val="false"/>
          <w:sz w:val="20"/>
          <w:u w:val="single"/>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001-37746</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48"/>
        </w:rPr>
      </w:pPr>
      <w:r>
        <w:rPr>
          <w:rFonts w:ascii="Times New Roman" w:hAnsi="Times New Roman"/>
          <w:b/>
          <w:i w:val="false"/>
          <w:caps w:val="false"/>
          <w:smallCaps w:val="false"/>
          <w:sz w:val="48"/>
        </w:rPr>
        <w:t>APTEVO THERAPEUTICS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180" w:type="dxa"/>
        <w:jc w:val="left"/>
        <w:tblInd w:w="0" w:type="dxa"/>
        <w:tblCellMar>
          <w:top w:w="0" w:type="dxa"/>
          <w:left w:w="0" w:type="dxa"/>
          <w:bottom w:w="0" w:type="dxa"/>
          <w:right w:w="0" w:type="dxa"/>
        </w:tblCellMar>
      </w:tblPr>
      <w:tblGrid>
        <w:gridCol w:w="2825"/>
        <w:gridCol w:w="1355"/>
      </w:tblGrid>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81-1567056</w:t>
            </w:r>
          </w:p>
        </w:tc>
      </w:tr>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(State or other jurisdiction of</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incorporation or organization)</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(I.R.S. Employer</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Identification No.)</w:t>
            </w:r>
          </w:p>
        </w:tc>
      </w:tr>
      <w:tr>
        <w:trPr/>
        <w:tc>
          <w:tcPr>
            <w:tcW w:w="2825" w:type="dxa"/>
            <w:tcBorders/>
            <w:shd w:fill="auto" w:val="clear"/>
            <w:vAlign w:val="bottom"/>
          </w:tcPr>
          <w:p>
            <w:pPr>
              <w:pStyle w:val="TableContents"/>
              <w:spacing w:before="0" w:after="0"/>
              <w:ind w:left="0" w:right="0" w:hanging="0"/>
              <w:jc w:val="center"/>
              <w:rPr/>
            </w:pPr>
            <w:r>
              <w:rPr/>
              <w:t> </w:t>
            </w:r>
          </w:p>
        </w:tc>
        <w:tc>
          <w:tcPr>
            <w:tcW w:w="1355" w:type="dxa"/>
            <w:tcBorders/>
            <w:shd w:fill="auto" w:val="clear"/>
            <w:vAlign w:val="bottom"/>
          </w:tcPr>
          <w:p>
            <w:pPr>
              <w:pStyle w:val="TableContents"/>
              <w:spacing w:before="0" w:after="0"/>
              <w:ind w:left="0" w:right="0" w:hanging="0"/>
              <w:jc w:val="center"/>
              <w:rPr/>
            </w:pPr>
            <w:r>
              <w:rPr/>
              <w:t> </w:t>
            </w:r>
          </w:p>
        </w:tc>
      </w:tr>
      <w:tr>
        <w:trPr/>
        <w:tc>
          <w:tcPr>
            <w:tcW w:w="2825" w:type="dxa"/>
            <w:tcBorders/>
            <w:shd w:fill="auto" w:val="clear"/>
            <w:vAlign w:val="bottom"/>
          </w:tcPr>
          <w:p>
            <w:pPr>
              <w:pStyle w:val="TableContents"/>
              <w:spacing w:lineRule="auto" w:line="288"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2401 4th Avenue, Suite 1050</w:t>
            </w:r>
          </w:p>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Seattle, Washington</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98121</w:t>
            </w:r>
          </w:p>
        </w:tc>
      </w:tr>
      <w:tr>
        <w:trPr/>
        <w:tc>
          <w:tcPr>
            <w:tcW w:w="282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(Address of principal executive offices)</w:t>
            </w:r>
          </w:p>
        </w:tc>
        <w:tc>
          <w:tcPr>
            <w:tcW w:w="135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Registrant’s telephone number, including area code: (206) 838-0500</w:t>
      </w:r>
    </w:p>
    <w:p>
      <w:pPr>
        <w:pStyle w:val="TextBody"/>
        <w:pBdr>
          <w:bottom w:val="single" w:sz="6" w:space="1" w:color="000000"/>
        </w:pBdr>
        <w:spacing w:before="0" w:after="0"/>
        <w:jc w:val="center"/>
        <w:rPr/>
      </w:pPr>
      <w:r>
        <w:rPr/>
        <w:t> </w:t>
      </w:r>
    </w:p>
    <w:p>
      <w:pPr>
        <w:pStyle w:val="TextBody"/>
        <w:spacing w:before="80" w:after="8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registered pursuant to Section 12(b) of the Act:</w:t>
      </w:r>
    </w:p>
    <w:tbl>
      <w:tblPr>
        <w:tblW w:w="8880" w:type="dxa"/>
        <w:jc w:val="left"/>
        <w:tblInd w:w="0" w:type="dxa"/>
        <w:tblCellMar>
          <w:top w:w="0" w:type="dxa"/>
          <w:left w:w="0" w:type="dxa"/>
          <w:bottom w:w="0" w:type="dxa"/>
          <w:right w:w="0" w:type="dxa"/>
        </w:tblCellMar>
      </w:tblPr>
      <w:tblGrid>
        <w:gridCol w:w="3665"/>
        <w:gridCol w:w="60"/>
        <w:gridCol w:w="1685"/>
        <w:gridCol w:w="60"/>
        <w:gridCol w:w="3410"/>
      </w:tblGrid>
      <w:tr>
        <w:trPr/>
        <w:tc>
          <w:tcPr>
            <w:tcW w:w="366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Title of Each Class</w:t>
            </w:r>
          </w:p>
        </w:tc>
        <w:tc>
          <w:tcPr>
            <w:tcW w:w="60" w:type="dxa"/>
            <w:tcBorders/>
            <w:shd w:fill="auto" w:val="clear"/>
          </w:tcPr>
          <w:p>
            <w:pPr>
              <w:pStyle w:val="TableContents"/>
              <w:spacing w:before="0" w:after="0"/>
              <w:ind w:left="0" w:right="0" w:hanging="0"/>
              <w:jc w:val="center"/>
              <w:rPr/>
            </w:pPr>
            <w:r>
              <w:rPr/>
              <w:t> </w:t>
            </w:r>
          </w:p>
        </w:tc>
        <w:tc>
          <w:tcPr>
            <w:tcW w:w="168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Trading Symbols(s)</w:t>
            </w:r>
          </w:p>
        </w:tc>
        <w:tc>
          <w:tcPr>
            <w:tcW w:w="60" w:type="dxa"/>
            <w:tcBorders/>
            <w:shd w:fill="auto" w:val="clear"/>
          </w:tcPr>
          <w:p>
            <w:pPr>
              <w:pStyle w:val="TableContents"/>
              <w:spacing w:before="0" w:after="0"/>
              <w:ind w:left="0" w:right="0" w:hanging="0"/>
              <w:jc w:val="center"/>
              <w:rPr/>
            </w:pPr>
            <w:r>
              <w:rPr/>
              <w:t> </w:t>
            </w:r>
          </w:p>
        </w:tc>
        <w:tc>
          <w:tcPr>
            <w:tcW w:w="341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Name of Exchange on Which Registered</w:t>
            </w:r>
          </w:p>
        </w:tc>
      </w:tr>
      <w:tr>
        <w:trPr/>
        <w:tc>
          <w:tcPr>
            <w:tcW w:w="3665"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Common Stock, $0.001 par value per share</w:t>
            </w:r>
          </w:p>
        </w:tc>
        <w:tc>
          <w:tcPr>
            <w:tcW w:w="60" w:type="dxa"/>
            <w:tcBorders/>
            <w:shd w:fill="auto" w:val="clear"/>
          </w:tcPr>
          <w:p>
            <w:pPr>
              <w:pStyle w:val="TableContents"/>
              <w:spacing w:before="0" w:after="0"/>
              <w:ind w:left="0" w:right="0" w:hanging="0"/>
              <w:jc w:val="center"/>
              <w:rPr/>
            </w:pPr>
            <w:r>
              <w:rPr/>
              <w:t> </w:t>
            </w:r>
          </w:p>
        </w:tc>
        <w:tc>
          <w:tcPr>
            <w:tcW w:w="1685"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APVO</w:t>
            </w:r>
          </w:p>
        </w:tc>
        <w:tc>
          <w:tcPr>
            <w:tcW w:w="60" w:type="dxa"/>
            <w:tcBorders/>
            <w:shd w:fill="auto" w:val="clear"/>
          </w:tcPr>
          <w:p>
            <w:pPr>
              <w:pStyle w:val="TableContents"/>
              <w:spacing w:before="0" w:after="0"/>
              <w:ind w:left="0" w:right="0" w:hanging="0"/>
              <w:jc w:val="center"/>
              <w:rPr/>
            </w:pPr>
            <w:r>
              <w:rPr/>
              <w:t> </w:t>
            </w:r>
          </w:p>
        </w:tc>
        <w:tc>
          <w:tcPr>
            <w:tcW w:w="3410" w:type="dxa"/>
            <w:tcBorders/>
            <w:shd w:fill="auto" w:val="clear"/>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The Nasdaq Stock Market LLC</w:t>
              <w:br/>
              <w:t>(The Nasdaq Capital Market)</w:t>
            </w:r>
          </w:p>
        </w:tc>
      </w:tr>
    </w:tbl>
    <w:p>
      <w:pPr>
        <w:pStyle w:val="TextBody"/>
        <w:spacing w:before="8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8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805" w:type="dxa"/>
        <w:jc w:val="left"/>
        <w:tblInd w:w="0" w:type="dxa"/>
        <w:tblCellMar>
          <w:top w:w="0" w:type="dxa"/>
          <w:left w:w="0" w:type="dxa"/>
          <w:bottom w:w="0" w:type="dxa"/>
          <w:right w:w="0" w:type="dxa"/>
        </w:tblCellMar>
      </w:tblPr>
      <w:tblGrid>
        <w:gridCol w:w="1820"/>
        <w:gridCol w:w="60"/>
        <w:gridCol w:w="290"/>
        <w:gridCol w:w="120"/>
        <w:gridCol w:w="2225"/>
        <w:gridCol w:w="60"/>
        <w:gridCol w:w="230"/>
      </w:tblGrid>
      <w:tr>
        <w:trPr/>
        <w:tc>
          <w:tcPr>
            <w:tcW w:w="18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82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90" w:type="dxa"/>
            <w:tcBorders/>
            <w:shd w:fill="auto" w:val="clear"/>
            <w:vAlign w:val="bottom"/>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82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820"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90" w:type="dxa"/>
            <w:tcBorders/>
            <w:shd w:fill="auto" w:val="clear"/>
            <w:vAlign w:val="bottom"/>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p>
            <w:pPr>
              <w:pStyle w:val="TableContents"/>
              <w:spacing w:before="0" w:after="0"/>
              <w:ind w:left="0" w:right="0" w:hanging="0"/>
              <w:rPr/>
            </w:pPr>
            <w:r>
              <w:rPr/>
              <w:t> </w:t>
            </w:r>
          </w:p>
        </w:tc>
        <w:tc>
          <w:tcPr>
            <w:tcW w:w="22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p>
            <w:pPr>
              <w:pStyle w:val="TableContents"/>
              <w:spacing w:before="0" w:after="0"/>
              <w:ind w:left="0" w:right="0" w:hanging="0"/>
              <w:rPr>
                <w:caps w:val="false"/>
                <w:smallCaps w:val="false"/>
              </w:rPr>
            </w:pPr>
            <w:r>
              <w:rPr>
                <w:caps w:val="false"/>
                <w:smallCaps w:val="false"/>
              </w:rPr>
              <w:t>☒</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shell company (as defined in Rule 12b-2 of the Exchange Act).    Yes  ☐    No  ☒</w:t>
      </w:r>
    </w:p>
    <w:p>
      <w:pPr>
        <w:pStyle w:val="TextBody"/>
        <w:spacing w:before="8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August 11, 2021, the number of shares of the registrant’s common stock outstanding was 4,893,991.</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8445" w:type="dxa"/>
        <w:jc w:val="left"/>
        <w:tblInd w:w="0" w:type="dxa"/>
        <w:tblCellMar>
          <w:top w:w="0" w:type="dxa"/>
          <w:left w:w="0" w:type="dxa"/>
          <w:bottom w:w="0" w:type="dxa"/>
          <w:right w:w="0" w:type="dxa"/>
        </w:tblCellMar>
      </w:tblPr>
      <w:tblGrid>
        <w:gridCol w:w="785"/>
        <w:gridCol w:w="7280"/>
        <w:gridCol w:w="380"/>
      </w:tblGrid>
      <w:tr>
        <w:trPr/>
        <w:tc>
          <w:tcPr>
            <w:tcW w:w="785" w:type="dxa"/>
            <w:tcBorders/>
            <w:shd w:fill="FFFFFF" w:val="clear"/>
            <w:vAlign w:val="bottom"/>
          </w:tcPr>
          <w:p>
            <w:pPr>
              <w:pStyle w:val="TableContents"/>
              <w:spacing w:before="0" w:after="0"/>
              <w:ind w:left="0" w:right="0" w:hanging="0"/>
              <w:jc w:val="center"/>
              <w:rPr/>
            </w:pPr>
            <w:r>
              <w:rPr/>
              <w:t> </w:t>
            </w:r>
          </w:p>
        </w:tc>
        <w:tc>
          <w:tcPr>
            <w:tcW w:w="7280" w:type="dxa"/>
            <w:tcBorders/>
            <w:shd w:fill="FFFFFF" w:val="clear"/>
            <w:vAlign w:val="bottom"/>
          </w:tcPr>
          <w:p>
            <w:pPr>
              <w:pStyle w:val="TableContents"/>
              <w:spacing w:before="0" w:after="0"/>
              <w:ind w:left="0" w:right="0" w:hanging="0"/>
              <w:jc w:val="center"/>
              <w:rPr/>
            </w:pPr>
            <w:r>
              <w:rPr/>
              <w:t> </w:t>
            </w:r>
          </w:p>
        </w:tc>
        <w:tc>
          <w:tcPr>
            <w:tcW w:w="380"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78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w:t>
            </w:r>
          </w:p>
        </w:tc>
        <w:tc>
          <w:tcPr>
            <w:tcW w:w="7280" w:type="dxa"/>
            <w:tcBorders/>
            <w:shd w:fill="FFFFFF" w:val="clear"/>
          </w:tcPr>
          <w:p>
            <w:pPr>
              <w:pStyle w:val="TableContents"/>
              <w:spacing w:before="0" w:after="0"/>
              <w:ind w:left="0" w:right="0" w:hanging="0"/>
              <w:rPr/>
            </w:pPr>
            <w:hyperlink w:anchor="PART_IFINANCIAL_INFORMATION">
              <w:r>
                <w:rPr>
                  <w:rStyle w:val="InternetLink"/>
                  <w:rFonts w:ascii="Times New Roman" w:hAnsi="Times New Roman"/>
                  <w:b/>
                  <w:i w:val="false"/>
                  <w:caps w:val="false"/>
                  <w:smallCaps w:val="false"/>
                  <w:sz w:val="20"/>
                  <w:u w:val="single"/>
                </w:rPr>
                <w:t>FINANCIAL INFORMATION</w:t>
              </w:r>
            </w:hyperlink>
          </w:p>
        </w:tc>
        <w:tc>
          <w:tcPr>
            <w:tcW w:w="38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7280" w:type="dxa"/>
            <w:tcBorders/>
            <w:shd w:fill="FFFFFF" w:val="clear"/>
          </w:tcPr>
          <w:p>
            <w:pPr>
              <w:pStyle w:val="TableContents"/>
              <w:spacing w:before="0" w:after="0"/>
              <w:ind w:left="0" w:right="0" w:hanging="0"/>
              <w:rPr/>
            </w:pPr>
            <w:hyperlink w:anchor="ITEM_1_FINANCIAL_STATEMENTS">
              <w:r>
                <w:rPr>
                  <w:rStyle w:val="InternetLink"/>
                  <w:rFonts w:ascii="Times New Roman" w:hAnsi="Times New Roman"/>
                  <w:b w:val="false"/>
                  <w:i w:val="false"/>
                  <w:caps w:val="false"/>
                  <w:smallCaps w:val="false"/>
                  <w:sz w:val="20"/>
                  <w:u w:val="single"/>
                </w:rPr>
                <w:t>Financial Statements (Unaudited)</w:t>
              </w:r>
            </w:hyperlink>
          </w:p>
        </w:tc>
        <w:tc>
          <w:tcPr>
            <w:tcW w:w="380" w:type="dxa"/>
            <w:tcBorders/>
            <w:shd w:fill="FFFFFF" w:val="clear"/>
            <w:vAlign w:val="bottom"/>
          </w:tcPr>
          <w:p>
            <w:pPr>
              <w:pStyle w:val="TableContents"/>
              <w:spacing w:before="0" w:after="0"/>
              <w:ind w:left="0" w:right="0" w:hanging="0"/>
              <w:jc w:val="right"/>
              <w:rPr/>
            </w:pPr>
            <w:r>
              <w:rPr/>
              <w:t> </w:t>
            </w:r>
          </w:p>
        </w:tc>
      </w:tr>
      <w:tr>
        <w:trPr/>
        <w:tc>
          <w:tcPr>
            <w:tcW w:w="7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80" w:type="dxa"/>
            <w:tcBorders/>
            <w:shd w:fill="FFFFFF" w:val="clear"/>
          </w:tcPr>
          <w:p>
            <w:pPr>
              <w:pStyle w:val="TableContents"/>
              <w:spacing w:before="0" w:after="0"/>
              <w:ind w:left="432" w:right="0" w:hanging="0"/>
              <w:rPr/>
            </w:pPr>
            <w:hyperlink w:anchor="CONSOLIDATED_BALANCE_SHEETS">
              <w:r>
                <w:rPr>
                  <w:rStyle w:val="InternetLink"/>
                  <w:rFonts w:ascii="Times New Roman" w:hAnsi="Times New Roman"/>
                  <w:b w:val="false"/>
                  <w:i w:val="false"/>
                  <w:caps w:val="false"/>
                  <w:smallCaps w:val="false"/>
                  <w:sz w:val="20"/>
                  <w:u w:val="single"/>
                </w:rPr>
                <w:t>Condensed Consolidated Balance Sheets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r>
      <w:tr>
        <w:trPr/>
        <w:tc>
          <w:tcPr>
            <w:tcW w:w="785" w:type="dxa"/>
            <w:tcBorders/>
            <w:shd w:fill="FFFFFF" w:val="clear"/>
          </w:tcPr>
          <w:p>
            <w:pPr>
              <w:pStyle w:val="TableContents"/>
              <w:spacing w:before="0" w:after="0"/>
              <w:ind w:left="0" w:right="0" w:hanging="0"/>
              <w:rPr/>
            </w:pPr>
            <w:r>
              <w:rPr/>
              <w:t> </w:t>
            </w:r>
          </w:p>
        </w:tc>
        <w:tc>
          <w:tcPr>
            <w:tcW w:w="7280" w:type="dxa"/>
            <w:tcBorders/>
            <w:shd w:fill="FFFFFF" w:val="clear"/>
          </w:tcPr>
          <w:p>
            <w:pPr>
              <w:pStyle w:val="TableContents"/>
              <w:spacing w:before="0" w:after="0"/>
              <w:ind w:left="432" w:right="0" w:hanging="0"/>
              <w:rPr/>
            </w:pPr>
            <w:hyperlink w:anchor="CONSOLIDATED_STATEMENT_OPERATIONS">
              <w:r>
                <w:rPr>
                  <w:rStyle w:val="InternetLink"/>
                  <w:rFonts w:ascii="Times New Roman" w:hAnsi="Times New Roman"/>
                  <w:b w:val="false"/>
                  <w:i w:val="false"/>
                  <w:caps w:val="false"/>
                  <w:smallCaps w:val="false"/>
                  <w:sz w:val="20"/>
                  <w:u w:val="single"/>
                </w:rPr>
                <w:t>Condensed Consolidated Statements of Operations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r>
      <w:tr>
        <w:trPr/>
        <w:tc>
          <w:tcPr>
            <w:tcW w:w="7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80" w:type="dxa"/>
            <w:tcBorders/>
            <w:shd w:fill="FFFFFF" w:val="clear"/>
          </w:tcPr>
          <w:p>
            <w:pPr>
              <w:pStyle w:val="TableContents"/>
              <w:spacing w:before="0" w:after="0"/>
              <w:ind w:left="432" w:right="0" w:hanging="0"/>
              <w:rPr/>
            </w:pPr>
            <w:hyperlink w:anchor="CONSOLIDATED_STATEMENTS_CASH_FLOWS">
              <w:r>
                <w:rPr>
                  <w:rStyle w:val="InternetLink"/>
                  <w:rFonts w:ascii="Times New Roman" w:hAnsi="Times New Roman"/>
                  <w:b w:val="false"/>
                  <w:i w:val="false"/>
                  <w:caps w:val="false"/>
                  <w:smallCaps w:val="false"/>
                  <w:sz w:val="20"/>
                  <w:u w:val="single"/>
                </w:rPr>
                <w:t>Condensed Consolidated Statements of Cash Flows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r>
      <w:tr>
        <w:trPr/>
        <w:tc>
          <w:tcPr>
            <w:tcW w:w="785" w:type="dxa"/>
            <w:tcBorders/>
            <w:shd w:fill="FFFFFF" w:val="clear"/>
          </w:tcPr>
          <w:p>
            <w:pPr>
              <w:pStyle w:val="TableContents"/>
              <w:spacing w:before="0" w:after="0"/>
              <w:ind w:left="0" w:right="0" w:hanging="0"/>
              <w:rPr/>
            </w:pPr>
            <w:r>
              <w:rPr/>
              <w:t> </w:t>
            </w:r>
          </w:p>
        </w:tc>
        <w:tc>
          <w:tcPr>
            <w:tcW w:w="7280" w:type="dxa"/>
            <w:tcBorders/>
            <w:shd w:fill="FFFFFF" w:val="clear"/>
          </w:tcPr>
          <w:p>
            <w:pPr>
              <w:pStyle w:val="TableContents"/>
              <w:spacing w:before="0" w:after="0"/>
              <w:ind w:left="432" w:right="0" w:hanging="0"/>
              <w:rPr/>
            </w:pPr>
            <w:hyperlink w:anchor="CONSOLIDATED_STATEMENT_OF_EQUITY">
              <w:r>
                <w:rPr>
                  <w:rStyle w:val="InternetLink"/>
                  <w:rFonts w:ascii="Times New Roman" w:hAnsi="Times New Roman"/>
                  <w:b w:val="false"/>
                  <w:i w:val="false"/>
                  <w:caps w:val="false"/>
                  <w:smallCaps w:val="false"/>
                  <w:sz w:val="20"/>
                  <w:u w:val="single"/>
                </w:rPr>
                <w:t>Condensed Consolidated Statements of Changes in Stockholders’ Equity</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r>
      <w:tr>
        <w:trPr/>
        <w:tc>
          <w:tcPr>
            <w:tcW w:w="7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280" w:type="dxa"/>
            <w:tcBorders/>
            <w:shd w:fill="FFFFFF" w:val="clear"/>
          </w:tcPr>
          <w:p>
            <w:pPr>
              <w:pStyle w:val="TableContents"/>
              <w:spacing w:before="0" w:after="0"/>
              <w:ind w:left="432" w:right="0" w:hanging="0"/>
              <w:rPr/>
            </w:pPr>
            <w:hyperlink w:anchor="NOTES_TO_UNAUDITED_CONDENSED_CONSOLIDATE">
              <w:r>
                <w:rPr>
                  <w:rStyle w:val="InternetLink"/>
                  <w:rFonts w:ascii="Times New Roman" w:hAnsi="Times New Roman"/>
                  <w:b w:val="false"/>
                  <w:i w:val="false"/>
                  <w:caps w:val="false"/>
                  <w:smallCaps w:val="false"/>
                  <w:sz w:val="20"/>
                  <w:u w:val="single"/>
                </w:rPr>
                <w:t>Notes to Condensed Consolidated Financial Statements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7280" w:type="dxa"/>
            <w:tcBorders/>
            <w:shd w:fill="FFFFFF" w:val="clear"/>
          </w:tcPr>
          <w:p>
            <w:pPr>
              <w:pStyle w:val="TableContents"/>
              <w:spacing w:before="0" w:after="0"/>
              <w:ind w:left="0" w:right="0" w:hanging="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7280" w:type="dxa"/>
            <w:tcBorders/>
            <w:shd w:fill="FFFFFF" w:val="clear"/>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7280" w:type="dxa"/>
            <w:tcBorders/>
            <w:shd w:fill="FFFFFF" w:val="clear"/>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r>
      <w:tr>
        <w:trPr/>
        <w:tc>
          <w:tcPr>
            <w:tcW w:w="785" w:type="dxa"/>
            <w:tcBorders/>
            <w:shd w:fill="FFFFFF" w:val="clear"/>
          </w:tcPr>
          <w:p>
            <w:pPr>
              <w:pStyle w:val="TableContents"/>
              <w:spacing w:before="0" w:after="0"/>
              <w:ind w:left="0" w:right="0" w:hanging="0"/>
              <w:rPr/>
            </w:pPr>
            <w:r>
              <w:rPr/>
              <w:t> </w:t>
            </w:r>
          </w:p>
        </w:tc>
        <w:tc>
          <w:tcPr>
            <w:tcW w:w="7280" w:type="dxa"/>
            <w:tcBorders/>
            <w:shd w:fill="FFFFFF" w:val="clear"/>
          </w:tcPr>
          <w:p>
            <w:pPr>
              <w:pStyle w:val="TableContents"/>
              <w:spacing w:before="0" w:after="0"/>
              <w:ind w:left="0" w:right="0" w:hanging="0"/>
              <w:rPr/>
            </w:pPr>
            <w:r>
              <w:rPr/>
              <w:t> </w:t>
            </w:r>
          </w:p>
        </w:tc>
        <w:tc>
          <w:tcPr>
            <w:tcW w:w="380" w:type="dxa"/>
            <w:tcBorders/>
            <w:shd w:fill="FFFFFF" w:val="clear"/>
            <w:vAlign w:val="bottom"/>
          </w:tcPr>
          <w:p>
            <w:pPr>
              <w:pStyle w:val="TableContents"/>
              <w:spacing w:before="0" w:after="0"/>
              <w:ind w:left="0" w:right="0" w:hanging="0"/>
              <w:jc w:val="right"/>
              <w:rPr/>
            </w:pPr>
            <w:r>
              <w:rPr/>
              <w:t> </w:t>
            </w:r>
          </w:p>
        </w:tc>
      </w:tr>
      <w:tr>
        <w:trPr/>
        <w:tc>
          <w:tcPr>
            <w:tcW w:w="78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w:t>
            </w:r>
          </w:p>
        </w:tc>
        <w:tc>
          <w:tcPr>
            <w:tcW w:w="7280" w:type="dxa"/>
            <w:tcBorders/>
            <w:shd w:fill="FFFFFF" w:val="clear"/>
          </w:tcPr>
          <w:p>
            <w:pPr>
              <w:pStyle w:val="TableContents"/>
              <w:spacing w:before="0" w:after="0"/>
              <w:ind w:left="0" w:right="0" w:hanging="0"/>
              <w:rPr/>
            </w:pPr>
            <w:hyperlink w:anchor="PART_IIOR_INFORMATION">
              <w:r>
                <w:rPr>
                  <w:rStyle w:val="InternetLink"/>
                  <w:rFonts w:ascii="Times New Roman" w:hAnsi="Times New Roman"/>
                  <w:b/>
                  <w:i w:val="false"/>
                  <w:caps w:val="false"/>
                  <w:smallCaps w:val="false"/>
                  <w:sz w:val="20"/>
                  <w:u w:val="single"/>
                </w:rPr>
                <w:t>OTHER INFORMATION</w:t>
              </w:r>
            </w:hyperlink>
          </w:p>
        </w:tc>
        <w:tc>
          <w:tcPr>
            <w:tcW w:w="380" w:type="dxa"/>
            <w:tcBorders/>
            <w:shd w:fill="FFFFFF" w:val="clear"/>
            <w:vAlign w:val="bottom"/>
          </w:tcPr>
          <w:p>
            <w:pPr>
              <w:pStyle w:val="TableContents"/>
              <w:spacing w:before="0" w:after="0"/>
              <w:ind w:left="0" w:right="0" w:hanging="0"/>
              <w:jc w:val="right"/>
              <w:rPr/>
            </w:pPr>
            <w:r>
              <w:rPr/>
              <w:t> </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7280" w:type="dxa"/>
            <w:tcBorders/>
            <w:shd w:fill="FFFFFF" w:val="clear"/>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1A.</w:t>
            </w:r>
          </w:p>
        </w:tc>
        <w:tc>
          <w:tcPr>
            <w:tcW w:w="7280" w:type="dxa"/>
            <w:tcBorders/>
            <w:shd w:fill="FFFFFF" w:val="clea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7280" w:type="dxa"/>
            <w:tcBorders/>
            <w:shd w:fill="FFFFFF" w:val="clear"/>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7280" w:type="dxa"/>
            <w:tcBorders/>
            <w:shd w:fill="FFFFFF" w:val="clear"/>
          </w:tcPr>
          <w:p>
            <w:pPr>
              <w:pStyle w:val="TableContents"/>
              <w:spacing w:before="0" w:after="0"/>
              <w:ind w:left="0" w:right="0" w:hanging="0"/>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7280" w:type="dxa"/>
            <w:tcBorders/>
            <w:shd w:fill="FFFFFF" w:val="clea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5.</w:t>
            </w:r>
          </w:p>
        </w:tc>
        <w:tc>
          <w:tcPr>
            <w:tcW w:w="7280" w:type="dxa"/>
            <w:tcBorders/>
            <w:shd w:fill="FFFFFF" w:val="clear"/>
          </w:tcPr>
          <w:p>
            <w:pPr>
              <w:pStyle w:val="TableContents"/>
              <w:spacing w:before="0" w:after="0"/>
              <w:ind w:left="0" w:right="0" w:hanging="0"/>
              <w:rPr/>
            </w:pPr>
            <w:hyperlink w:anchor="ITEM_5_OR_INFORMATION">
              <w:r>
                <w:rPr>
                  <w:rStyle w:val="InternetLink"/>
                  <w:rFonts w:ascii="Times New Roman" w:hAnsi="Times New Roman"/>
                  <w:b w:val="false"/>
                  <w:i w:val="false"/>
                  <w:caps w:val="false"/>
                  <w:smallCaps w:val="false"/>
                  <w:sz w:val="20"/>
                  <w:u w:val="single"/>
                </w:rPr>
                <w:t>Other Information</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r>
      <w:tr>
        <w:trPr/>
        <w:tc>
          <w:tcPr>
            <w:tcW w:w="7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6.</w:t>
            </w:r>
          </w:p>
        </w:tc>
        <w:tc>
          <w:tcPr>
            <w:tcW w:w="7280" w:type="dxa"/>
            <w:tcBorders/>
            <w:shd w:fill="FFFFFF" w:val="clear"/>
          </w:tcPr>
          <w:p>
            <w:pPr>
              <w:pStyle w:val="TableContents"/>
              <w:spacing w:before="0" w:after="0"/>
              <w:ind w:left="0" w:right="0" w:hanging="0"/>
              <w:rPr/>
            </w:pPr>
            <w:hyperlink w:anchor="Item_6_EXHIBITS">
              <w:r>
                <w:rPr>
                  <w:rStyle w:val="InternetLink"/>
                  <w:rFonts w:ascii="Times New Roman" w:hAnsi="Times New Roman"/>
                  <w:b w:val="false"/>
                  <w:i w:val="false"/>
                  <w:caps w:val="false"/>
                  <w:smallCaps w:val="false"/>
                  <w:sz w:val="20"/>
                  <w:u w:val="single"/>
                </w:rPr>
                <w:t>Exhibits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tc>
      </w:tr>
      <w:tr>
        <w:trPr/>
        <w:tc>
          <w:tcPr>
            <w:tcW w:w="8065" w:type="dxa"/>
            <w:gridSpan w:val="2"/>
            <w:tcBorders/>
            <w:shd w:fill="FFFFFF" w:val="clea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Quarterly Report on Form 10-Q, “we,” “our,” “us,” “Aptevo,” and “the Company” refer to Aptevo Therapeutics Inc. and, where appropriate, its consolidated subsidiaries.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 w:name="PART_IFINANCIAL_INFORMATION"/>
      <w:bookmarkEnd w:id="2"/>
      <w:r>
        <w:rPr>
          <w:rFonts w:ascii="Times New Roman" w:hAnsi="Times New Roman"/>
          <w:b/>
          <w:i w:val="false"/>
          <w:caps w:val="false"/>
          <w:smallCaps w:val="false"/>
          <w:sz w:val="20"/>
        </w:rPr>
        <w:t>PART I—FINANCIAL INFORMATION</w:t>
      </w:r>
    </w:p>
    <w:p>
      <w:pPr>
        <w:pStyle w:val="TextBody"/>
        <w:spacing w:before="240" w:after="0"/>
        <w:jc w:val="both"/>
        <w:rPr>
          <w:rFonts w:ascii="Times New Roman" w:hAnsi="Times New Roman"/>
          <w:b/>
          <w:i w:val="false"/>
          <w:caps w:val="false"/>
          <w:smallCaps w:val="false"/>
          <w:sz w:val="20"/>
        </w:rPr>
      </w:pPr>
      <w:bookmarkStart w:id="3" w:name="ITEM_1_FINANCIAL_STATEMENTS"/>
      <w:bookmarkEnd w:id="3"/>
      <w:r>
        <w:rPr>
          <w:rFonts w:ascii="Times New Roman" w:hAnsi="Times New Roman"/>
          <w:b/>
          <w:i w:val="false"/>
          <w:caps w:val="false"/>
          <w:smallCaps w:val="false"/>
          <w:sz w:val="20"/>
        </w:rPr>
        <w:t>Item 1. Financial Statements.</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Aptevo Therapeutics Inc.</w:t>
      </w:r>
    </w:p>
    <w:p>
      <w:pPr>
        <w:pStyle w:val="TextBody"/>
        <w:spacing w:before="0" w:after="0"/>
        <w:jc w:val="center"/>
        <w:rPr>
          <w:rFonts w:ascii="Times New Roman" w:hAnsi="Times New Roman"/>
          <w:b/>
          <w:i w:val="false"/>
          <w:caps w:val="false"/>
          <w:smallCaps w:val="false"/>
          <w:sz w:val="20"/>
        </w:rPr>
      </w:pPr>
      <w:bookmarkStart w:id="4" w:name="CONSOLIDATED_BALANCE_SHEETS"/>
      <w:bookmarkEnd w:id="4"/>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share and per share amounts, unaudited)</w:t>
      </w:r>
    </w:p>
    <w:p>
      <w:pPr>
        <w:pStyle w:val="TextBody"/>
        <w:spacing w:before="0" w:after="0"/>
        <w:rPr/>
      </w:pPr>
      <w:r>
        <w:rPr/>
        <w:t> </w:t>
      </w:r>
    </w:p>
    <w:tbl>
      <w:tblPr>
        <w:tblW w:w="8978" w:type="dxa"/>
        <w:jc w:val="left"/>
        <w:tblInd w:w="0" w:type="dxa"/>
        <w:tblCellMar>
          <w:top w:w="0" w:type="dxa"/>
          <w:left w:w="0" w:type="dxa"/>
          <w:bottom w:w="28" w:type="dxa"/>
          <w:right w:w="0" w:type="dxa"/>
        </w:tblCellMar>
      </w:tblPr>
      <w:tblGrid>
        <w:gridCol w:w="6245"/>
        <w:gridCol w:w="60"/>
        <w:gridCol w:w="147"/>
        <w:gridCol w:w="892"/>
        <w:gridCol w:w="80"/>
        <w:gridCol w:w="60"/>
        <w:gridCol w:w="200"/>
        <w:gridCol w:w="1214"/>
        <w:gridCol w:w="80"/>
      </w:tblGrid>
      <w:tr>
        <w:trPr/>
        <w:tc>
          <w:tcPr>
            <w:tcW w:w="624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60,394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39,979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 - current</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Royalty receivable</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assets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65,765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47,264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doub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71,474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1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53,547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other accrued liabilities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2,757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Liability related to the sale of future royalties, net - short-term</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portion of loan payable</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30,864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Liability related to the sale of future royalties, net - long-term</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Loan payable - long-term</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20,054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liability</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57,593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36,953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$0.001 par value; 15,000,000 shares authorized, zero shares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issued or outstanding</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$0.001 par value; 500,000,000 shares authorized; 4,884,515</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4,410,909 shares issued and outstanding at June 30, 2021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2020, respectively</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214,628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202,154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(200,794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(185,606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2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13,881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16,594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71,474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1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53,547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Aptevo Therapeutics Inc.</w:t>
      </w:r>
    </w:p>
    <w:p>
      <w:pPr>
        <w:pStyle w:val="TextBody"/>
        <w:spacing w:before="0" w:after="0"/>
        <w:jc w:val="center"/>
        <w:rPr>
          <w:rFonts w:ascii="Times New Roman" w:hAnsi="Times New Roman"/>
          <w:b/>
          <w:i w:val="false"/>
          <w:caps w:val="false"/>
          <w:smallCaps w:val="false"/>
          <w:sz w:val="20"/>
        </w:rPr>
      </w:pPr>
      <w:bookmarkStart w:id="5" w:name="CONSOLIDATED_STATEMENT_OPERATIONS"/>
      <w:bookmarkEnd w:id="5"/>
      <w:r>
        <w:rPr>
          <w:rFonts w:ascii="Times New Roman" w:hAnsi="Times New Roman"/>
          <w:b/>
          <w:i w:val="false"/>
          <w:caps w:val="false"/>
          <w:smallCaps w:val="false"/>
          <w:sz w:val="20"/>
        </w:rPr>
        <w:t xml:space="preserve">CONDENSED CONSOLIDATED STATEMENTS OF OPERATIONS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share and per share amounts, unaudited)</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4745"/>
        <w:gridCol w:w="60"/>
        <w:gridCol w:w="160"/>
        <w:gridCol w:w="1087"/>
        <w:gridCol w:w="102"/>
        <w:gridCol w:w="76"/>
        <w:gridCol w:w="160"/>
        <w:gridCol w:w="1087"/>
        <w:gridCol w:w="80"/>
        <w:gridCol w:w="60"/>
        <w:gridCol w:w="150"/>
        <w:gridCol w:w="1018"/>
        <w:gridCol w:w="95"/>
        <w:gridCol w:w="72"/>
        <w:gridCol w:w="150"/>
        <w:gridCol w:w="1018"/>
        <w:gridCol w:w="85"/>
      </w:tblGrid>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0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Royalty revenue</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3,110</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5,531</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(4,722</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(4,440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(10,084</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(8,446</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(4,110</w:t>
            </w:r>
          </w:p>
        </w:tc>
        <w:tc>
          <w:tcPr>
            <w:tcW w:w="10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(2,840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(8,057</w:t>
            </w:r>
          </w:p>
        </w:tc>
        <w:tc>
          <w:tcPr>
            <w:tcW w:w="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(6,456</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(5,722</w:t>
            </w:r>
          </w:p>
        </w:tc>
        <w:tc>
          <w:tcPr>
            <w:tcW w:w="10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(12,610</w:t>
            </w:r>
          </w:p>
        </w:tc>
        <w:tc>
          <w:tcPr>
            <w:tcW w:w="9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(14,429</w:t>
            </w:r>
          </w:p>
        </w:tc>
        <w:tc>
          <w:tcPr>
            <w:tcW w:w="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from continuing operations, net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(2,342</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(3,124</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on extinguishment of debt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(2,104</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from continuing operations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(8,064</w:t>
            </w:r>
          </w:p>
        </w:tc>
        <w:tc>
          <w:tcPr>
            <w:tcW w:w="10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(15,734</w:t>
            </w:r>
          </w:p>
        </w:tc>
        <w:tc>
          <w:tcPr>
            <w:tcW w:w="9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(16,804</w:t>
            </w:r>
          </w:p>
        </w:tc>
        <w:tc>
          <w:tcPr>
            <w:tcW w:w="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Discontinued operations: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from discontinued operations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12,898</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(7,932</w:t>
            </w:r>
          </w:p>
        </w:tc>
        <w:tc>
          <w:tcPr>
            <w:tcW w:w="102"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(15,188</w:t>
            </w:r>
          </w:p>
        </w:tc>
        <w:tc>
          <w:tcPr>
            <w:tcW w:w="9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(3,906</w:t>
            </w:r>
          </w:p>
        </w:tc>
        <w:tc>
          <w:tcPr>
            <w:tcW w:w="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from continuing operations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10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(3.51</w:t>
            </w:r>
          </w:p>
        </w:tc>
        <w:tc>
          <w:tcPr>
            <w:tcW w:w="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(5.14</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from discontinued operations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0.03</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0.12</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loss per basic share</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w:t>
            </w:r>
          </w:p>
        </w:tc>
        <w:tc>
          <w:tcPr>
            <w:tcW w:w="10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(3.39</w:t>
            </w:r>
          </w:p>
        </w:tc>
        <w:tc>
          <w:tcPr>
            <w:tcW w:w="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shares used to compute per share calculations</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4,536,517</w:t>
            </w:r>
          </w:p>
        </w:tc>
        <w:tc>
          <w:tcPr>
            <w:tcW w:w="10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3,232,811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4,477,821</w:t>
            </w:r>
          </w:p>
        </w:tc>
        <w:tc>
          <w:tcPr>
            <w:tcW w:w="9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3,269,410</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Aptevo Therapeutics Inc.</w:t>
      </w:r>
    </w:p>
    <w:p>
      <w:pPr>
        <w:pStyle w:val="TextBody"/>
        <w:spacing w:before="0" w:after="0"/>
        <w:jc w:val="center"/>
        <w:rPr>
          <w:rFonts w:ascii="Times New Roman" w:hAnsi="Times New Roman"/>
          <w:b/>
          <w:i w:val="false"/>
          <w:caps w:val="false"/>
          <w:smallCaps w:val="false"/>
          <w:sz w:val="20"/>
        </w:rPr>
      </w:pPr>
      <w:bookmarkStart w:id="6" w:name="CONSOLIDATED_STATEMENTS_CASH_FLOWS"/>
      <w:bookmarkEnd w:id="6"/>
      <w:r>
        <w:rPr>
          <w:rFonts w:ascii="Times New Roman" w:hAnsi="Times New Roman"/>
          <w:b/>
          <w:i w:val="false"/>
          <w:caps w:val="false"/>
          <w:smallCaps w:val="false"/>
          <w:sz w:val="20"/>
        </w:rPr>
        <w:t>CONDENSED CONSOLIDATED STATEMENTS OF CASH FLOWS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unaudited)</w:t>
      </w:r>
    </w:p>
    <w:p>
      <w:pPr>
        <w:pStyle w:val="TextBody"/>
        <w:spacing w:before="0" w:after="0"/>
        <w:rPr>
          <w:caps w:val="false"/>
          <w:smallCaps w:val="false"/>
        </w:rPr>
      </w:pPr>
      <w:r>
        <w:rPr>
          <w:caps w:val="false"/>
          <w:smallCaps w:val="false"/>
        </w:rPr>
        <w:t> </w:t>
      </w:r>
    </w:p>
    <w:tbl>
      <w:tblPr>
        <w:tblW w:w="9658" w:type="dxa"/>
        <w:jc w:val="left"/>
        <w:tblInd w:w="0" w:type="dxa"/>
        <w:tblCellMar>
          <w:top w:w="0" w:type="dxa"/>
          <w:left w:w="0" w:type="dxa"/>
          <w:bottom w:w="28" w:type="dxa"/>
          <w:right w:w="0" w:type="dxa"/>
        </w:tblCellMar>
      </w:tblPr>
      <w:tblGrid>
        <w:gridCol w:w="6950"/>
        <w:gridCol w:w="60"/>
        <w:gridCol w:w="190"/>
        <w:gridCol w:w="988"/>
        <w:gridCol w:w="121"/>
        <w:gridCol w:w="91"/>
        <w:gridCol w:w="190"/>
        <w:gridCol w:w="988"/>
        <w:gridCol w:w="80"/>
      </w:tblGrid>
      <w:tr>
        <w:trPr/>
        <w:tc>
          <w:tcPr>
            <w:tcW w:w="695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6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(15,188</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588</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on disposal of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Gain on sale of Aptevo BioTherapeutics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(14,338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on extinguishment of debt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interest expense and other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2,354</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Royalty receivable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(741</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1,359</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563</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accrued compensation and other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(2,152</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operating lease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(491</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assets and liabilities held for sale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(12,557</w:t>
            </w:r>
          </w:p>
        </w:tc>
        <w:tc>
          <w:tcPr>
            <w:tcW w:w="121"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(15,808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received from sale of Aptevo BioTherapeutics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Purchases of property and equipment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(582</w:t>
            </w:r>
          </w:p>
        </w:tc>
        <w:tc>
          <w:tcPr>
            <w:tcW w:w="121"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(582</w:t>
            </w:r>
          </w:p>
        </w:tc>
        <w:tc>
          <w:tcPr>
            <w:tcW w:w="121"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28,120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Payments of long-term debt, including exit and other fees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(10,550</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(22,104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Repayments under liability related to sale of future royalties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(2,421</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sale of future royalties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35,000</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Transaction costs from sale of future royalties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(1,100</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exercise of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exercise of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985</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common stock issued pursuant to the Lincoln Park purchase agreement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10,233</w:t>
            </w:r>
          </w:p>
        </w:tc>
        <w:tc>
          <w:tcPr>
            <w:tcW w:w="12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(used in)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32,258</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(22,104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(decrease) in cash, cash equivalents, and 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19,119</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(9,792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at beginning of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42,534</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19,946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at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61,653</w:t>
            </w:r>
          </w:p>
        </w:tc>
        <w:tc>
          <w:tcPr>
            <w:tcW w:w="12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10,154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4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Aptevo Therapeutics Inc.</w:t>
      </w:r>
    </w:p>
    <w:p>
      <w:pPr>
        <w:pStyle w:val="TextBody"/>
        <w:spacing w:before="0" w:after="0"/>
        <w:jc w:val="center"/>
        <w:rPr>
          <w:rFonts w:ascii="Times New Roman" w:hAnsi="Times New Roman"/>
          <w:b/>
          <w:i w:val="false"/>
          <w:caps w:val="false"/>
          <w:smallCaps w:val="false"/>
          <w:sz w:val="20"/>
        </w:rPr>
      </w:pPr>
      <w:bookmarkStart w:id="7" w:name="CONSOLIDATED_STATEMENT_OF_EQUITY"/>
      <w:bookmarkEnd w:id="7"/>
      <w:r>
        <w:rPr>
          <w:rFonts w:ascii="Times New Roman" w:hAnsi="Times New Roman"/>
          <w:b/>
          <w:i w:val="false"/>
          <w:caps w:val="false"/>
          <w:smallCaps w:val="false"/>
          <w:sz w:val="20"/>
        </w:rPr>
        <w:t>CONDENSED CONSOLIDATED STATEMENTS OF CHANGES IN STOCKHOLDERS’ EQUITY</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share amounts, unaudited)</w:t>
      </w:r>
    </w:p>
    <w:p>
      <w:pPr>
        <w:pStyle w:val="TextBody"/>
        <w:spacing w:before="0" w:after="0"/>
        <w:jc w:val="center"/>
        <w:rPr/>
      </w:pPr>
      <w:r>
        <w:rPr/>
        <w:t> </w:t>
      </w:r>
    </w:p>
    <w:tbl>
      <w:tblPr>
        <w:tblW w:w="7549" w:type="dxa"/>
        <w:jc w:val="left"/>
        <w:tblInd w:w="0" w:type="dxa"/>
        <w:tblCellMar>
          <w:top w:w="0" w:type="dxa"/>
          <w:left w:w="0" w:type="dxa"/>
          <w:bottom w:w="0" w:type="dxa"/>
          <w:right w:w="0" w:type="dxa"/>
        </w:tblCellMar>
      </w:tblPr>
      <w:tblGrid>
        <w:gridCol w:w="2600"/>
        <w:gridCol w:w="60"/>
        <w:gridCol w:w="60"/>
        <w:gridCol w:w="845"/>
        <w:gridCol w:w="80"/>
        <w:gridCol w:w="60"/>
        <w:gridCol w:w="196"/>
        <w:gridCol w:w="409"/>
        <w:gridCol w:w="60"/>
        <w:gridCol w:w="60"/>
        <w:gridCol w:w="125"/>
        <w:gridCol w:w="695"/>
        <w:gridCol w:w="60"/>
        <w:gridCol w:w="60"/>
        <w:gridCol w:w="137"/>
        <w:gridCol w:w="828"/>
        <w:gridCol w:w="80"/>
        <w:gridCol w:w="60"/>
        <w:gridCol w:w="173"/>
        <w:gridCol w:w="821"/>
        <w:gridCol w:w="80"/>
      </w:tblGrid>
      <w:tr>
        <w:trPr/>
        <w:tc>
          <w:tcPr>
            <w:tcW w:w="26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5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December 31, 2020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4,410,909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202,154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(185,606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16,594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from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exercises of stock option</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10,685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from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exercise of warrants</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for the period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(7,256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(7,256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0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March 31, 2021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4,449,422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203,320</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(192,862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10,504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from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exercises of stock options</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from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exercise of warrants</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26,277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sold pursuant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the Lincoln Park purchase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agreement</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407,047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10,234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for the period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0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June 30, 2021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4,884,515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214,628</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(200,794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13,881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3"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5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December 31, 2019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3,234,231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179,653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(167,856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11,842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Cancellation of fractional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shares arising from reverse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stock split</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(1,420</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for the period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March 31, 2020</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3,232,811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180,066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(164,959</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15,152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for the period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60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at June 30, 2020</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3,232,811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180,367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(171,762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8,650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center"/>
        <w:rPr/>
      </w:pPr>
      <w:r>
        <w:rPr/>
        <w:t> </w:t>
      </w:r>
    </w:p>
    <w:p>
      <w:pPr>
        <w:pStyle w:val="TextBody"/>
        <w:spacing w:before="4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accompanying notes are an integral part of these condensed consolidated financial statements.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Aptevo Therapeutics Inc.</w:t>
      </w:r>
    </w:p>
    <w:p>
      <w:pPr>
        <w:pStyle w:val="TextBody"/>
        <w:spacing w:before="0" w:after="0"/>
        <w:jc w:val="center"/>
        <w:rPr>
          <w:rFonts w:ascii="Times New Roman" w:hAnsi="Times New Roman"/>
          <w:b/>
          <w:i w:val="false"/>
          <w:caps w:val="false"/>
          <w:smallCaps w:val="false"/>
          <w:sz w:val="20"/>
        </w:rPr>
      </w:pPr>
      <w:bookmarkStart w:id="8" w:name="NOTES_TO_UNAUDITED_CONDENSED_CONSOLIDATE"/>
      <w:bookmarkEnd w:id="8"/>
      <w:r>
        <w:rPr>
          <w:rFonts w:ascii="Times New Roman" w:hAnsi="Times New Roman"/>
          <w:b/>
          <w:i w:val="false"/>
          <w:caps w:val="false"/>
          <w:smallCaps w:val="false"/>
          <w:sz w:val="20"/>
        </w:rPr>
        <w:t>Notes to Unaudited Condensed Consolidated Financial Statements</w:t>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1. Nature of Business and Significant Accounting Policies</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Organization and Liquidity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Aptevo Therapeutics Inc. (Aptevo, we, us, or the Company) is a </w:t>
      </w:r>
      <w:r>
        <w:rPr>
          <w:rFonts w:ascii="Times New Roman" w:hAnsi="Times New Roman"/>
          <w:b w:val="false"/>
          <w:i w:val="false"/>
          <w:caps w:val="false"/>
          <w:smallCaps w:val="false"/>
          <w:color w:val="000000"/>
          <w:sz w:val="20"/>
        </w:rPr>
        <w:t>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currently trading on the Nasdaq Capital Market under the symbol “APVO.”</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financial statements have been prepared on a basis that assumes we will continue as a going concern and which contemplates the realization of assets and satisfaction of liabilities and commitments in the normal course of business. For the three and six months ended June 30, 2021, we had a net loss of $7.9 million and $15.2 million, respectively. We had an accumulated deficit of $200.8 million as of June 30, 2021. For the six months ended June 30, 2021, net cash used in our operating activities was $12.6 million. We have suffered recurring losses from operations and negative cash flows from operating activities. We believe that our existing cash resources, the cash to be generated from future deferred payments and milestones, the cash generated from warrant exercises, and release of restricted cash securing letters of credit, will be sufficient to meet our projected operating requirements and debt service for at least twelve months from the date of issuance of these financial statements. We may choose to raise additional funds to support our operating and capital needs.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Pharmaceuticals Inc. (Medexus) with respect to IXINITY; (e) whether and to what extent future proceeds are received under our Royalty Purchase Agreement; and (f) other items affecting our forecasted level of expenditures and use of cash resources. We may attempt to obtain additional funding through our existing equity sales agreement with Lincoln Park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COVID-19 pandemic, we may experience delays or difficulties in the financing environment and raising capital due to economic uncertainty.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Basis of Presentation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2020, and the notes thereto, which are included in the Company’s Annual Report on Form 10-K for the year ended December 31, 2020.</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w:t>
      </w:r>
      <w:r>
        <w:rPr>
          <w:rFonts w:ascii="Times New Roman" w:hAnsi="Times New Roman"/>
          <w:b w:val="false"/>
          <w:i w:val="false"/>
          <w:caps w:val="false"/>
          <w:smallCaps w:val="false"/>
          <w:color w:val="000000"/>
          <w:sz w:val="20"/>
        </w:rPr>
        <w:t>Actual results could differ from these estimates and changes in these estimates are recorded when known.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condensed consolidated financial statements include the accounts of the Company and our wholly owned subsidiaries: Aptevo Research and Development LLC and Aptevo BioTherapeutics LLC </w:t>
      </w:r>
      <w:r>
        <w:rPr>
          <w:rFonts w:ascii="Times New Roman" w:hAnsi="Times New Roman"/>
          <w:b w:val="false"/>
          <w:i w:val="false"/>
          <w:caps w:val="false"/>
          <w:smallCaps w:val="false"/>
          <w:color w:val="000000"/>
          <w:sz w:val="20"/>
        </w:rPr>
        <w:t>(for the period prior to its sale on February 28, 2020)</w:t>
      </w:r>
      <w:r>
        <w:rPr>
          <w:rFonts w:ascii="Times New Roman" w:hAnsi="Times New Roman"/>
          <w:b w:val="false"/>
          <w:i w:val="false"/>
          <w:caps w:val="false"/>
          <w:smallCaps w:val="false"/>
          <w:sz w:val="20"/>
        </w:rPr>
        <w:t>. All intercompany balances and transactions have been eliminated.</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In March 2020, we effected a </w:t>
      </w:r>
      <w:r>
        <w:rPr>
          <w:rFonts w:ascii="Times New Roman" w:hAnsi="Times New Roman"/>
          <w:b w:val="false"/>
          <w:i w:val="false"/>
          <w:caps w:val="false"/>
          <w:smallCaps w:val="false"/>
          <w:color w:val="000000"/>
          <w:sz w:val="20"/>
        </w:rPr>
        <w:t>1-for-14</w:t>
      </w:r>
      <w:r>
        <w:rPr>
          <w:rFonts w:ascii="Times New Roman" w:hAnsi="Times New Roman"/>
          <w:b w:val="false"/>
          <w:i w:val="false"/>
          <w:caps w:val="false"/>
          <w:smallCaps w:val="false"/>
          <w:color w:val="000000"/>
          <w:sz w:val="20"/>
          <w:highlight w:val="white"/>
        </w:rPr>
        <w:t xml:space="preserve">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Use of Estimates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financial statements in conformity with GAAP requires estimates and assumptions that affect the reported amounts of assets and liabilities, revenues and expenses, and related disclosures of contingent liabilities in the condensed consolidated financial statements and accompanying notes. Estimates are used for, but not limited to, forecasted royalties, effective interest rates, clinical accruals, useful lives of equipment, commitments and contingencies, and stock-based compensation forfeiture rates. Given the global economic climate and additional or unforeseen effects from the COVID-19 pandemic, these estimates are becoming more challenging, and actual results could differ materially from those estimates.</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Significant Accounting Policies</w:t>
      </w:r>
    </w:p>
    <w:p>
      <w:pPr>
        <w:pStyle w:val="TextBody"/>
        <w:shd w:fill="FFFFFF" w:val="clear"/>
        <w:spacing w:before="160" w:after="0"/>
        <w:rPr>
          <w:rFonts w:ascii="Times New Roman" w:hAnsi="Times New Roman"/>
          <w:b/>
          <w:i/>
          <w:caps w:val="false"/>
          <w:smallCaps w:val="false"/>
          <w:sz w:val="20"/>
        </w:rPr>
      </w:pPr>
      <w:r>
        <w:rPr>
          <w:rFonts w:ascii="Times New Roman" w:hAnsi="Times New Roman"/>
          <w:b/>
          <w:i/>
          <w:caps w:val="false"/>
          <w:smallCaps w:val="false"/>
          <w:sz w:val="20"/>
        </w:rPr>
        <w:t>Liability Related to Sale of Future Royalties and Non-Cash Interest Expense</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March 30, 2021, the Company entered into and closed a royalty purchase agreement (the Royalty Purchase Agreement) with an entity managed by HealthCare Royalty Management, LLC (HCR) pursuant to which the Company sold to HCR the right to receive royalty payments made by Pfizer Inc.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royalty interest payments thereafter.</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We treat the Royalty Purchase Agreement with HCR (see Note 7) as a debt financing, amortized under the effective interest rate method over the estimated life of the related expected royalty stream. The liabilities related to sale of future royalties and the debt amortization are based on our current estimates of future royalties expected to be paid over the life of the arrangement. </w:t>
      </w:r>
      <w:r>
        <w:rPr>
          <w:rFonts w:ascii="Times New Roman" w:hAnsi="Times New Roman"/>
          <w:b w:val="false"/>
          <w:i w:val="false"/>
          <w:caps w:val="false"/>
          <w:smallCaps w:val="false"/>
          <w:color w:val="000000"/>
          <w:sz w:val="20"/>
        </w:rPr>
        <w:t xml:space="preserve">To the extent total future royalties collected are an amount less than the liability, the Company is not obligated to fund any such shortfall. </w:t>
      </w:r>
      <w:r>
        <w:rPr>
          <w:rFonts w:ascii="Times New Roman" w:hAnsi="Times New Roman"/>
          <w:b w:val="false"/>
          <w:i w:val="false"/>
          <w:caps w:val="false"/>
          <w:smallCaps w:val="false"/>
          <w:color w:val="000000"/>
          <w:sz w:val="20"/>
          <w:highlight w:val="white"/>
        </w:rPr>
        <w:t xml:space="preserve">We will periodically assess the expected royalty payments using projections from external sources.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We are not obligated to repay the proceeds received under the Royalty Purchase Agreement with HCR. </w:t>
      </w:r>
      <w:r>
        <w:rPr>
          <w:rFonts w:ascii="Times New Roman" w:hAnsi="Times New Roman"/>
          <w:b w:val="false"/>
          <w:i w:val="false"/>
          <w:caps w:val="false"/>
          <w:smallCaps w:val="false"/>
          <w:color w:val="000000"/>
          <w:sz w:val="20"/>
        </w:rPr>
        <w:t>Due to our continuing involvement under the collaboration and license agreement originally between Trubion and Wyeth</w:t>
      </w:r>
      <w:r>
        <w:rPr>
          <w:rFonts w:ascii="Times New Roman" w:hAnsi="Times New Roman"/>
          <w:b w:val="false"/>
          <w:i w:val="false"/>
          <w:caps w:val="false"/>
          <w:smallCaps w:val="false"/>
          <w:color w:val="000000"/>
          <w:sz w:val="20"/>
          <w:highlight w:val="white"/>
        </w:rPr>
        <w:t>,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w:t>
      </w:r>
    </w:p>
    <w:p>
      <w:pPr>
        <w:pStyle w:val="TextBody"/>
        <w:shd w:fill="FFFFFF" w:val="clear"/>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Debt Modification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March 30, 2021, </w:t>
      </w:r>
      <w:r>
        <w:rPr>
          <w:rFonts w:ascii="Times New Roman" w:hAnsi="Times New Roman"/>
          <w:b w:val="false"/>
          <w:i w:val="false"/>
          <w:caps w:val="false"/>
          <w:smallCaps w:val="false"/>
          <w:color w:val="000000"/>
          <w:sz w:val="20"/>
        </w:rPr>
        <w:t xml:space="preserve">we amended </w:t>
      </w:r>
      <w:r>
        <w:rPr>
          <w:rFonts w:ascii="Times New Roman" w:hAnsi="Times New Roman"/>
          <w:b w:val="false"/>
          <w:i w:val="false"/>
          <w:caps w:val="false"/>
          <w:smallCaps w:val="false"/>
          <w:sz w:val="20"/>
        </w:rPr>
        <w:t xml:space="preserve">our Credit Agreement with MidCap Financial and used $10 million of the proceeds received from the Royalty Purchase Agreement to pay down the outstanding principal under the Credit Agreement from $25 million to $15 million. </w:t>
      </w:r>
      <w:r>
        <w:rPr>
          <w:rFonts w:ascii="Times New Roman" w:hAnsi="Times New Roman"/>
          <w:b w:val="false"/>
          <w:i w:val="false"/>
          <w:caps w:val="false"/>
          <w:smallCaps w:val="false"/>
          <w:color w:val="000000"/>
          <w:sz w:val="20"/>
        </w:rPr>
        <w:t>The amended Credit Agreement was accounted for under ASC 470-50, </w:t>
      </w:r>
      <w:r>
        <w:rPr>
          <w:rFonts w:ascii="Times New Roman" w:hAnsi="Times New Roman"/>
          <w:b w:val="false"/>
          <w:i/>
          <w:caps w:val="false"/>
          <w:smallCaps w:val="false"/>
          <w:color w:val="000000"/>
          <w:sz w:val="20"/>
        </w:rPr>
        <w:t>Debt Modifications and Extinguishments</w:t>
      </w:r>
      <w:r>
        <w:rPr>
          <w:rFonts w:ascii="Times New Roman" w:hAnsi="Times New Roman"/>
          <w:b w:val="false"/>
          <w:i w:val="false"/>
          <w:caps w:val="false"/>
          <w:smallCaps w:val="false"/>
          <w:color w:val="000000"/>
          <w:sz w:val="20"/>
        </w:rPr>
        <w:t xml:space="preserve"> as a </w:t>
      </w:r>
      <w:r>
        <w:rPr>
          <w:rFonts w:ascii="Times New Roman" w:hAnsi="Times New Roman"/>
          <w:b w:val="false"/>
          <w:i w:val="false"/>
          <w:caps w:val="false"/>
          <w:smallCaps w:val="false"/>
          <w:sz w:val="20"/>
        </w:rPr>
        <w:t>debt</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sz w:val="20"/>
        </w:rPr>
        <w:t>modification</w:t>
      </w:r>
      <w:r>
        <w:rPr>
          <w:rFonts w:ascii="Times New Roman" w:hAnsi="Times New Roman"/>
          <w:b w:val="false"/>
          <w:i w:val="false"/>
          <w:caps w:val="false"/>
          <w:smallCaps w:val="false"/>
          <w:color w:val="000000"/>
          <w:sz w:val="20"/>
        </w:rPr>
        <w:t>,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Other Significant Accounting Policies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other significant accounting policies were reported in our Annual Report on Form 10-K for the year ended December 31, 2020 that was filed with the SEC on March 31, 2021. Our other significant accounting policies have not changed materially from the policies previously reported.</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 Accounting Pronouncements Not Yet Adopted</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ASU 2020-04, “</w:t>
      </w:r>
      <w:r>
        <w:rPr>
          <w:rFonts w:ascii="Times New Roman" w:hAnsi="Times New Roman"/>
          <w:b w:val="false"/>
          <w:i/>
          <w:caps w:val="false"/>
          <w:smallCaps w:val="false"/>
          <w:color w:val="000000"/>
          <w:sz w:val="20"/>
        </w:rPr>
        <w:t>Reference Rate Reform (Topic 848)”</w:t>
      </w:r>
      <w:r>
        <w:rPr>
          <w:rFonts w:ascii="Times New Roman" w:hAnsi="Times New Roman"/>
          <w:b w:val="false"/>
          <w:i w:val="false"/>
          <w:caps w:val="false"/>
          <w:smallCaps w:val="false"/>
          <w:color w:val="000000"/>
          <w:sz w:val="20"/>
        </w:rPr>
        <w:t xml:space="preserve"> provides optional expedients and exceptions for applying GAAP to loan and lease agreements, derivative contracts, and other transactions affected by the anticipated transition away from LIBOR toward new interest rate benchmarks. The United Kingdom’s Financial Conduct Authority (the “FCA”), which regulates LIBOR, has announced that it intends to phase out LIBOR by the end of 2021. It is unclear if at that time LIBOR will cease to exist or if new methods of calculating LIBOR will be established such that it continues to exist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At this time, it is not possible to predict the effect of any such changes, any establishment of alternative reference rates or any other reforms to LIBOR that may be enacted. An entity may elect to apply the amendments prospectively from March 12, 2020 through December 31, 2022. Our credit agreement with MidCap Financial currently references LIBOR and also provides that we may amend the credit agreement to reflect an alternative rate of interest upon the phase out of LIBOR. We are currently evaluating the impact that ASU 2020-04 may have on our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2. Discontinued Operations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financial statements include results from discontinued operations from two separate transactions: the sale of our hyperimmune business in 2017, from which we received a payment in 2021 related to the collection of a certain accounts receivable, and our Aptevo BioTherapeutics LLC business, which was sold in 2020.</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rights, title and interest to the IXINITY product and the related Hemophilia B business and intellectual property</w:t>
      </w:r>
      <w:r>
        <w:rPr>
          <w:rFonts w:ascii="Times New Roman" w:hAnsi="Times New Roman"/>
          <w:b w:val="false"/>
          <w:i w:val="false"/>
          <w:caps w:val="false"/>
          <w:smallCaps w:val="false"/>
          <w:color w:val="000000"/>
          <w:sz w:val="20"/>
          <w:highlight w:val="white"/>
        </w:rPr>
        <w:t xml:space="preserve">. </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 We recorded the gain on sale in the quarter ended March 31, 2020.</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represents the components attributable to income from discontinued operations in the unaudited condensed consolidated statements of operations (in thousands):</w:t>
      </w:r>
    </w:p>
    <w:tbl>
      <w:tblPr>
        <w:tblW w:w="8999" w:type="dxa"/>
        <w:jc w:val="left"/>
        <w:tblInd w:w="0" w:type="dxa"/>
        <w:tblCellMar>
          <w:top w:w="0" w:type="dxa"/>
          <w:left w:w="0" w:type="dxa"/>
          <w:bottom w:w="28" w:type="dxa"/>
          <w:right w:w="0" w:type="dxa"/>
        </w:tblCellMar>
      </w:tblPr>
      <w:tblGrid>
        <w:gridCol w:w="3860"/>
        <w:gridCol w:w="60"/>
        <w:gridCol w:w="329"/>
        <w:gridCol w:w="881"/>
        <w:gridCol w:w="157"/>
        <w:gridCol w:w="157"/>
        <w:gridCol w:w="329"/>
        <w:gridCol w:w="684"/>
        <w:gridCol w:w="60"/>
        <w:gridCol w:w="60"/>
        <w:gridCol w:w="226"/>
        <w:gridCol w:w="606"/>
        <w:gridCol w:w="108"/>
        <w:gridCol w:w="108"/>
        <w:gridCol w:w="226"/>
        <w:gridCol w:w="1068"/>
        <w:gridCol w:w="80"/>
      </w:tblGrid>
      <w:tr>
        <w:trPr/>
        <w:tc>
          <w:tcPr>
            <w:tcW w:w="38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3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4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9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 - Aptevo BioTherapeutics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3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8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Gain on sale of Aptevo BioTherapeutics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Payment from Saol</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payment from Medexus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from discontinued operations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5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w:t>
            </w:r>
          </w:p>
        </w:tc>
        <w:tc>
          <w:tcPr>
            <w:tcW w:w="10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12,898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LLC Purchase Agreement with Medexus entitles us to future deferred payments and royalties. </w:t>
      </w:r>
      <w:r>
        <w:rPr>
          <w:rFonts w:ascii="Times New Roman" w:hAnsi="Times New Roman"/>
          <w:b w:val="false"/>
          <w:i w:val="false"/>
          <w:caps w:val="false"/>
          <w:smallCaps w:val="false"/>
          <w:color w:val="000000"/>
          <w:sz w:val="20"/>
          <w:highlight w:val="white"/>
        </w:rPr>
        <w:t xml:space="preserve">For the three months ended June 30, 2021, we collected </w:t>
      </w:r>
      <w:r>
        <w:rPr>
          <w:rFonts w:ascii="Times New Roman" w:hAnsi="Times New Roman"/>
          <w:b w:val="false"/>
          <w:i w:val="false"/>
          <w:caps w:val="false"/>
          <w:smallCaps w:val="false"/>
          <w:color w:val="000000"/>
          <w:sz w:val="20"/>
        </w:rPr>
        <w:t xml:space="preserve">a deferred payment of $0.1 million received from Medexus in May 2021 related to first quarter 2021 IXINITY sales. </w:t>
      </w:r>
      <w:r>
        <w:rPr>
          <w:rFonts w:ascii="Times New Roman" w:hAnsi="Times New Roman"/>
          <w:b w:val="false"/>
          <w:i w:val="false"/>
          <w:caps w:val="false"/>
          <w:smallCaps w:val="false"/>
          <w:color w:val="000000"/>
          <w:sz w:val="20"/>
          <w:highlight w:val="white"/>
        </w:rPr>
        <w:t>Medexus communicated their second quarter 2021 net IXINITY sales to Aptevo in July and expects to make a deferred payment, within 45 days after quarter-end per the LLC Purchase Agreement, to Aptevo of approximately $0.1 million. As such, we will record the deferred payment amount related to Medexus’ second quarter sales of IXINITY as a gain when collected.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was no amortization for Aptevo BioTherapeutics in the three or six months ended June 30, 2021 and amortization was $0.1 million in the three and six months ended June 30, 2020. There was no depreciation or capital expenditures for the three or six months ended June 30, 2021 or June 30, 2020. Significant operating non-cash items include the gain on sale of Aptevo BioTherapeutics of $14.3 million for the six months ended June 30, 2020. There were no significant investing non-cash items for the six months ended June 30, 2021 and 2020.</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3. Collaboration Agreements</w:t>
      </w:r>
    </w:p>
    <w:p>
      <w:pPr>
        <w:pStyle w:val="TextBody"/>
        <w:spacing w:before="12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 xml:space="preserve">Alligator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assessed the arrangement in accordance with ASC 606 and concluded that the contract counterparty, Alligator, is not a customer. As such the arrangement is not in the scope of ASC 606 and is instead treated as a collaborative agreement under ASC 808 – Collaborative Arrangements (ASC 808). In accordance with ASC 808, we concluded that because the Collaboration Agreement is a cost sharing agreement, there is no revenue.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recorded a $0.1 million increase and </w:t>
      </w:r>
      <w:r>
        <w:rPr>
          <w:rFonts w:ascii="Times New Roman" w:hAnsi="Times New Roman"/>
          <w:b w:val="false"/>
          <w:i w:val="false"/>
          <w:caps w:val="false"/>
          <w:smallCaps w:val="false"/>
          <w:color w:val="000000"/>
          <w:sz w:val="20"/>
          <w:highlight w:val="white"/>
        </w:rPr>
        <w:t>an immaterial increase in research and development expense</w:t>
      </w:r>
      <w:r>
        <w:rPr>
          <w:rFonts w:ascii="Times New Roman" w:hAnsi="Times New Roman"/>
          <w:b w:val="false"/>
          <w:i w:val="false"/>
          <w:caps w:val="false"/>
          <w:smallCaps w:val="false"/>
          <w:color w:val="000000"/>
          <w:sz w:val="20"/>
        </w:rPr>
        <w:t xml:space="preserve"> related to the Collaboration Agreement, for the six months ended June 30, 2021 and </w:t>
      </w:r>
      <w:r>
        <w:rPr>
          <w:rFonts w:ascii="Times New Roman" w:hAnsi="Times New Roman"/>
          <w:b w:val="false"/>
          <w:i w:val="false"/>
          <w:caps w:val="false"/>
          <w:smallCaps w:val="false"/>
          <w:color w:val="000000"/>
          <w:sz w:val="20"/>
          <w:highlight w:val="white"/>
        </w:rPr>
        <w:t>June 30, 2020, respectively.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4. Fair Value Measurements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1— Quoted prices in active markets for identical assets and liabilities;</w:t>
      </w:r>
    </w:p>
    <w:p>
      <w:pPr>
        <w:pStyle w:val="TextBody"/>
        <w:spacing w:before="120" w:after="0"/>
        <w:jc w:val="both"/>
        <w:rPr>
          <w:rFonts w:ascii="Times New Roman" w:hAnsi="Times New Roman"/>
          <w:b w:val="false"/>
          <w:i w:val="false"/>
          <w:caps w:val="false"/>
          <w:smallCaps w:val="false"/>
          <w:spacing w:val="-2"/>
          <w:sz w:val="20"/>
        </w:rPr>
      </w:pPr>
      <w:r>
        <w:rPr>
          <w:rFonts w:ascii="Times New Roman" w:hAnsi="Times New Roman"/>
          <w:b w:val="false"/>
          <w:i w:val="false"/>
          <w:caps w:val="false"/>
          <w:smallCaps w:val="false"/>
          <w:spacing w:val="-2"/>
          <w:sz w:val="20"/>
        </w:rPr>
        <w:t>Level 2— Inputs other than quoted prices in active markets that are either directly or indirectly observable; and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3— Unobservable inputs that are supported by little or no market activity and that are significant to the fair value of the assets or liabilities.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June 30, 2021 and December 31, 2020, we had $55.9 million and $35.4 million in Level 1 money market funds, respectively. The carrying amounts of our money market funds approximate their fair value. At June 30, 2021 and December 31, 2020, we did not have any Level 2 or Level 3 assets.</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5. Cash, Cash Equivalents, and Restricted Cash</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cash equivalents are highly liquid investments with a maturity of 90 days or less at the date of purchase and include time deposits and investments in money market funds. Restricted cash - current includes $1.3 million securing letters of credit.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shows our cash, cash equivalents and current restricted cash as of June 30, 2021 and December 31, 2020:</w:t>
      </w:r>
    </w:p>
    <w:p>
      <w:pPr>
        <w:pStyle w:val="TextBody"/>
        <w:spacing w:before="0" w:after="0"/>
        <w:rPr/>
      </w:pPr>
      <w:r>
        <w:rPr/>
        <w:t> </w:t>
      </w:r>
    </w:p>
    <w:tbl>
      <w:tblPr>
        <w:tblW w:w="5854" w:type="dxa"/>
        <w:jc w:val="left"/>
        <w:tblInd w:w="0" w:type="dxa"/>
        <w:tblCellMar>
          <w:top w:w="0" w:type="dxa"/>
          <w:left w:w="0" w:type="dxa"/>
          <w:bottom w:w="0" w:type="dxa"/>
          <w:right w:w="0" w:type="dxa"/>
        </w:tblCellMar>
      </w:tblPr>
      <w:tblGrid>
        <w:gridCol w:w="3890"/>
        <w:gridCol w:w="60"/>
        <w:gridCol w:w="125"/>
        <w:gridCol w:w="590"/>
        <w:gridCol w:w="60"/>
        <w:gridCol w:w="60"/>
        <w:gridCol w:w="175"/>
        <w:gridCol w:w="834"/>
        <w:gridCol w:w="60"/>
      </w:tblGrid>
      <w:tr>
        <w:trPr/>
        <w:tc>
          <w:tcPr>
            <w:tcW w:w="389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4,601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55,896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35,378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 - current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cash equivalents, and restricted cash</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61,653</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42,534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6. Debt</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Credit Agreement</w:t>
      </w:r>
    </w:p>
    <w:p>
      <w:pPr>
        <w:pStyle w:val="TextBody"/>
        <w:spacing w:lineRule="auto" w:line="288"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August 5, 2020, we entered into a Credit and Security Agreement (the Credit Agreement), with MidCap Financial. The Credit Agreement provided us with up to $25.0 million of available borrowing capacity under a term loan facility. </w:t>
      </w:r>
      <w:r>
        <w:rPr>
          <w:rFonts w:ascii="Times New Roman" w:hAnsi="Times New Roman"/>
          <w:b w:val="false"/>
          <w:i w:val="false"/>
          <w:caps w:val="false"/>
          <w:smallCaps w:val="false"/>
          <w:sz w:val="20"/>
          <w:highlight w:val="white"/>
        </w:rPr>
        <w:t>The full $25.0 million was drawn on the closing date of the Credit Agreement</w:t>
      </w:r>
      <w:r>
        <w:rPr>
          <w:rFonts w:ascii="Times New Roman" w:hAnsi="Times New Roman"/>
          <w:b w:val="false"/>
          <w:i w:val="false"/>
          <w:caps w:val="false"/>
          <w:smallCaps w:val="false"/>
          <w:sz w:val="20"/>
        </w:rPr>
        <w:t>. The term loan facility has a 48 month term, is interest-only for the first 18 months, with straight-line amortization for the remaining 30 months and bears interest at a rate of one month LIBOR plus 6.25% per annum, subject to a 1.50% LIBOR floor and a 2.50% LIBOR cap. The term loan facility included additional repayment provisions should either or both of the royalties or milestones related to IXINITY or royalties related to RUXIENCE</w:t>
      </w:r>
      <w:r>
        <w:rPr>
          <w:rFonts w:ascii="Times New Roman" w:hAnsi="Times New Roman"/>
          <w:b w:val="false"/>
          <w:i w:val="false"/>
          <w:caps w:val="false"/>
          <w:smallCaps w:val="false"/>
          <w:sz w:val="20"/>
          <w:highlight w:val="white"/>
        </w:rPr>
        <w:t xml:space="preserve"> </w:t>
      </w:r>
      <w:r>
        <w:rPr>
          <w:rFonts w:ascii="Times New Roman" w:hAnsi="Times New Roman"/>
          <w:b w:val="false"/>
          <w:i w:val="false"/>
          <w:caps w:val="false"/>
          <w:smallCaps w:val="false"/>
          <w:sz w:val="20"/>
        </w:rPr>
        <w:t>be sold during the term of the loan.</w:t>
      </w:r>
      <w:r>
        <w:rPr>
          <w:rFonts w:ascii="Times New Roman" w:hAnsi="Times New Roman"/>
          <w:b w:val="false"/>
          <w:i w:val="false"/>
          <w:caps w:val="false"/>
          <w:smallCaps w:val="false"/>
          <w:color w:val="000000"/>
          <w:sz w:val="20"/>
        </w:rPr>
        <w:t xml:space="preserve"> The United Kingdom’s Financial Conduct Authority (the “FCA”), which regulates LIBOR, has announced that it intends to phase out LIBOR by the end of 2021. It is unclear if at that time LIBOR will cease to exist or if new methods of calculating LIBOR will be established such that it continues to exist after 2021. O</w:t>
      </w:r>
      <w:r>
        <w:rPr>
          <w:rFonts w:ascii="Times New Roman" w:hAnsi="Times New Roman"/>
          <w:b w:val="false"/>
          <w:i w:val="false"/>
          <w:caps w:val="false"/>
          <w:smallCaps w:val="false"/>
          <w:sz w:val="20"/>
        </w:rPr>
        <w:t>ur credit agreement with MidCap Financial currently references LIBOR and also provides that we may amend the credit agreement to reflect an alternative rate of interest upon the phase out of LIBOR.</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On November 6, 2020, Kevin Tang and his related entities filed a statement on Schedule 13D to report the purchase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will be payable on March 31, 2022.  Beginning March 1, 2022, monthly repayment of the remaining $5.0 million of principal will commence and continue for the final 30 months of the loan term.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w:t>
      </w:r>
      <w:r>
        <w:rPr>
          <w:rFonts w:ascii="Times New Roman" w:hAnsi="Times New Roman"/>
          <w:b w:val="false"/>
          <w:i w:val="false"/>
          <w:caps w:val="false"/>
          <w:smallCaps w:val="false"/>
          <w:color w:val="000000"/>
          <w:sz w:val="20"/>
        </w:rPr>
        <w:t>he amended Credit Agreement was accounted for as a </w:t>
      </w:r>
      <w:r>
        <w:rPr>
          <w:rFonts w:ascii="Times New Roman" w:hAnsi="Times New Roman"/>
          <w:b w:val="false"/>
          <w:i w:val="false"/>
          <w:caps w:val="false"/>
          <w:smallCaps w:val="false"/>
          <w:sz w:val="20"/>
        </w:rPr>
        <w:t>debt</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sz w:val="20"/>
        </w:rPr>
        <w:t>modification</w:t>
      </w:r>
      <w:r>
        <w:rPr>
          <w:rFonts w:ascii="Times New Roman" w:hAnsi="Times New Roman"/>
          <w:b w:val="false"/>
          <w:i w:val="false"/>
          <w:caps w:val="false"/>
          <w:smallCaps w:val="false"/>
          <w:color w:val="000000"/>
          <w:sz w:val="20"/>
        </w:rPr>
        <w:t>,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we classified $10.7 million of the remaining $15.0 million principal of the amended Credit Agreement to current portion of long-term debt on the condensed consolidated balance sheet. The amended Credit Agreement states $10.0 million of the remaining $15.0 million principal balance will be payable on March 31, 2022. Additionally, within the next twelve months, we will pay $0.7 million to MidCap Financial for monthly repayments of outstanding principal beginning on March 1, 2022.</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facility is subject to a subjective acceleration clause that could be invoked by MidCap Financial upon the occurrence of any event MidCap Financial deems to have a material adverse effect on our ability to repay the lender.</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7. Liability Related to Sale of Future Royalties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In March 2021, </w:t>
      </w:r>
      <w:r>
        <w:rPr>
          <w:rFonts w:ascii="Times New Roman" w:hAnsi="Times New Roman"/>
          <w:b w:val="false"/>
          <w:i w:val="false"/>
          <w:caps w:val="false"/>
          <w:smallCaps w:val="false"/>
          <w:color w:val="000000"/>
          <w:sz w:val="20"/>
        </w:rPr>
        <w:t>we entered into and closed the Royalty Purchase Agreement with HCR pursuant to which we sold to HCR the right to receive royalty payments made by Pfizer in respect of global net sales of RUXIENCE. Under the terms of the agreement, we received $35.0 million (the Investment Amount) at closing and we are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amount paid at closing plus Milestone Amounts to the extent paid by HCR to the Company, Aptevo will be entitled to receive 50% of royalty interest payments thereafter.</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proceeds received from HCR of $35.0 million were recorded as a liability, net of transaction costs of $1.1 million, which will be amortized over the estimated life of the arrangement using the effective interest method. In order to determine the amortization of the liability, we are required to estimate the total amount of future royalty payments to be received by HCR over the life of the arrangement. The total amount of royalty payments received by HCR under the Royalty Purchase Agreement, less the net proceeds we received of $33.9 million, is recorded as non-cash interest expense over the life of the arrangement using the effective interest method. </w:t>
      </w:r>
      <w:r>
        <w:rPr>
          <w:rFonts w:ascii="Times New Roman" w:hAnsi="Times New Roman"/>
          <w:b w:val="false"/>
          <w:i w:val="false"/>
          <w:caps w:val="false"/>
          <w:smallCaps w:val="false"/>
          <w:color w:val="000000"/>
          <w:sz w:val="20"/>
        </w:rPr>
        <w:t>We maintain our rights under the collaboration and license agreement originally between Trubion and Wyeth, with the exception of the cash flows of the RUXIENCE royalty payments purchased by HCR. Due to our continuing involvement under the collaboration and license agreement originally between Trubion and Wyeth</w:t>
      </w:r>
      <w:r>
        <w:rPr>
          <w:rFonts w:ascii="Times New Roman" w:hAnsi="Times New Roman"/>
          <w:b w:val="false"/>
          <w:i w:val="false"/>
          <w:caps w:val="false"/>
          <w:smallCaps w:val="false"/>
          <w:color w:val="000000"/>
          <w:sz w:val="20"/>
          <w:highlight w:val="white"/>
        </w:rPr>
        <w:t xml:space="preserve">,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w:t>
      </w:r>
      <w:r>
        <w:rPr>
          <w:rFonts w:ascii="Times New Roman" w:hAnsi="Times New Roman"/>
          <w:b w:val="false"/>
          <w:i w:val="false"/>
          <w:caps w:val="false"/>
          <w:smallCaps w:val="false"/>
          <w:color w:val="000000"/>
          <w:sz w:val="20"/>
        </w:rPr>
        <w:t>To the extent total future royalties collected are an amount less than the liability, the Company is not obligated to fund any such shortfall.</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estimate the effective interest rate used to record non-cash interest expense under the Royalty Purchase Agreement based on the estimate of future royalty payments to be received by HCR. As of June 30, 2021, the estimated effective interest rate under the agreement was 21.9%. Over the life of the arrangement, the actual effective interest rate will be affected by the amount and timing of the royalty payments received by HCR and changes in our forecasted royalties. Periodically, we will reassess our estimate of total future royalty payments to be received by HCR, and prospectively adjust the effective interest rate and amortization of the liability as necessary.</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presents the changes in the liability related to the sale of future royalties under the Royalty Purchase Agreement with HCR (in thousands):</w:t>
      </w:r>
    </w:p>
    <w:tbl>
      <w:tblPr>
        <w:tblW w:w="7319" w:type="dxa"/>
        <w:jc w:val="left"/>
        <w:tblInd w:w="0" w:type="dxa"/>
        <w:tblCellMar>
          <w:top w:w="0" w:type="dxa"/>
          <w:left w:w="0" w:type="dxa"/>
          <w:bottom w:w="0" w:type="dxa"/>
          <w:right w:w="0" w:type="dxa"/>
        </w:tblCellMar>
      </w:tblPr>
      <w:tblGrid>
        <w:gridCol w:w="5000"/>
        <w:gridCol w:w="60"/>
        <w:gridCol w:w="351"/>
        <w:gridCol w:w="1828"/>
        <w:gridCol w:w="80"/>
      </w:tblGrid>
      <w:tr>
        <w:trPr/>
        <w:tc>
          <w:tcPr>
            <w:tcW w:w="500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7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Liability related to sale of future royalties, beginning balance</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1"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2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33,920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shd w:fill="FFFFFF"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interest expense</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CFF0FC" w:val="clear"/>
            <w:tcMar>
              <w:bottom w:w="28"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RUXIENCE royalties paid to HCR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Liability related to sale of future royalties, ending balance</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1"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8"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33,347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00" w:type="dxa"/>
            <w:tcBorders>
              <w:bottom w:val="single" w:sz="6" w:space="0" w:color="000000"/>
            </w:tcBorders>
            <w:shd w:fill="CFF0FC" w:val="clear"/>
            <w:tcMar>
              <w:bottom w:w="28"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portion of liability related to sale of future royalties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(12,810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0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Liability related to sale of future royalties, non-current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20,537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8. Leases</w:t>
      </w:r>
    </w:p>
    <w:p>
      <w:pPr>
        <w:pStyle w:val="TextBody"/>
        <w:spacing w:before="0" w:after="0"/>
        <w:jc w:val="both"/>
        <w:rPr/>
      </w:pPr>
      <w:r>
        <w:rPr/>
        <w:t> </w:t>
      </w:r>
    </w:p>
    <w:p>
      <w:pPr>
        <w:pStyle w:val="TextBody"/>
        <w:spacing w:before="0" w:after="120"/>
        <w:jc w:val="both"/>
        <w:rPr>
          <w:rFonts w:ascii="Times New Roman" w:hAnsi="Times New Roman"/>
          <w:b/>
          <w:i/>
          <w:caps w:val="false"/>
          <w:smallCaps w:val="false"/>
          <w:sz w:val="20"/>
        </w:rPr>
      </w:pPr>
      <w:r>
        <w:rPr>
          <w:rFonts w:ascii="Times New Roman" w:hAnsi="Times New Roman"/>
          <w:b/>
          <w:i/>
          <w:caps w:val="false"/>
          <w:smallCaps w:val="false"/>
          <w:sz w:val="20"/>
        </w:rPr>
        <w:t>Office Space Lease - Operating</w:t>
      </w:r>
    </w:p>
    <w:p>
      <w:pPr>
        <w:pStyle w:val="TextBody"/>
        <w:spacing w:before="0" w:after="0"/>
        <w:jc w:val="both"/>
        <w:rPr>
          <w:caps w:val="false"/>
          <w:smallCaps w:val="false"/>
        </w:rPr>
      </w:pPr>
      <w:r>
        <w:rPr>
          <w:caps w:val="false"/>
          <w:smallCaps w:val="false"/>
        </w:rPr>
        <w:t> </w:t>
      </w:r>
      <w:r>
        <w:rPr>
          <w:rFonts w:ascii="Times New Roman" w:hAnsi="Times New Roman"/>
          <w:b w:val="false"/>
          <w:i w:val="false"/>
          <w:caps w:val="false"/>
          <w:smallCaps w:val="false"/>
          <w:color w:val="000000"/>
          <w:sz w:val="20"/>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  </w:t>
      </w:r>
    </w:p>
    <w:p>
      <w:pPr>
        <w:pStyle w:val="TextBody"/>
        <w:spacing w:before="120" w:after="0"/>
        <w:jc w:val="both"/>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the three and six months ended June 30, 2021, we recorded $0.2 million and $0.4 million, respectively, related to variable expenses. For the three and six months ended June 30, 2020, we recorded $0.2 million and $0.3 million, respectively, related to variable expenses.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Equipment Leases - Operating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we have operating leases for one piece of lab equipment and four copiers in our Seattle, Washington headquarters. The future expense for these leases will be straight-line and will include any variable expenses that arise.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Equipment Lease – Financing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we had one equipment lease classified as a financing lease as the lease transferred ownership of the underlying asset to us at the end of the lease term in 2020. The lease has no remaining expense obligation. There were no financing lease payments in the three months or six months ended June 30, 2021.  </w:t>
      </w:r>
    </w:p>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Components of lease expense:</w:t>
      </w:r>
    </w:p>
    <w:p>
      <w:pPr>
        <w:pStyle w:val="TextBody"/>
        <w:spacing w:before="40" w:after="0"/>
        <w:jc w:val="both"/>
        <w:rPr/>
      </w:pPr>
      <w:r>
        <w:rPr/>
        <w:t> </w:t>
      </w:r>
    </w:p>
    <w:tbl>
      <w:tblPr>
        <w:tblW w:w="10205" w:type="dxa"/>
        <w:jc w:val="left"/>
        <w:tblInd w:w="0" w:type="dxa"/>
        <w:tblCellMar>
          <w:top w:w="0" w:type="dxa"/>
          <w:left w:w="0" w:type="dxa"/>
          <w:bottom w:w="0" w:type="dxa"/>
          <w:right w:w="0" w:type="dxa"/>
        </w:tblCellMar>
      </w:tblPr>
      <w:tblGrid>
        <w:gridCol w:w="2169"/>
        <w:gridCol w:w="60"/>
        <w:gridCol w:w="528"/>
        <w:gridCol w:w="1421"/>
        <w:gridCol w:w="60"/>
        <w:gridCol w:w="60"/>
        <w:gridCol w:w="495"/>
        <w:gridCol w:w="1332"/>
        <w:gridCol w:w="60"/>
        <w:gridCol w:w="60"/>
        <w:gridCol w:w="528"/>
        <w:gridCol w:w="1421"/>
        <w:gridCol w:w="60"/>
        <w:gridCol w:w="60"/>
        <w:gridCol w:w="495"/>
        <w:gridCol w:w="1332"/>
        <w:gridCol w:w="64"/>
      </w:tblGrid>
      <w:tr>
        <w:trPr/>
        <w:tc>
          <w:tcPr>
            <w:tcW w:w="21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7"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7"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9"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7"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7"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9"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3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3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790</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9"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cost: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9" w:type="dxa"/>
            <w:tcBorders/>
            <w:shd w:fill="CFF0FC"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of right-of-use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9" w:type="dxa"/>
            <w:tcBorders>
              <w:bottom w:val="single" w:sz="6" w:space="0" w:color="000000"/>
            </w:tcBorders>
            <w:shd w:fill="FFFFFF" w:val="clear"/>
            <w:tcMar>
              <w:bottom w:w="28"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on lease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1"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2"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1"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2"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69"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cost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3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2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3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w:t>
            </w:r>
          </w:p>
        </w:tc>
        <w:tc>
          <w:tcPr>
            <w:tcW w:w="6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Right of use assets acquired under operating leases:</w:t>
      </w:r>
    </w:p>
    <w:p>
      <w:pPr>
        <w:pStyle w:val="TextBody"/>
        <w:spacing w:before="0" w:after="0"/>
        <w:jc w:val="both"/>
        <w:rPr/>
      </w:pPr>
      <w:r>
        <w:rPr/>
        <w:t> </w:t>
      </w:r>
    </w:p>
    <w:tbl>
      <w:tblPr>
        <w:tblW w:w="6553" w:type="dxa"/>
        <w:jc w:val="left"/>
        <w:tblInd w:w="0" w:type="dxa"/>
        <w:tblCellMar>
          <w:top w:w="0" w:type="dxa"/>
          <w:left w:w="0" w:type="dxa"/>
          <w:bottom w:w="0" w:type="dxa"/>
          <w:right w:w="0" w:type="dxa"/>
        </w:tblCellMar>
      </w:tblPr>
      <w:tblGrid>
        <w:gridCol w:w="3830"/>
        <w:gridCol w:w="60"/>
        <w:gridCol w:w="216"/>
        <w:gridCol w:w="838"/>
        <w:gridCol w:w="60"/>
        <w:gridCol w:w="60"/>
        <w:gridCol w:w="291"/>
        <w:gridCol w:w="1138"/>
        <w:gridCol w:w="60"/>
      </w:tblGrid>
      <w:tr>
        <w:trPr/>
        <w:tc>
          <w:tcPr>
            <w:tcW w:w="383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leases, excluding Seattle office lease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Seattle office lease, including amendment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2,159</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i/>
          <w:caps w:val="false"/>
          <w:smallCaps w:val="false"/>
          <w:sz w:val="20"/>
        </w:rPr>
      </w:pPr>
      <w:r>
        <w:rPr>
          <w:rFonts w:ascii="Times New Roman" w:hAnsi="Times New Roman"/>
          <w:b/>
          <w:i/>
          <w:caps w:val="false"/>
          <w:smallCaps w:val="false"/>
          <w:sz w:val="20"/>
        </w:rPr>
        <w:t>Lease payments:</w:t>
      </w:r>
    </w:p>
    <w:p>
      <w:pPr>
        <w:pStyle w:val="TextBody"/>
        <w:spacing w:before="0" w:after="0"/>
        <w:jc w:val="both"/>
        <w:rPr/>
      </w:pPr>
      <w:r>
        <w:rPr/>
        <w:t> </w:t>
      </w:r>
    </w:p>
    <w:tbl>
      <w:tblPr>
        <w:tblW w:w="7018" w:type="dxa"/>
        <w:jc w:val="left"/>
        <w:tblInd w:w="0" w:type="dxa"/>
        <w:tblCellMar>
          <w:top w:w="0" w:type="dxa"/>
          <w:left w:w="0" w:type="dxa"/>
          <w:bottom w:w="0" w:type="dxa"/>
          <w:right w:w="0" w:type="dxa"/>
        </w:tblCellMar>
      </w:tblPr>
      <w:tblGrid>
        <w:gridCol w:w="1640"/>
        <w:gridCol w:w="60"/>
        <w:gridCol w:w="696"/>
        <w:gridCol w:w="1873"/>
        <w:gridCol w:w="60"/>
        <w:gridCol w:w="60"/>
        <w:gridCol w:w="696"/>
        <w:gridCol w:w="1873"/>
        <w:gridCol w:w="60"/>
      </w:tblGrid>
      <w:tr>
        <w:trPr/>
        <w:tc>
          <w:tcPr>
            <w:tcW w:w="164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40"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operating leases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7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7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long-term portion of the lease liabilities included in the amounts above is $1.9 million and the remainder of our lease liabilities are included in other current liabilities on our condensed consolidated balance sheets.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the weighted average remaining lease term and weighted average discount rate for operating leases was 1.8 years and 14.49%. As of June 30, 2020, the weighted average remaining lease term and weighted average discount rate for operating leases was 2.8 years and 14.54%.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9. Net Income (Loss) per Share</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Common stock equivalents include warrants, stock options and unvested RSUs.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presents the computation of basic and diluted net income (loss) per share (in thousands, except share and per share amounts):</w:t>
      </w:r>
    </w:p>
    <w:p>
      <w:pPr>
        <w:pStyle w:val="TextBody"/>
        <w:spacing w:before="0" w:after="0"/>
        <w:jc w:val="both"/>
        <w:rPr>
          <w:caps w:val="false"/>
          <w:smallCaps w:val="false"/>
          <w:color w:val="000000"/>
        </w:rPr>
      </w:pPr>
      <w:r>
        <w:rPr>
          <w:caps w:val="false"/>
          <w:smallCaps w:val="false"/>
          <w:color w:val="000000"/>
        </w:rPr>
        <w:t> </w:t>
      </w:r>
    </w:p>
    <w:tbl>
      <w:tblPr>
        <w:tblW w:w="10205" w:type="dxa"/>
        <w:jc w:val="left"/>
        <w:tblInd w:w="0" w:type="dxa"/>
        <w:tblCellMar>
          <w:top w:w="0" w:type="dxa"/>
          <w:left w:w="0" w:type="dxa"/>
          <w:bottom w:w="28" w:type="dxa"/>
          <w:right w:w="0" w:type="dxa"/>
        </w:tblCellMar>
      </w:tblPr>
      <w:tblGrid>
        <w:gridCol w:w="4745"/>
        <w:gridCol w:w="60"/>
        <w:gridCol w:w="160"/>
        <w:gridCol w:w="1087"/>
        <w:gridCol w:w="102"/>
        <w:gridCol w:w="76"/>
        <w:gridCol w:w="160"/>
        <w:gridCol w:w="1087"/>
        <w:gridCol w:w="80"/>
        <w:gridCol w:w="60"/>
        <w:gridCol w:w="150"/>
        <w:gridCol w:w="1018"/>
        <w:gridCol w:w="95"/>
        <w:gridCol w:w="72"/>
        <w:gridCol w:w="150"/>
        <w:gridCol w:w="1018"/>
        <w:gridCol w:w="85"/>
      </w:tblGrid>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6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0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from continuing operations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(8,064</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(15,734</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(16,804</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from discontinued operations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12,898</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(7,932</w:t>
            </w:r>
          </w:p>
        </w:tc>
        <w:tc>
          <w:tcPr>
            <w:tcW w:w="102"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(15,188</w:t>
            </w:r>
          </w:p>
        </w:tc>
        <w:tc>
          <w:tcPr>
            <w:tcW w:w="9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(3,906</w:t>
            </w:r>
          </w:p>
        </w:tc>
        <w:tc>
          <w:tcPr>
            <w:tcW w:w="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and diluted net income (loss) per share:</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from continuing operations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10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(3.51</w:t>
            </w:r>
          </w:p>
        </w:tc>
        <w:tc>
          <w:tcPr>
            <w:tcW w:w="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(5.14</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from discontinued operations</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0.03</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0.12</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basic share</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w:t>
            </w:r>
          </w:p>
        </w:tc>
        <w:tc>
          <w:tcPr>
            <w:tcW w:w="102"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6"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(3.39</w:t>
            </w:r>
          </w:p>
        </w:tc>
        <w:tc>
          <w:tcPr>
            <w:tcW w:w="9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w:t>
            </w:r>
          </w:p>
        </w:tc>
        <w:tc>
          <w:tcPr>
            <w:tcW w:w="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shares used to compute per share calculations</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4,536,517</w:t>
            </w:r>
          </w:p>
        </w:tc>
        <w:tc>
          <w:tcPr>
            <w:tcW w:w="10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3,232,811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4,477,821</w:t>
            </w:r>
          </w:p>
        </w:tc>
        <w:tc>
          <w:tcPr>
            <w:tcW w:w="9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3,269,410</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represents all potentially dilutive shares, which were all anti-dilutive and therefore excluded from the calculation of diluted net loss per share:</w:t>
      </w:r>
    </w:p>
    <w:p>
      <w:pPr>
        <w:pStyle w:val="TextBody"/>
        <w:spacing w:before="0" w:after="0"/>
        <w:jc w:val="both"/>
        <w:rPr/>
      </w:pPr>
      <w:r>
        <w:rPr/>
        <w:t> </w:t>
      </w:r>
    </w:p>
    <w:tbl>
      <w:tblPr>
        <w:tblW w:w="5070" w:type="dxa"/>
        <w:jc w:val="left"/>
        <w:tblInd w:w="0" w:type="dxa"/>
        <w:tblCellMar>
          <w:top w:w="0" w:type="dxa"/>
          <w:left w:w="0" w:type="dxa"/>
          <w:bottom w:w="28" w:type="dxa"/>
          <w:right w:w="0" w:type="dxa"/>
        </w:tblCellMar>
      </w:tblPr>
      <w:tblGrid>
        <w:gridCol w:w="3890"/>
        <w:gridCol w:w="60"/>
        <w:gridCol w:w="60"/>
        <w:gridCol w:w="335"/>
        <w:gridCol w:w="60"/>
        <w:gridCol w:w="60"/>
        <w:gridCol w:w="60"/>
        <w:gridCol w:w="485"/>
        <w:gridCol w:w="60"/>
      </w:tblGrid>
      <w:tr>
        <w:trPr/>
        <w:tc>
          <w:tcPr>
            <w:tcW w:w="38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options to purchase common stock</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RSUs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10. Equity</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Equity Distribution Agreement</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December 14, 2020,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w:t>
      </w:r>
      <w:r>
        <w:rPr>
          <w:rFonts w:ascii="Times New Roman" w:hAnsi="Times New Roman"/>
          <w:b w:val="false"/>
          <w:i w:val="false"/>
          <w:caps w:val="false"/>
          <w:smallCaps w:val="false"/>
          <w:color w:val="000000"/>
          <w:sz w:val="20"/>
          <w:highlight w:val="white"/>
        </w:rPr>
        <w:t xml:space="preserve">This offering supersedes and replaces the program we commenced in December 2017. </w:t>
      </w:r>
      <w:r>
        <w:rPr>
          <w:rFonts w:ascii="Times New Roman" w:hAnsi="Times New Roman"/>
          <w:b w:val="false"/>
          <w:i w:val="false"/>
          <w:caps w:val="false"/>
          <w:smallCaps w:val="false"/>
          <w:color w:val="000000"/>
          <w:sz w:val="20"/>
        </w:rPr>
        <w:t xml:space="preserve">We have no obligation to sell any such shares under the Equity Distribution Agreement. The sale of such shares of common stock by Piper Sandler will be effected pursuant to a Registration Statement on Form S-3 which we filed on December 14, 2020. We did not issue any shares under the Equity Distribution Agreement in the six months ended June 30, 2021.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Purchase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three months ended June 30, 2021, the Company issued approximately 0.4 million shares of common stock to Lincoln Park under the 2018 Purchase Agreement. We received $10.2 million in proceeds from issuance of these shares and now have a remaining $24.8 million worth of shares of our common stock that we may direct Lincoln Park to purchase pursuant to our Purchase Agreement with them.</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Rights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C</w:t>
      </w:r>
      <w:r>
        <w:rPr>
          <w:rFonts w:ascii="Times New Roman" w:hAnsi="Times New Roman"/>
          <w:b w:val="false"/>
          <w:i/>
          <w:caps w:val="false"/>
          <w:smallCaps w:val="false"/>
          <w:sz w:val="20"/>
          <w:u w:val="single"/>
        </w:rPr>
        <w:t>onverted Equity Awards Incentive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A total of 0.1 million shares of Aptevo common stock have been authorized for issuance under the Converted Plan. </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2016 Stock Incentive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1, 2016, the Company adopted the 2016 Stock Incentive Plan (2016 SIP). A total of 0.2 million shares of Aptevo common stock have been authorized for issuance under the 2016 SIP in the form of equity stock options.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 </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2018 Stock Incentive Plan</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As of June 30, 2021, there are less than 0.1 million shares available to be granted under the 2018 SIP.</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 Expense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expense includes amortization of stock options and RSUs granted to employees and non-employees and has been reported in our condensed consolidated statements of operations as follows:</w:t>
      </w:r>
    </w:p>
    <w:p>
      <w:pPr>
        <w:pStyle w:val="TextBody"/>
        <w:spacing w:before="0" w:after="0"/>
        <w:jc w:val="both"/>
        <w:rPr/>
      </w:pPr>
      <w:r>
        <w:rPr/>
        <w:t> </w:t>
      </w:r>
    </w:p>
    <w:tbl>
      <w:tblPr>
        <w:tblW w:w="8918" w:type="dxa"/>
        <w:jc w:val="left"/>
        <w:tblInd w:w="0" w:type="dxa"/>
        <w:tblCellMar>
          <w:top w:w="0" w:type="dxa"/>
          <w:left w:w="0" w:type="dxa"/>
          <w:bottom w:w="28" w:type="dxa"/>
          <w:right w:w="0" w:type="dxa"/>
        </w:tblCellMar>
      </w:tblPr>
      <w:tblGrid>
        <w:gridCol w:w="3350"/>
        <w:gridCol w:w="60"/>
        <w:gridCol w:w="332"/>
        <w:gridCol w:w="890"/>
        <w:gridCol w:w="159"/>
        <w:gridCol w:w="159"/>
        <w:gridCol w:w="332"/>
        <w:gridCol w:w="890"/>
        <w:gridCol w:w="60"/>
        <w:gridCol w:w="60"/>
        <w:gridCol w:w="269"/>
        <w:gridCol w:w="1047"/>
        <w:gridCol w:w="129"/>
        <w:gridCol w:w="129"/>
        <w:gridCol w:w="269"/>
        <w:gridCol w:w="723"/>
        <w:gridCol w:w="60"/>
      </w:tblGrid>
      <w:tr>
        <w:trPr/>
        <w:tc>
          <w:tcPr>
            <w:tcW w:w="33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6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9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3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w:t>
            </w:r>
          </w:p>
        </w:tc>
        <w:tc>
          <w:tcPr>
            <w:tcW w:w="1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735</w:t>
            </w:r>
          </w:p>
        </w:tc>
        <w:tc>
          <w:tcPr>
            <w:tcW w:w="1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stock-based compensation expense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572</w:t>
            </w:r>
          </w:p>
        </w:tc>
        <w:tc>
          <w:tcPr>
            <w:tcW w:w="15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w:t>
            </w:r>
          </w:p>
        </w:tc>
        <w:tc>
          <w:tcPr>
            <w:tcW w:w="12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accounts for stock-based compensation by measuring the cost of employee services received in exchange for all equity awards granted based on the fair value of the award as of the grant date. The Company recognizes the compensation expense over the vesting period. </w:t>
      </w:r>
      <w:r>
        <w:rPr>
          <w:rFonts w:ascii="Times New Roman" w:hAnsi="Times New Roman"/>
          <w:b w:val="false"/>
          <w:i w:val="false"/>
          <w:caps w:val="false"/>
          <w:smallCaps w:val="false"/>
          <w:color w:val="000000"/>
          <w:sz w:val="20"/>
        </w:rPr>
        <w:t>All assumptions used to calculate the grant date fair value of nonemployee options are generally consistent with the assumptions used for options granted to employees. In the event the Company terminates any of its consulting agreements, the unvested options underlying the agreements would also be cancelled.</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Stock Options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Aptevo utilizes the Black-Scholes valuation model for estimating the fair value of all stock options granted. Set forth below are the assumptions used in valuing the stock options granted:</w:t>
      </w:r>
    </w:p>
    <w:p>
      <w:pPr>
        <w:pStyle w:val="TextBody"/>
        <w:spacing w:before="0" w:after="0"/>
        <w:jc w:val="both"/>
        <w:rPr/>
      </w:pPr>
      <w:r>
        <w:rPr/>
        <w:t> </w:t>
      </w:r>
    </w:p>
    <w:tbl>
      <w:tblPr>
        <w:tblW w:w="8215" w:type="dxa"/>
        <w:jc w:val="left"/>
        <w:tblInd w:w="0" w:type="dxa"/>
        <w:tblCellMar>
          <w:top w:w="0" w:type="dxa"/>
          <w:left w:w="0" w:type="dxa"/>
          <w:bottom w:w="28" w:type="dxa"/>
          <w:right w:w="0" w:type="dxa"/>
        </w:tblCellMar>
      </w:tblPr>
      <w:tblGrid>
        <w:gridCol w:w="2645"/>
        <w:gridCol w:w="60"/>
        <w:gridCol w:w="1321"/>
        <w:gridCol w:w="121"/>
        <w:gridCol w:w="121"/>
        <w:gridCol w:w="1199"/>
        <w:gridCol w:w="60"/>
        <w:gridCol w:w="60"/>
        <w:gridCol w:w="1176"/>
        <w:gridCol w:w="108"/>
        <w:gridCol w:w="108"/>
        <w:gridCol w:w="1176"/>
        <w:gridCol w:w="60"/>
      </w:tblGrid>
      <w:tr>
        <w:trPr/>
        <w:tc>
          <w:tcPr>
            <w:tcW w:w="26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62" w:type="dxa"/>
            <w:gridSpan w:val="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8" w:type="dxa"/>
            <w:gridSpan w:val="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9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1"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98.03%</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9"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99.53%</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1"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0.91%</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9"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0.55%</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average life of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1"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 years</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9"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years</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6"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no equity grants made in the three months ended June 30, 2020. Management applied an estimated forfeiture rate of 19% and 23% for the three and six months ended June 30, 2021, respectively, and 8% for the three and six months ended June 30, 2020.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is a summary of option activity for the six months ended June 30, 2021:</w:t>
      </w:r>
    </w:p>
    <w:p>
      <w:pPr>
        <w:pStyle w:val="TextBody"/>
        <w:spacing w:before="0" w:after="0"/>
        <w:jc w:val="both"/>
        <w:rPr/>
      </w:pPr>
      <w:r>
        <w:rPr/>
        <w:t> </w:t>
      </w:r>
    </w:p>
    <w:tbl>
      <w:tblPr>
        <w:tblW w:w="7040" w:type="dxa"/>
        <w:jc w:val="left"/>
        <w:tblInd w:w="0" w:type="dxa"/>
        <w:tblCellMar>
          <w:top w:w="0" w:type="dxa"/>
          <w:left w:w="0" w:type="dxa"/>
          <w:bottom w:w="28" w:type="dxa"/>
          <w:right w:w="0" w:type="dxa"/>
        </w:tblCellMar>
      </w:tblPr>
      <w:tblGrid>
        <w:gridCol w:w="2495"/>
        <w:gridCol w:w="60"/>
        <w:gridCol w:w="63"/>
        <w:gridCol w:w="737"/>
        <w:gridCol w:w="80"/>
        <w:gridCol w:w="60"/>
        <w:gridCol w:w="213"/>
        <w:gridCol w:w="827"/>
        <w:gridCol w:w="60"/>
        <w:gridCol w:w="60"/>
        <w:gridCol w:w="168"/>
        <w:gridCol w:w="1067"/>
        <w:gridCol w:w="60"/>
        <w:gridCol w:w="60"/>
        <w:gridCol w:w="125"/>
        <w:gridCol w:w="845"/>
        <w:gridCol w:w="60"/>
      </w:tblGrid>
      <w:tr>
        <w:trPr/>
        <w:tc>
          <w:tcPr>
            <w:tcW w:w="24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3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 Term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2020</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212,581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5,906,007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189,080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(13,274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283,572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(20,297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28.67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June 30, 2021</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368,090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2,732,280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June 30, 2021</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79,097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1,118,038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we had $4.4 million of unrecognized compensation expense related to options expected to vest over a weighted average period of 2.5 years. The weighted average remaining contractual life of outstanding and exercisable options is 8.5 years.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aggregate intrinsic value in the table above represents the total pretax intrinsic value (the difference between the closing stock price of Aptevo’s common stock on the last trading day of June 2021 and the exercise price, multiplied by the number of in the money options) that would have been received by the option holders had all the option holders exercised their options on the last trading day of the quarter.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Restricted Stock Units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is a summary of RSU activity for the six months ended June 30, 2021:</w:t>
      </w:r>
    </w:p>
    <w:p>
      <w:pPr>
        <w:pStyle w:val="TextBody"/>
        <w:spacing w:before="0" w:after="0"/>
        <w:jc w:val="both"/>
        <w:rPr/>
      </w:pPr>
      <w:r>
        <w:rPr/>
        <w:t> </w:t>
      </w:r>
    </w:p>
    <w:tbl>
      <w:tblPr>
        <w:tblW w:w="4640" w:type="dxa"/>
        <w:jc w:val="left"/>
        <w:tblInd w:w="0" w:type="dxa"/>
        <w:tblCellMar>
          <w:top w:w="0" w:type="dxa"/>
          <w:left w:w="0" w:type="dxa"/>
          <w:bottom w:w="28" w:type="dxa"/>
          <w:right w:w="0" w:type="dxa"/>
        </w:tblCellMar>
      </w:tblPr>
      <w:tblGrid>
        <w:gridCol w:w="2495"/>
        <w:gridCol w:w="60"/>
        <w:gridCol w:w="73"/>
        <w:gridCol w:w="727"/>
        <w:gridCol w:w="80"/>
        <w:gridCol w:w="60"/>
        <w:gridCol w:w="222"/>
        <w:gridCol w:w="863"/>
        <w:gridCol w:w="60"/>
      </w:tblGrid>
      <w:tr>
        <w:trPr/>
        <w:tc>
          <w:tcPr>
            <w:tcW w:w="249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Units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 Fair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 per Unit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62,643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(7,275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36.59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June 30,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64,368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9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to Vest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64,368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3"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there was $1.9 million unrecognized stock-based compensation expense related to unvested RSUs.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each RSU has been determined to be the closing trading price of the Company’s common stock on the date of grant as quoted on the Nasdaq Capital Market.</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Warrants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have a ten-year life and would have expired on March 11, 2029; however, all of the pre-funded warrants were exercised in March 2019. We determined the warrants do not meet liability classification pursuant to ASC 480 – Distinguishing Liabilities from Equity. These are therefore included within equity on our condensed consolidated balance sheet. As of June 30, 2021, there were warrants to purchase 350,589 shares of common stock outstanding.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jc w:val="both"/>
        <w:rPr>
          <w:rFonts w:ascii="Times New Roman" w:hAnsi="Times New Roman"/>
          <w:b/>
          <w:i w:val="false"/>
          <w:caps w:val="false"/>
          <w:smallCaps w:val="false"/>
          <w:sz w:val="20"/>
        </w:rPr>
      </w:pPr>
      <w:bookmarkStart w:id="9" w:name="ITEM_2_MANAGEMENTS_DISCUSSION_ANALYSIS_F"/>
      <w:bookmarkEnd w:id="9"/>
      <w:r>
        <w:rPr>
          <w:rFonts w:ascii="Times New Roman" w:hAnsi="Times New Roman"/>
          <w:b/>
          <w:i w:val="false"/>
          <w:caps w:val="false"/>
          <w:smallCaps w:val="false"/>
          <w:sz w:val="20"/>
        </w:rPr>
        <w:t>Item 2. Management’s Discussion and Analysis of Financial Condition and Results of Operations.</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This Quarterly Report on Form 10-Q includes “forward-looking statements” within the meaning of Section 27A of the Securities Act of 1933, as amended, and Section 21E of the Securities Exchange Act of 1934, as amended (the Exchange Act). Statements in this Quarterly Report on Form 10-Q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Any forward-looking statements are based upon management’s assumptions, expectations, projections, intentions, objectives and/or beliefs about future events or occurrences and are subject to a number of risks and uncertainties. The timing of certain events and circumstances and known and unknown risks and uncertainties could cause actual results to differ materially from the plans, intentions, expectations and objectives underlying or disclosed in the forward-looking statements that we make. Therefore, you should not place undue reliance on our forward-looking statements. Some factors that we believe could cause actual results or events to differ materially from our forward-looking statements include, but are not limited to, those discussed in “Risk Factors” and elsewhere in this Quarterly Report on Form 10-Q. Our forward-looking statements in this Quarterly Report on Form 10-Q are based on current information and we do not assume any obligation to update any forward-looking statements expect as required by the federal securities laws.</w:t>
      </w:r>
    </w:p>
    <w:p>
      <w:pPr>
        <w:pStyle w:val="TextBody"/>
        <w:spacing w:before="0" w:after="0"/>
        <w:jc w:val="both"/>
        <w:rPr>
          <w:caps w:val="false"/>
          <w:smallCaps w:val="false"/>
          <w:color w:val="000000"/>
        </w:rPr>
      </w:pPr>
      <w:r>
        <w:rPr>
          <w:caps w:val="false"/>
          <w:smallCaps w:val="false"/>
          <w:color w:val="000000"/>
        </w:rPr>
        <w:t> </w:t>
      </w:r>
    </w:p>
    <w:p>
      <w:pPr>
        <w:pStyle w:val="TextBody"/>
        <w:spacing w:before="4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You should read the following discussion and analysis together with the financial statements and the related notes to those statements included elsewhere in this Quarterly Report on Form 10-Q.</w:t>
      </w:r>
    </w:p>
    <w:p>
      <w:pPr>
        <w:pStyle w:val="TextBody"/>
        <w:spacing w:before="360" w:after="0"/>
        <w:jc w:val="center"/>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Overview</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and ADAPTIR-FLEX platforms.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 The ADAPTIR-FLEX platform technology is designed to generate bispecific and multispecific immunotherapeutic proteins and uses heterodimer technology so that two or more targets can be engaged simultaneously.</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candidates based on the ADAPTIR-FLEX platform which are advancing in our pipeline. We are developing our ADAPTIR and ADAPTIR-FLEX molecules by way of our protein engineering, preclinical development, process development, and clinical development capabilities.</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 Developments: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2021, Aptevo announced that the company initiated the expansion phase of lead anti-leukemia drug candidate, APVO436, in adult patients with acute myeloid leukemia (AML) with a multi-center, multi-arm trial using the active recommended dose identified in the dose escalation phase (Part 1) of the study. During Part 1, APVO436 exhibited a manageable side effect profile, encouraging single agent activity and an acceptable benefit to risk profile in relapsed AML patients. The dose expansion phase (Part 2), has been rationally designed to further evaluate the tolerability and clinical impact potential of APVO436 for indications of unmet and urgent medical need.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June 2021, the Company issued 407,047 shares of common stock to Lincoln Park under the 2018 Purchase Agreement. We received $10.2 million in proceeds from issuance of these shares and now have a remaining $24.8 million worth of shares of our common stock that we may direct Lincoln Park to purchase pursuant to our Purchase Agreement with Lincoln Park.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Previously, on February 9, 2021, Tang Capital Partners LP, Tang Capital Management, LLC and Kevin Tang (collectively, “Tang”) announced its intention to nominate two candidates for election to our board of directors at our 2021 annual meeting of stockholders and submitted an advisory stockholder proposal (The Advisory Proposal) for consideration at our 2021 Annual Meeting to commence a process to sell Aptevo to the highest bidder. On June 21, 2021, Tang filed an amendment to its Schedule 13D to report that Tang delivered a letter to Aptevo withdrawing the nomination of Thomas Wei and Kevin Tang as directors for election at the Annual Meeting and withdrawing the unsolicited offer. We have incurred and may incur in the future additional expenses by retaining the services of various professionals to advise us on responding to these and related stockholder activism matters.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Advisory Proposal was voted on at the Annual Meeting and was approved by a majority of the votes cast at the Meeting.  However, </w:t>
      </w:r>
      <w:r>
        <w:rPr>
          <w:rFonts w:ascii="Times New Roman" w:hAnsi="Times New Roman"/>
          <w:b w:val="false"/>
          <w:i w:val="false"/>
          <w:caps w:val="false"/>
          <w:smallCaps w:val="false"/>
          <w:color w:val="000000"/>
          <w:sz w:val="20"/>
          <w:highlight w:val="white"/>
        </w:rPr>
        <w:t>a majority of the votes cast by the holders of all of the shares of common stock present or represented by proxy at the Annual Meeting and voting on the Advisory Proposal, other than those cast by Tang and Aptevo’s Board and management, voted against the Advisory Proposal</w:t>
      </w:r>
      <w:r>
        <w:rPr>
          <w:rFonts w:ascii="Times New Roman" w:hAnsi="Times New Roman"/>
          <w:b w:val="false"/>
          <w:i w:val="false"/>
          <w:caps w:val="false"/>
          <w:smallCaps w:val="false"/>
          <w:color w:val="000000"/>
          <w:sz w:val="20"/>
        </w:rPr>
        <w:t>. In accordance with its fiduciary duties and commitment to acting in the best interests of all of the Company’s stockholders, the Board considered the results of the vote on the Advisory Proposal and analyzed whether it should commence a process to sell Aptevo to the highest bidder.  The Board analyzed various matters relating to commencing a sales process as compared to remaining independent, taking into account the vote on the Advisory Proposal at the Annual Meeting and other factors, and has decided not to commence a sales process at this time.</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as otherwise stated below, the following discussions of our results of operations reflect the results of our continuing operations, excluding the results related to Aptevo BioTherapeutics LLC (Aptevo BioTherapeutics), which has been separated from continuing operations and reflected as a discontinued operation.  See Note 2 – Discontinued Operations to the accompanying financial statements for additional information.</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Comparison of the six months ended June 30, 2021 and June 30, 2020</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Royalty Revenue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recorded royalty revenue of $5.5 million and $0.5 million for the six months ended June 30, 2021 and June 30, 2020, respectively. The payment from Pfizer relates to an agreement acquired by Aptevo as part of our spin-off from Emergent in 2016. The agreement was originally executed by Trubion Pharmaceuticals, which was subsequently acquired by Emergent, and Wyeth, a wholly-own subsidiary of Pfizer. The royalty term runs through January 2027, which is the seventh anniversary of the first commercial sale of the CD20 biosimilar. On March 30, 2021, we entered into </w:t>
      </w:r>
      <w:r>
        <w:rPr>
          <w:rFonts w:ascii="Times New Roman" w:hAnsi="Times New Roman"/>
          <w:b w:val="false"/>
          <w:i w:val="false"/>
          <w:caps w:val="false"/>
          <w:smallCaps w:val="false"/>
          <w:color w:val="000000"/>
          <w:sz w:val="20"/>
        </w:rPr>
        <w:t xml:space="preserve">the Royalty Purchase Agreement pursuant to which we sold to HCR the right to receive royalty payments made by Pfizer in respect of net sales of RUXIENCE. </w:t>
      </w:r>
      <w:r>
        <w:rPr>
          <w:rFonts w:ascii="Times New Roman" w:hAnsi="Times New Roman"/>
          <w:b w:val="false"/>
          <w:i w:val="false"/>
          <w:caps w:val="false"/>
          <w:smallCaps w:val="false"/>
          <w:sz w:val="20"/>
        </w:rPr>
        <w:t>We maintain our rights under the collaboration and license agreement originally between Trubion and Wyeth, with the exception of the cash flows of the RUXIENCE royalty payments purchased by HCR. Due to our continuing involvement under the collaboration and license agreement originally between Trubion and Wyeth</w:t>
      </w:r>
      <w:r>
        <w:rPr>
          <w:rFonts w:ascii="Times New Roman" w:hAnsi="Times New Roman"/>
          <w:b w:val="false"/>
          <w:i w:val="false"/>
          <w:caps w:val="false"/>
          <w:smallCaps w:val="false"/>
          <w:color w:val="000000"/>
          <w:sz w:val="20"/>
          <w:highlight w:val="white"/>
        </w:rPr>
        <w:t xml:space="preserve">,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w:t>
      </w:r>
      <w:r>
        <w:rPr>
          <w:rFonts w:ascii="Times New Roman" w:hAnsi="Times New Roman"/>
          <w:b w:val="false"/>
          <w:i w:val="false"/>
          <w:caps w:val="false"/>
          <w:smallCaps w:val="false"/>
          <w:sz w:val="20"/>
        </w:rPr>
        <w:t>To the extent total future royalties collected are an amount less than the liability, the Company is not obligated to fund any such shortfall.</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Research and Development Expenses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employee salaries and related expenses, including stock-based compensation and benefits for our employees involved in our drug discovery and development activities;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external research and development expense incurred under agreements with third-party contract research organizations (CRO’s) and investigative sites;</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29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manufacturing material expense for third-party manufacturing; and</w:t>
            </w:r>
          </w:p>
        </w:tc>
      </w:tr>
    </w:tbl>
    <w:tbl>
      <w:tblPr>
        <w:tblW w:w="5230" w:type="dxa"/>
        <w:jc w:val="left"/>
        <w:tblInd w:w="0" w:type="dxa"/>
        <w:tblCellMar>
          <w:top w:w="0" w:type="dxa"/>
          <w:left w:w="0" w:type="dxa"/>
          <w:bottom w:w="0" w:type="dxa"/>
          <w:right w:w="0" w:type="dxa"/>
        </w:tblCellMar>
      </w:tblPr>
      <w:tblGrid>
        <w:gridCol w:w="60"/>
        <w:gridCol w:w="110"/>
        <w:gridCol w:w="50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06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overhead costs such as rent, utilities and depreciation.</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COVID-19.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research and development expenses by program for the three and six months ended June 30, 2021 and 2020 are shown in the following table:</w:t>
      </w:r>
    </w:p>
    <w:p>
      <w:pPr>
        <w:pStyle w:val="TextBody"/>
        <w:spacing w:before="0" w:after="0"/>
        <w:jc w:val="both"/>
        <w:rPr/>
      </w:pPr>
      <w:r>
        <w:rPr/>
        <w:t> </w:t>
      </w:r>
    </w:p>
    <w:tbl>
      <w:tblPr>
        <w:tblW w:w="7785" w:type="dxa"/>
        <w:jc w:val="left"/>
        <w:tblInd w:w="0" w:type="dxa"/>
        <w:tblCellMar>
          <w:top w:w="0" w:type="dxa"/>
          <w:left w:w="0" w:type="dxa"/>
          <w:bottom w:w="28" w:type="dxa"/>
          <w:right w:w="0" w:type="dxa"/>
        </w:tblCellMar>
      </w:tblPr>
      <w:tblGrid>
        <w:gridCol w:w="4190"/>
        <w:gridCol w:w="60"/>
        <w:gridCol w:w="257"/>
        <w:gridCol w:w="1000"/>
        <w:gridCol w:w="123"/>
        <w:gridCol w:w="123"/>
        <w:gridCol w:w="257"/>
        <w:gridCol w:w="1000"/>
        <w:gridCol w:w="60"/>
        <w:gridCol w:w="60"/>
        <w:gridCol w:w="138"/>
        <w:gridCol w:w="437"/>
        <w:gridCol w:w="80"/>
      </w:tblGrid>
      <w:tr>
        <w:trPr/>
        <w:tc>
          <w:tcPr>
            <w:tcW w:w="41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6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programs: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APVO436</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1,020</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12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clinical programs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1,027</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Preclinical program, general research and discovery</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3,695</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4,722</w:t>
            </w:r>
          </w:p>
        </w:tc>
        <w:tc>
          <w:tcPr>
            <w:tcW w:w="12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both"/>
        <w:rPr/>
      </w:pPr>
      <w:r>
        <w:rPr/>
        <w:t> </w:t>
      </w:r>
    </w:p>
    <w:tbl>
      <w:tblPr>
        <w:tblW w:w="7627" w:type="dxa"/>
        <w:jc w:val="left"/>
        <w:tblInd w:w="0" w:type="dxa"/>
        <w:tblCellMar>
          <w:top w:w="0" w:type="dxa"/>
          <w:left w:w="0" w:type="dxa"/>
          <w:bottom w:w="28" w:type="dxa"/>
          <w:right w:w="0" w:type="dxa"/>
        </w:tblCellMar>
      </w:tblPr>
      <w:tblGrid>
        <w:gridCol w:w="4190"/>
        <w:gridCol w:w="60"/>
        <w:gridCol w:w="222"/>
        <w:gridCol w:w="1049"/>
        <w:gridCol w:w="106"/>
        <w:gridCol w:w="106"/>
        <w:gridCol w:w="222"/>
        <w:gridCol w:w="862"/>
        <w:gridCol w:w="60"/>
        <w:gridCol w:w="60"/>
        <w:gridCol w:w="125"/>
        <w:gridCol w:w="485"/>
        <w:gridCol w:w="80"/>
      </w:tblGrid>
      <w:tr>
        <w:trPr/>
        <w:tc>
          <w:tcPr>
            <w:tcW w:w="41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6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top w:val="single" w:sz="6" w:space="0" w:color="000000"/>
            </w:tcBorders>
            <w:shd w:fill="FFFFFF"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programs: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APVO436</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2,501</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1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1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clinical programs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2,541</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Preclinical program, general research and discovery</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7,543</w:t>
            </w:r>
          </w:p>
        </w:tc>
        <w:tc>
          <w:tcPr>
            <w:tcW w:w="1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5,947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90"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10,084</w:t>
            </w:r>
          </w:p>
        </w:tc>
        <w:tc>
          <w:tcPr>
            <w:tcW w:w="10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8,446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increased by $0.3 million and $1.6 million for the three and six months ended June 30, 2021 compared to the three and six months ended June 30, 2020, respectively. </w:t>
      </w:r>
      <w:r>
        <w:rPr>
          <w:rFonts w:ascii="Times New Roman" w:hAnsi="Times New Roman"/>
          <w:b w:val="false"/>
          <w:i w:val="false"/>
          <w:caps w:val="false"/>
          <w:smallCaps w:val="false"/>
          <w:color w:val="000000"/>
          <w:sz w:val="20"/>
        </w:rPr>
        <w:t xml:space="preserve">Research and development expenses increased </w:t>
      </w:r>
      <w:r>
        <w:rPr>
          <w:rFonts w:ascii="Times New Roman" w:hAnsi="Times New Roman"/>
          <w:b w:val="false"/>
          <w:i w:val="false"/>
          <w:caps w:val="false"/>
          <w:smallCaps w:val="false"/>
          <w:sz w:val="20"/>
        </w:rPr>
        <w:t>as we continue to invest in the APVO436 clinical trial and our preclinical candidates, including ALG.APV-527, APVO603 and APVO442.</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 and Administrative Expenses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three months ended June 30, 2021, general and administrative expenses increased by $1.3 million, to $4.1 million from $2.8 million for June 30, 2020. For the six months ended June 30, 2021, general and administrative expenses increased by $1.6 million, to $8.1 million from $6.5 million for June 30, 2020. This increase was primarily due to higher costs for professional services, including costs related to responding to stockholder activism matters.</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Other Income (Expense), Net</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 consists primarily of gains or losses realized on foreign currency revaluation, costs related to debt extinguishment, accrued exit fees on debt, non-cash interest on financing agreements, and interest on debt. Other expense, net was $2.3 million for the three months ended June 30, 2021 compared to approximately zero for the three months ended June 30, 2020. Other expense, net was $3.1 million for the six months ended June 30, 2021 and $2.4 million for the six months ended June 30, 2020. The increase in other expense, net is primarily related to interest expense and accrued exit fees for the MidCap Credit Agreement, as well as non-cash interest expense for the Royalty Purchase Agreement.</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Discontinued Operations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unaudited condensed consolidated financial statements include results from discontinued operations from two separate transactions: the sale of our hyperimmune business to Saol International Limited in September 2017, from which we received a payment in 2021 related to the collection of a certain accounts receivable, and the sale of Aptevo BioTherapeutics in 2020.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represents the components attributable to income from discontinued operations in the unaudited condensed consolidated statements of operations (in thousands):</w:t>
      </w:r>
    </w:p>
    <w:p>
      <w:pPr>
        <w:pStyle w:val="TextBody"/>
        <w:spacing w:before="0" w:after="0"/>
        <w:jc w:val="both"/>
        <w:rPr/>
      </w:pPr>
      <w:r>
        <w:rPr/>
        <w:t> </w:t>
      </w:r>
    </w:p>
    <w:tbl>
      <w:tblPr>
        <w:tblW w:w="8999" w:type="dxa"/>
        <w:jc w:val="left"/>
        <w:tblInd w:w="0" w:type="dxa"/>
        <w:tblCellMar>
          <w:top w:w="0" w:type="dxa"/>
          <w:left w:w="0" w:type="dxa"/>
          <w:bottom w:w="28" w:type="dxa"/>
          <w:right w:w="0" w:type="dxa"/>
        </w:tblCellMar>
      </w:tblPr>
      <w:tblGrid>
        <w:gridCol w:w="3860"/>
        <w:gridCol w:w="60"/>
        <w:gridCol w:w="329"/>
        <w:gridCol w:w="881"/>
        <w:gridCol w:w="157"/>
        <w:gridCol w:w="157"/>
        <w:gridCol w:w="329"/>
        <w:gridCol w:w="684"/>
        <w:gridCol w:w="60"/>
        <w:gridCol w:w="60"/>
        <w:gridCol w:w="226"/>
        <w:gridCol w:w="606"/>
        <w:gridCol w:w="108"/>
        <w:gridCol w:w="108"/>
        <w:gridCol w:w="226"/>
        <w:gridCol w:w="1068"/>
        <w:gridCol w:w="80"/>
      </w:tblGrid>
      <w:tr>
        <w:trPr/>
        <w:tc>
          <w:tcPr>
            <w:tcW w:w="38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3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June,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4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9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 - Aptevo BioTherapeutics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3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2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8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Gain on sale of Aptevo BioTherapeutics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Payment from Saol</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payment from Medexus</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from discontinued operations</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w:t>
            </w:r>
          </w:p>
        </w:tc>
        <w:tc>
          <w:tcPr>
            <w:tcW w:w="15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w:t>
            </w:r>
          </w:p>
        </w:tc>
        <w:tc>
          <w:tcPr>
            <w:tcW w:w="10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12,898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For the six months ended June 30, 2021, we collected $0.2 million related to the sale of </w:t>
      </w:r>
      <w:r>
        <w:rPr>
          <w:rFonts w:ascii="Times New Roman" w:hAnsi="Times New Roman"/>
          <w:b w:val="false"/>
          <w:i w:val="false"/>
          <w:caps w:val="false"/>
          <w:smallCaps w:val="false"/>
          <w:color w:val="000000"/>
          <w:sz w:val="20"/>
        </w:rPr>
        <w:t xml:space="preserve">the hyperimmune business to Saol as a result of the collection of certain accounts receivable and a deferred payment of $0.3 million received from Medexus related to fourth quarter 2020 and first quarter 2021 IXINITY sales. For the six months ended June 30, 2020, </w:t>
      </w:r>
      <w:r>
        <w:rPr>
          <w:rFonts w:ascii="Times New Roman" w:hAnsi="Times New Roman"/>
          <w:b w:val="false"/>
          <w:i w:val="false"/>
          <w:caps w:val="false"/>
          <w:smallCaps w:val="false"/>
          <w:color w:val="000000"/>
          <w:sz w:val="20"/>
          <w:highlight w:val="white"/>
        </w:rPr>
        <w:t xml:space="preserve">we recognized net income from discontinued operations totaling $12.9 million. This included the gain on the sale of Aptevo BioTherapeutics of $14.3 million, net operating losses from Aptevo BioTherapeutics of $1.6 million related to the period prior to the sale on February 28, 2020, and a deferred payment from Medexus related to first quarter 2020 IXINITY sales.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Significant Judgments and Estimates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Refer to Note 1 for discussion of our accounting policies, significant judgments, and estimates.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did not have any off-balance sheet arrangements as of June 30, 2021.</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provides information regarding our cash flows for the six months ended June 30, </w:t>
      </w:r>
      <w:r>
        <w:rPr>
          <w:rFonts w:ascii="Times New Roman" w:hAnsi="Times New Roman"/>
          <w:b w:val="false"/>
          <w:i w:val="false"/>
          <w:caps w:val="false"/>
          <w:smallCaps w:val="false"/>
          <w:color w:val="231F20"/>
          <w:sz w:val="20"/>
        </w:rPr>
        <w:t>2021 and 2020:</w:t>
      </w:r>
    </w:p>
    <w:p>
      <w:pPr>
        <w:pStyle w:val="TextBody"/>
        <w:spacing w:before="0" w:after="0"/>
        <w:jc w:val="both"/>
        <w:rPr/>
      </w:pPr>
      <w:r>
        <w:rPr/>
        <w:t> </w:t>
      </w:r>
    </w:p>
    <w:tbl>
      <w:tblPr>
        <w:tblW w:w="7888" w:type="dxa"/>
        <w:jc w:val="left"/>
        <w:tblInd w:w="0" w:type="dxa"/>
        <w:tblCellMar>
          <w:top w:w="0" w:type="dxa"/>
          <w:left w:w="0" w:type="dxa"/>
          <w:bottom w:w="28" w:type="dxa"/>
          <w:right w:w="0" w:type="dxa"/>
        </w:tblCellMar>
      </w:tblPr>
      <w:tblGrid>
        <w:gridCol w:w="5180"/>
        <w:gridCol w:w="60"/>
        <w:gridCol w:w="190"/>
        <w:gridCol w:w="988"/>
        <w:gridCol w:w="121"/>
        <w:gridCol w:w="91"/>
        <w:gridCol w:w="190"/>
        <w:gridCol w:w="988"/>
        <w:gridCol w:w="80"/>
      </w:tblGrid>
      <w:tr>
        <w:trPr/>
        <w:tc>
          <w:tcPr>
            <w:tcW w:w="51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6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Six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activities</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(12,557</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(15,808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Investing activities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(582</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activities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32,258</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(22,104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(decrease) in cash, cash equivalents, and restricted cash</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19,119</w:t>
            </w:r>
          </w:p>
        </w:tc>
        <w:tc>
          <w:tcPr>
            <w:tcW w:w="12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(9,792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operating activities of $12.6 million for the six months ended June 30, 2021 was primarily due to our net loss of $15.2 million and changes in working capital accounts. Net cash used in operating activities of $15.8 million for the six months ended June 30, 2020 was primarily due to our net loss of $3.9 million and gain on sale of Aptevo BioTherapeutics of $14.3 million, which was offset by the loss on extinguishment of debt of $2.1 million.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used in investing activities for the six months ended June 30, 2021, was due to purchases of property and equipment. For the six months ended June 30, 2020, net cash provided by investing activities was due to the cash received from the sale of Aptevo BioTherapeutics, net of transaction fees.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for the six months ended June 30, 2021 is primarily due to the $35.0 million received from the Royalty Purchase Agreement, $10.2 million received from the common stock sold to Lincoln Park, offset by the $10.5 million repayment of the MidCap Financial term loan. Net cash used in financing activities for the six months ended June 30, 2020 is primarily due to the $22.1 million repayment of long-term debt.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Sources of Liquidity</w:t>
      </w:r>
    </w:p>
    <w:p>
      <w:pPr>
        <w:pStyle w:val="TextBody"/>
        <w:spacing w:before="240" w:after="0"/>
        <w:jc w:val="both"/>
        <w:rPr>
          <w:rFonts w:ascii="Times New Roman" w:hAnsi="Times New Roman"/>
          <w:b w:val="false"/>
          <w:i/>
          <w:caps w:val="false"/>
          <w:smallCaps w:val="false"/>
          <w:color w:val="000000"/>
          <w:sz w:val="20"/>
          <w:u w:val="single"/>
        </w:rPr>
      </w:pPr>
      <w:r>
        <w:rPr>
          <w:rFonts w:ascii="Times New Roman" w:hAnsi="Times New Roman"/>
          <w:b w:val="false"/>
          <w:i/>
          <w:caps w:val="false"/>
          <w:smallCaps w:val="false"/>
          <w:color w:val="000000"/>
          <w:sz w:val="20"/>
          <w:u w:val="single"/>
        </w:rPr>
        <w:t>Equity Distribution Agreement</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We did not issue any shares under the Equity Distribution Agreement in the six months ended June 30, 2021.</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Equity Distribution Agreement will terminate upon the issuance and sale of all shares under the Equity Distribution Agreement or upon the earlier termination thereof at any time by us or Piper Sandler upon notice to the other party.</w:t>
      </w:r>
    </w:p>
    <w:p>
      <w:pPr>
        <w:pStyle w:val="TextBody"/>
        <w:shd w:fill="FFFFFF" w:val="clear"/>
        <w:spacing w:before="240" w:after="0"/>
        <w:jc w:val="both"/>
        <w:rPr>
          <w:rFonts w:ascii="Times New Roman" w:hAnsi="Times New Roman"/>
          <w:b w:val="false"/>
          <w:i/>
          <w:caps w:val="false"/>
          <w:smallCaps w:val="false"/>
          <w:color w:val="000000"/>
          <w:sz w:val="20"/>
          <w:u w:val="single"/>
        </w:rPr>
      </w:pPr>
      <w:r>
        <w:rPr>
          <w:rFonts w:ascii="Times New Roman" w:hAnsi="Times New Roman"/>
          <w:b w:val="false"/>
          <w:i/>
          <w:caps w:val="false"/>
          <w:smallCaps w:val="false"/>
          <w:color w:val="000000"/>
          <w:sz w:val="20"/>
          <w:u w:val="single"/>
        </w:rPr>
        <w:t>Registration Statement</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previously filed a registration statement with the Securities and Exchange Commission on November 13, 2017, amended on December 6, 2017 and declared effective on December 15, 2017 (the Prior Registration Statement). The Prior Registration Statement registered the offer and sale of an indeterminate number of shares of common stock and preferred stock, an indeterminate principal amount of debt securities and an indeterminate number of warrants to purchase common stock, preferred stock, and various series of debt securities and/or warrants to purchase any of such securities, having an aggregate initial offering price of $150 million, of which an aggregate of $127.8 million remained unsold as of the December 14, 2020. On December 14, 2020, we filed a new registration statement covering the offering, issuance, and sale up to $200 million in common stock, preferred stock, and various series of debt securities and/or warrants to purchase any of such securities, which included the unsold securities from the Prior Registration Statement.</w:t>
      </w:r>
    </w:p>
    <w:p>
      <w:pPr>
        <w:pStyle w:val="TextBody"/>
        <w:spacing w:before="24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Purchase Agreement</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December 20, 2018, we entered into a purchase agreement, and a registration rights agreement with Lincoln Park Financial LLC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In the three months ended June 30, 2021, the Company issued 407,047 shares of common stock to Lincoln Park under the 2018 Purchase Agreement. We received $10.2 million in proceeds from issuance of these shares and now have a remaining $24.8 million worth of shares of our common stock that we may direct Lincoln Park to purchase pursuant to our Purchase Agreement with Lincoln Park, subject to us filing a registration statement with the SEC registering the remaining shares available for issuance under the Purchase Agreement and such registration statement being declared effective by the SEC.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pStyle w:val="TextBody"/>
        <w:spacing w:before="240" w:after="0"/>
        <w:jc w:val="both"/>
        <w:rPr>
          <w:rFonts w:ascii="Times New Roman" w:hAnsi="Times New Roman"/>
          <w:b w:val="false"/>
          <w:i/>
          <w:caps w:val="false"/>
          <w:smallCaps w:val="false"/>
          <w:color w:val="000000"/>
          <w:sz w:val="20"/>
          <w:u w:val="single"/>
        </w:rPr>
      </w:pPr>
      <w:r>
        <w:rPr>
          <w:rFonts w:ascii="Times New Roman" w:hAnsi="Times New Roman"/>
          <w:b w:val="false"/>
          <w:i/>
          <w:caps w:val="false"/>
          <w:smallCaps w:val="false"/>
          <w:color w:val="000000"/>
          <w:sz w:val="20"/>
          <w:u w:val="single"/>
        </w:rPr>
        <w:t>Warrants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March 11, 2019, we completed a public offering of common stock and warrants, as follows: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for a combined public offering price of $14.00 per share of common stock and related warrants, 1,417,857 shares of common stock and related warrants with a 5-year life to purchase up to 1,417,857 shares of common stock at an exercise price of $18.20 per share,</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 xml:space="preserve">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six months ended June 30, 2021, </w:t>
      </w:r>
      <w:r>
        <w:rPr>
          <w:rFonts w:ascii="Times New Roman" w:hAnsi="Times New Roman"/>
          <w:b w:val="false"/>
          <w:i w:val="false"/>
          <w:caps w:val="false"/>
          <w:smallCaps w:val="false"/>
          <w:color w:val="000000"/>
          <w:sz w:val="20"/>
        </w:rPr>
        <w:t xml:space="preserve">certain of the holders of our warrants exercised </w:t>
      </w:r>
      <w:r>
        <w:rPr>
          <w:rFonts w:ascii="Times New Roman" w:hAnsi="Times New Roman"/>
          <w:b w:val="false"/>
          <w:i w:val="false"/>
          <w:caps w:val="false"/>
          <w:smallCaps w:val="false"/>
          <w:sz w:val="20"/>
        </w:rPr>
        <w:t>warrants with a strike price of $18.20 per share, resulting in the issuance of 54,105 shares of our common stock and aggregate proceeds to the Company of approximately $1.0 million. As of June 30, 2021, there were warrants to purchase 350,589 shares of our common stock outstanding.</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Liquidity</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a net loss of $7.9 million and $15.2 million for the three and six months ended June 30, 2021, respectively. We had cash and cash equivalents of $60.4 million, restricted cash of $1.3 million and an accumulated deficit of $200.8 million as of June 30, 2021.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six months ended June 30, 2021, net cash used in our operating activities was $12.6 million.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Due to COVID-19, we may experience delays in opportunities to partner our product candidates, due to financial and other impacts on potential partners. Additionally, we may experience potential impacts on our future deferred payments and milestones from Medexus due to effects of the COVID-19 pandemic, which may impact Medexus’ ability to continue to successfully commercialize the IXINITY businesses. Additionally, we may experience potential impacts on our future milestones, which are based on global net sales of RUXIENCE, from HCR due to the effects of the COVID-19 pandemic, which may impact Pfizer’s ability to continue to successfully commercialize the RUXIENCE business. We believe that our existing cash resources, the Investment Amount from the Royalty Purchase Agreement with HCR, the cash to be generated from future IXINITY deferred payments, release of restricted cash securing letters of credit, and funds available to us from the remaining principal balance of the credit agreement with Midcap Financial, will be sufficient to meet our projected operating requirements and debt service for at least twelve months from the date of filing of this Quarterly Report on Form 10-Q.</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numerous risks and uncertainties associated with research, development, and commercialization of pharmaceutical products. Accordingly, our future funding requirements may vary from our current expectations and will depend on many factors, including, but not limited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ability to establish and maintain strategic partnerships, licensing or other arrangements and the financial terms of such agreements; </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5540"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number and characteristics of the product candidates we pursue;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scope, progress, results, and costs of researching and developing our product candidates, and of conducting preclinical and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timing of, and the costs involved in, completing our clinical trials, and obtaining regulatory approvals for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costs involved in preparing, filing, prosecuting, maintaining, defending and enforcing patent claims, including litigation costs and the outcome of such litigation;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cost of commercialization activities if any of our product candidates are approved for sale, including marketing, sales, and distribution costs; </w:t>
            </w:r>
          </w:p>
        </w:tc>
      </w:tr>
    </w:tbl>
    <w:tbl>
      <w:tblPr>
        <w:tblW w:w="8245" w:type="dxa"/>
        <w:jc w:val="left"/>
        <w:tblInd w:w="0" w:type="dxa"/>
        <w:tblCellMar>
          <w:top w:w="0" w:type="dxa"/>
          <w:left w:w="0" w:type="dxa"/>
          <w:bottom w:w="0" w:type="dxa"/>
          <w:right w:w="0" w:type="dxa"/>
        </w:tblCellMar>
      </w:tblPr>
      <w:tblGrid>
        <w:gridCol w:w="60"/>
        <w:gridCol w:w="110"/>
        <w:gridCol w:w="807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807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cost of manufacturing our product candidates and any products we successfully commercialize; </w:t>
            </w:r>
          </w:p>
        </w:tc>
      </w:tr>
    </w:tbl>
    <w:tbl>
      <w:tblPr>
        <w:tblW w:w="4480" w:type="dxa"/>
        <w:jc w:val="left"/>
        <w:tblInd w:w="0" w:type="dxa"/>
        <w:tblCellMar>
          <w:top w:w="0" w:type="dxa"/>
          <w:left w:w="0" w:type="dxa"/>
          <w:bottom w:w="0" w:type="dxa"/>
          <w:right w:w="0" w:type="dxa"/>
        </w:tblCellMar>
      </w:tblPr>
      <w:tblGrid>
        <w:gridCol w:w="60"/>
        <w:gridCol w:w="110"/>
        <w:gridCol w:w="4310"/>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4310"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 cost of attracting and retaining skilled personnel;</w:t>
            </w:r>
          </w:p>
        </w:tc>
      </w:tr>
    </w:tbl>
    <w:tbl>
      <w:tblPr>
        <w:tblW w:w="9100" w:type="dxa"/>
        <w:jc w:val="left"/>
        <w:tblInd w:w="0" w:type="dxa"/>
        <w:tblCellMar>
          <w:top w:w="0" w:type="dxa"/>
          <w:left w:w="0" w:type="dxa"/>
          <w:bottom w:w="0" w:type="dxa"/>
          <w:right w:w="0" w:type="dxa"/>
        </w:tblCellMar>
      </w:tblPr>
      <w:tblGrid>
        <w:gridCol w:w="60"/>
        <w:gridCol w:w="110"/>
        <w:gridCol w:w="8930"/>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8930"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whether and to what extent future proceeds are received under our royalty purchase agreement with HCR; and,</w:t>
            </w:r>
          </w:p>
        </w:tc>
      </w:tr>
    </w:tbl>
    <w:tbl>
      <w:tblPr>
        <w:tblW w:w="10015" w:type="dxa"/>
        <w:jc w:val="left"/>
        <w:tblInd w:w="0" w:type="dxa"/>
        <w:tblCellMar>
          <w:top w:w="0" w:type="dxa"/>
          <w:left w:w="0" w:type="dxa"/>
          <w:bottom w:w="0" w:type="dxa"/>
          <w:right w:w="0" w:type="dxa"/>
        </w:tblCellMar>
      </w:tblPr>
      <w:tblGrid>
        <w:gridCol w:w="60"/>
        <w:gridCol w:w="110"/>
        <w:gridCol w:w="984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984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 timing, receipt and amount of any milestone payments and deferred payments from Medexus with respect to IXINITY.</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unable to raise substantial additional capital in the next year, whether on terms that are acceptable to us or at all, then we may be required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delay, limit, reduce or terminate our clinical trials or other development activities for one or more of our product candidates; and/or,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delay, limit, reduce or terminate our establishment of other activities that may be necessary to commercialize our product candidates, if approved.</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t>
      </w:r>
      <w:r>
        <w:rPr>
          <w:rFonts w:ascii="Times New Roman" w:hAnsi="Times New Roman"/>
          <w:b w:val="false"/>
          <w:i w:val="false"/>
          <w:caps w:val="false"/>
          <w:smallCaps w:val="false"/>
          <w:color w:val="000000"/>
          <w:sz w:val="20"/>
        </w:rPr>
        <w:t xml:space="preserve">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w:t>
      </w:r>
      <w:r>
        <w:rPr>
          <w:rFonts w:ascii="Times New Roman" w:hAnsi="Times New Roman"/>
          <w:b w:val="false"/>
          <w:i w:val="false"/>
          <w:caps w:val="false"/>
          <w:smallCaps w:val="false"/>
          <w:sz w:val="20"/>
        </w:rPr>
        <w:t>Due to COVID-19, we may experience delays in clinical trials and pre-clinical work, and opportunities to partner our product candidates, due to financial and other impacts on potential partners.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Contractual Obligations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Once we begin participation in the Beat AML Master Clinical Trial, our purchase obligation for the Beat AML Master Clinical Trial totals $8.1 million over four years. As of the second quarter of 2021, we have not begun participation in the Beat AML Master Clinical Trial. The Clinical Trial Participation Agreement contains a termination for convenience clause where we may terminate the agreement with 180 days prior written notice.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August 5, 2020, we entered into a new Credit and Security Agreement (Credit Agreement), with MidCap Financial. The Credit Agreement provided us with up to $25 million of available borrowing capacity. The MidCap Financial loan has a 48 month term, is interest-only for the first 18 months, with straight-line amortization for the remaining 30 months and bears interest at a rate of one month LIBOR plus 6.25% per annum, subject to a 1.50% LIBOR floor and a 2.50% LIBOR cap. Additionally, on March 30, 2021, </w:t>
      </w:r>
      <w:r>
        <w:rPr>
          <w:rFonts w:ascii="Times New Roman" w:hAnsi="Times New Roman"/>
          <w:b w:val="false"/>
          <w:i w:val="false"/>
          <w:caps w:val="false"/>
          <w:smallCaps w:val="false"/>
          <w:color w:val="000000"/>
          <w:sz w:val="20"/>
        </w:rPr>
        <w:t xml:space="preserve">we amended </w:t>
      </w:r>
      <w:r>
        <w:rPr>
          <w:rFonts w:ascii="Times New Roman" w:hAnsi="Times New Roman"/>
          <w:b w:val="false"/>
          <w:i w:val="false"/>
          <w:caps w:val="false"/>
          <w:smallCaps w:val="false"/>
          <w:sz w:val="20"/>
        </w:rPr>
        <w:t>our Credit Agreement with MidCap Financial and used $10 million of the proceeds received from the Royalty Purchase Agreement with HCR to pay down the outstanding principal under this agreement from $25 million to $15 million. The Company’s Credit Agreement currently references LIBOR. Contract language is expected to be incorporated into these agreements to address the transition to an alternative reference rate. The Company is currently evaluating the impact that ASU 2020-04 may have on its consolidated financial statements.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March 30, 2021, we entered into </w:t>
      </w:r>
      <w:r>
        <w:rPr>
          <w:rFonts w:ascii="Times New Roman" w:hAnsi="Times New Roman"/>
          <w:b w:val="false"/>
          <w:i w:val="false"/>
          <w:caps w:val="false"/>
          <w:smallCaps w:val="false"/>
          <w:color w:val="000000"/>
          <w:sz w:val="20"/>
        </w:rPr>
        <w:t xml:space="preserve">the Royalty Purchase Agreement pursuant to which the Company sold to HCR the right to receive royalty payments made by Pfizer in respect of net sales of RUXIENCE.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val="false"/>
          <w:caps w:val="false"/>
          <w:smallCaps w:val="false"/>
          <w:sz w:val="20"/>
        </w:rPr>
      </w:pPr>
      <w:bookmarkStart w:id="10" w:name="ITEM_3_QUANTITATIVE_QUALITATIVE_DISCLOSU"/>
      <w:bookmarkEnd w:id="10"/>
      <w:r>
        <w:rPr>
          <w:rFonts w:ascii="Times New Roman" w:hAnsi="Times New Roman"/>
          <w:b/>
          <w:i w:val="false"/>
          <w:caps w:val="false"/>
          <w:smallCaps w:val="false"/>
          <w:sz w:val="20"/>
        </w:rPr>
        <w:t>Item 3. Quantitative and Qualitative Disclosures About Market Risk.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there was no material changes to the information provided under Item 7A, Quantitative and Qualitative Disclosures About Market Risk in our Annual Report on Form 10-K for the year ended December 31, 2020 and filed on March 31, 2021.</w:t>
      </w:r>
    </w:p>
    <w:p>
      <w:pPr>
        <w:pStyle w:val="TextBody"/>
        <w:spacing w:before="240" w:after="0"/>
        <w:jc w:val="both"/>
        <w:rPr>
          <w:rFonts w:ascii="Times New Roman" w:hAnsi="Times New Roman"/>
          <w:b/>
          <w:i w:val="false"/>
          <w:caps w:val="false"/>
          <w:smallCaps w:val="false"/>
          <w:sz w:val="20"/>
        </w:rPr>
      </w:pPr>
      <w:bookmarkStart w:id="11" w:name="ITEM_4_CONTROLS_PROCEDURES"/>
      <w:bookmarkEnd w:id="11"/>
      <w:r>
        <w:rPr>
          <w:rFonts w:ascii="Times New Roman" w:hAnsi="Times New Roman"/>
          <w:b/>
          <w:i w:val="false"/>
          <w:caps w:val="false"/>
          <w:smallCaps w:val="false"/>
          <w:sz w:val="20"/>
        </w:rPr>
        <w:t>Item 4. Controls and Procedures.</w:t>
      </w:r>
    </w:p>
    <w:p>
      <w:pPr>
        <w:pStyle w:val="TextBody"/>
        <w:spacing w:before="12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Evaluation of Disclosure Controls and Procedures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June 30, 2021,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w:t>
      </w:r>
    </w:p>
    <w:p>
      <w:pPr>
        <w:pStyle w:val="TextBody"/>
        <w:spacing w:before="12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Changes in Internal Control Over Financial Reporting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changes in our internal control over financial reporting (as defined in Rules 13a-15(f) and 15d-15(f) under the Exchange Act) during the quarter ended June 30, 2021, that have materially affected, or are reasonably likely to materially affect, our internal control over financial reporting.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sz w:val="20"/>
        </w:rPr>
      </w:pPr>
      <w:bookmarkStart w:id="12" w:name="PART_IIOR_INFORMATION"/>
      <w:bookmarkEnd w:id="12"/>
      <w:r>
        <w:rPr>
          <w:rFonts w:ascii="Times New Roman" w:hAnsi="Times New Roman"/>
          <w:b/>
          <w:i w:val="false"/>
          <w:caps w:val="false"/>
          <w:smallCaps w:val="false"/>
          <w:sz w:val="20"/>
        </w:rPr>
        <w:t>PART II—OTHER INFORMATION</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0"/>
        </w:rPr>
      </w:pPr>
      <w:bookmarkStart w:id="13" w:name="ITEM_1_LEGAL_PROCEEDINGS"/>
      <w:bookmarkEnd w:id="13"/>
      <w:r>
        <w:rPr>
          <w:rFonts w:ascii="Times New Roman" w:hAnsi="Times New Roman"/>
          <w:b/>
          <w:i w:val="false"/>
          <w:caps w:val="false"/>
          <w:smallCaps w:val="false"/>
          <w:sz w:val="20"/>
        </w:rPr>
        <w:t>Item 1. Legal Proceedings.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from time to time be named as a party to legal claims, actions and complaints, including matters involving employment claims, our intellectual property or other third-party claims. </w:t>
      </w:r>
      <w:r>
        <w:rPr>
          <w:rFonts w:ascii="Times New Roman" w:hAnsi="Times New Roman"/>
          <w:b w:val="false"/>
          <w:i w:val="false"/>
          <w:caps w:val="false"/>
          <w:smallCaps w:val="false"/>
          <w:color w:val="000000"/>
          <w:sz w:val="20"/>
        </w:rPr>
        <w:t>Our management believes that there are currently no claims or actions pending against us, the ultimate disposition of which could have a material adverse effect on our results of operations, financial condition or cash flows.</w:t>
      </w:r>
      <w:r>
        <w:rPr>
          <w:rFonts w:ascii="Times New Roman" w:hAnsi="Times New Roman"/>
          <w:b w:val="false"/>
          <w:i w:val="false"/>
          <w:caps w:val="false"/>
          <w:smallCaps w:val="false"/>
          <w:sz w:val="20"/>
        </w:rPr>
        <w:t xml:space="preserve"> </w:t>
      </w:r>
    </w:p>
    <w:p>
      <w:pPr>
        <w:pStyle w:val="TextBody"/>
        <w:spacing w:before="240" w:after="0"/>
        <w:jc w:val="both"/>
        <w:rPr>
          <w:rFonts w:ascii="Times New Roman" w:hAnsi="Times New Roman"/>
          <w:b/>
          <w:i w:val="false"/>
          <w:caps w:val="false"/>
          <w:smallCaps w:val="false"/>
          <w:sz w:val="20"/>
        </w:rPr>
      </w:pPr>
      <w:bookmarkStart w:id="14" w:name="Item_1A_RISK_FACTORS"/>
      <w:bookmarkEnd w:id="14"/>
      <w:r>
        <w:rPr>
          <w:rFonts w:ascii="Times New Roman" w:hAnsi="Times New Roman"/>
          <w:b/>
          <w:i w:val="false"/>
          <w:caps w:val="false"/>
          <w:smallCaps w:val="false"/>
          <w:sz w:val="20"/>
        </w:rPr>
        <w:t xml:space="preserve">Item 1A. Risk Factors. </w:t>
      </w:r>
    </w:p>
    <w:p>
      <w:pPr>
        <w:pStyle w:val="TextBody"/>
        <w:spacing w:before="12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 FACTOR SUMMARY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is a summary of the material risks to our business, operations, and ownership of our common stock:</w:t>
      </w:r>
    </w:p>
    <w:tbl>
      <w:tblPr>
        <w:tblW w:w="5635" w:type="dxa"/>
        <w:jc w:val="left"/>
        <w:tblInd w:w="0" w:type="dxa"/>
        <w:tblCellMar>
          <w:top w:w="0" w:type="dxa"/>
          <w:left w:w="0" w:type="dxa"/>
          <w:bottom w:w="0" w:type="dxa"/>
          <w:right w:w="0" w:type="dxa"/>
        </w:tblCellMar>
      </w:tblPr>
      <w:tblGrid>
        <w:gridCol w:w="60"/>
        <w:gridCol w:w="110"/>
        <w:gridCol w:w="546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546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We have a history of losses and may not be profitable in the future. </w:t>
            </w:r>
          </w:p>
        </w:tc>
      </w:tr>
    </w:tbl>
    <w:tbl>
      <w:tblPr>
        <w:tblW w:w="8785" w:type="dxa"/>
        <w:jc w:val="left"/>
        <w:tblInd w:w="0" w:type="dxa"/>
        <w:tblCellMar>
          <w:top w:w="0" w:type="dxa"/>
          <w:left w:w="0" w:type="dxa"/>
          <w:bottom w:w="0" w:type="dxa"/>
          <w:right w:w="0" w:type="dxa"/>
        </w:tblCellMar>
      </w:tblPr>
      <w:tblGrid>
        <w:gridCol w:w="60"/>
        <w:gridCol w:w="110"/>
        <w:gridCol w:w="861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861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We will require additional capital and may be unable to raise capital when needed or on acceptable terms.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Our future income will depend, in part, on the ability of Medexus to successfully further develop, market and commercialize IXINITY, resulting in milestone payments and deferred payments to the Company by Medexus.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tc>
      </w:tr>
    </w:tbl>
    <w:tbl>
      <w:tblPr>
        <w:tblW w:w="6400" w:type="dxa"/>
        <w:jc w:val="left"/>
        <w:tblInd w:w="0" w:type="dxa"/>
        <w:tblCellMar>
          <w:top w:w="0" w:type="dxa"/>
          <w:left w:w="0" w:type="dxa"/>
          <w:bottom w:w="0" w:type="dxa"/>
          <w:right w:w="0" w:type="dxa"/>
        </w:tblCellMar>
      </w:tblPr>
      <w:tblGrid>
        <w:gridCol w:w="60"/>
        <w:gridCol w:w="110"/>
        <w:gridCol w:w="623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6230"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COVID-19 could adversely impact our business, including our clinical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The terms of our credit agreement may restrict the operation of our business and limit the cash available for investment in our business operations.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If we experience delays or difficulties in the enrollment of patients in clinical trials, the time to reach critical trial data and receipt of any necessary regulatory approvals could be delayed.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Our ability to grow revenues and execute on our long-term strategy depends heavily on our ability to discover, develop, and obtain marketing approval for our product candidates. </w:t>
            </w:r>
          </w:p>
        </w:tc>
      </w:tr>
    </w:tbl>
    <w:tbl>
      <w:tblPr>
        <w:tblW w:w="9175" w:type="dxa"/>
        <w:jc w:val="left"/>
        <w:tblInd w:w="0" w:type="dxa"/>
        <w:tblCellMar>
          <w:top w:w="0" w:type="dxa"/>
          <w:left w:w="0" w:type="dxa"/>
          <w:bottom w:w="0" w:type="dxa"/>
          <w:right w:w="0" w:type="dxa"/>
        </w:tblCellMar>
      </w:tblPr>
      <w:tblGrid>
        <w:gridCol w:w="60"/>
        <w:gridCol w:w="110"/>
        <w:gridCol w:w="900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900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We may not be successful in our efforts to use and further develop our ADAPTIR or ADAPTIR-FLEX platforms.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Our long-term success depends, in part, upon our ability to develop, receive regulatory approval for and commercialize our product candidates. </w:t>
            </w:r>
          </w:p>
        </w:tc>
      </w:tr>
    </w:tbl>
    <w:tbl>
      <w:tblPr>
        <w:tblW w:w="7570" w:type="dxa"/>
        <w:jc w:val="left"/>
        <w:tblInd w:w="0" w:type="dxa"/>
        <w:tblCellMar>
          <w:top w:w="0" w:type="dxa"/>
          <w:left w:w="0" w:type="dxa"/>
          <w:bottom w:w="0" w:type="dxa"/>
          <w:right w:w="0" w:type="dxa"/>
        </w:tblCellMar>
      </w:tblPr>
      <w:tblGrid>
        <w:gridCol w:w="60"/>
        <w:gridCol w:w="110"/>
        <w:gridCol w:w="74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7400"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If we are unable to protect our intellectual proprietary rights, our business could be harmed.</w:t>
            </w:r>
          </w:p>
        </w:tc>
      </w:tr>
    </w:tbl>
    <w:tbl>
      <w:tblPr>
        <w:tblW w:w="2770" w:type="dxa"/>
        <w:jc w:val="left"/>
        <w:tblInd w:w="0" w:type="dxa"/>
        <w:tblCellMar>
          <w:top w:w="0" w:type="dxa"/>
          <w:left w:w="0" w:type="dxa"/>
          <w:bottom w:w="0" w:type="dxa"/>
          <w:right w:w="0" w:type="dxa"/>
        </w:tblCellMar>
      </w:tblPr>
      <w:tblGrid>
        <w:gridCol w:w="60"/>
        <w:gridCol w:w="110"/>
        <w:gridCol w:w="26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2600"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Our stock price may be volatile.</w:t>
            </w:r>
          </w:p>
        </w:tc>
      </w:tr>
    </w:tbl>
    <w:tbl>
      <w:tblPr>
        <w:tblW w:w="9850" w:type="dxa"/>
        <w:jc w:val="left"/>
        <w:tblInd w:w="0" w:type="dxa"/>
        <w:tblCellMar>
          <w:top w:w="0" w:type="dxa"/>
          <w:left w:w="0" w:type="dxa"/>
          <w:bottom w:w="0" w:type="dxa"/>
          <w:right w:w="0" w:type="dxa"/>
        </w:tblCellMar>
      </w:tblPr>
      <w:tblGrid>
        <w:gridCol w:w="60"/>
        <w:gridCol w:w="110"/>
        <w:gridCol w:w="968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9680"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We may be subject to periodic litigation, which could result in losses or unexpected expenditure of time and resources.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 xml:space="preserve">Actions of activist stockholders against us have been and could be disruptive and costly and may cause uncertainty about the strategic direction of our business. </w:t>
            </w:r>
          </w:p>
        </w:tc>
      </w:tr>
    </w:tbl>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BUSINESS</w:t>
      </w:r>
    </w:p>
    <w:p>
      <w:pPr>
        <w:pStyle w:val="TextBody"/>
        <w:spacing w:before="12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Financial Risks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a history of losses and may not be profitable in the future.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experienced significant operating losses and we may not achieve profitability in the future. For the three and six months ended June 30, 2021, we had net loss of $7.9 million and $15.2 million, respectively. As of June 30, 2021, we had an accumulated deficit of $200.8 million. We expect to continue to incur annual net operating losses, and will require substantial resources over the next several years as we expand our efforts to discover, develop and commercialize </w:t>
      </w:r>
      <w:r>
        <w:rPr>
          <w:rFonts w:ascii="Times New Roman" w:hAnsi="Times New Roman"/>
          <w:b w:val="false"/>
          <w:i w:val="false"/>
          <w:caps w:val="false"/>
          <w:smallCaps w:val="false"/>
          <w:color w:val="000000"/>
          <w:sz w:val="20"/>
        </w:rPr>
        <w:t>immunotherapeutic candidates, for the foreseeable future</w:t>
      </w:r>
      <w:r>
        <w:rPr>
          <w:rFonts w:ascii="Times New Roman" w:hAnsi="Times New Roman"/>
          <w:b w:val="false"/>
          <w:i w:val="false"/>
          <w:caps w:val="false"/>
          <w:smallCaps w:val="false"/>
          <w:sz w:val="20"/>
        </w:rPr>
        <w:t xml:space="preserve">. While we believe our existing cash and cash equivalents and the funding provided by our IXINITY deferred payment streams, the Royalty Purchase Agreement with HCR, credit agreement, our Equity Distribution Agreement with Piper Sandler &amp; Co (Piper Sandler) entered into in December 2020 (the Equity Distribution Agreement) and our Purchase Agreement with Lincoln Park Capital Fund, LLC (Lincoln Park), entered into in December 2018 (the Purchase Agreement), and </w:t>
      </w:r>
      <w:r>
        <w:rPr>
          <w:rFonts w:ascii="Times New Roman" w:hAnsi="Times New Roman"/>
          <w:b w:val="false"/>
          <w:i w:val="false"/>
          <w:caps w:val="false"/>
          <w:smallCaps w:val="false"/>
          <w:color w:val="000000"/>
          <w:sz w:val="20"/>
        </w:rPr>
        <w:t>exercises of warrants</w:t>
      </w:r>
      <w:r>
        <w:rPr>
          <w:rFonts w:ascii="Times New Roman" w:hAnsi="Times New Roman"/>
          <w:b w:val="false"/>
          <w:i w:val="false"/>
          <w:caps w:val="false"/>
          <w:smallCaps w:val="false"/>
          <w:sz w:val="20"/>
        </w:rPr>
        <w:t xml:space="preserve"> will provide us with sufficient liquidity to meet our cash requirements through 2021, our future success and ability to attain profitability will depend upon our ability to develop and take to market our product candidates.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will require additional capital and may be unable to raise capital when needed or on acceptable terms.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we had cash, cash equivalents, and restricted cash in the amount of $61.7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with such compensation restored to previous levels in August 2020. If we are not able to secure adequate additional funding, we may need to make further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 </w:t>
      </w:r>
    </w:p>
    <w:tbl>
      <w:tblPr>
        <w:tblW w:w="3850" w:type="dxa"/>
        <w:jc w:val="left"/>
        <w:tblInd w:w="0" w:type="dxa"/>
        <w:tblCellMar>
          <w:top w:w="0" w:type="dxa"/>
          <w:left w:w="0" w:type="dxa"/>
          <w:bottom w:w="0" w:type="dxa"/>
          <w:right w:w="0" w:type="dxa"/>
        </w:tblCellMar>
      </w:tblPr>
      <w:tblGrid>
        <w:gridCol w:w="60"/>
        <w:gridCol w:w="110"/>
        <w:gridCol w:w="3680"/>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3680"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 resolution of actions of activist investors;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 level, timing and receipt of any milestone or deferred payments under our agreement with Medexus with respect to the sales of IXINITY;</w:t>
            </w:r>
          </w:p>
        </w:tc>
      </w:tr>
    </w:tbl>
    <w:tbl>
      <w:tblPr>
        <w:tblW w:w="8755" w:type="dxa"/>
        <w:jc w:val="left"/>
        <w:tblInd w:w="0" w:type="dxa"/>
        <w:tblCellMar>
          <w:top w:w="0" w:type="dxa"/>
          <w:left w:w="0" w:type="dxa"/>
          <w:bottom w:w="0" w:type="dxa"/>
          <w:right w:w="0" w:type="dxa"/>
        </w:tblCellMar>
      </w:tblPr>
      <w:tblGrid>
        <w:gridCol w:w="60"/>
        <w:gridCol w:w="110"/>
        <w:gridCol w:w="858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858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whether and to what extent future proceeds are received under our royalty purchase agreement with HCR; </w:t>
            </w:r>
          </w:p>
        </w:tc>
      </w:tr>
    </w:tbl>
    <w:tbl>
      <w:tblPr>
        <w:tblW w:w="4930" w:type="dxa"/>
        <w:jc w:val="left"/>
        <w:tblInd w:w="0" w:type="dxa"/>
        <w:tblCellMar>
          <w:top w:w="0" w:type="dxa"/>
          <w:left w:w="0" w:type="dxa"/>
          <w:bottom w:w="0" w:type="dxa"/>
          <w:right w:w="0" w:type="dxa"/>
        </w:tblCellMar>
      </w:tblPr>
      <w:tblGrid>
        <w:gridCol w:w="60"/>
        <w:gridCol w:w="110"/>
        <w:gridCol w:w="4760"/>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4760"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extent to which we invest in products or technologies; </w:t>
            </w:r>
          </w:p>
        </w:tc>
      </w:tr>
    </w:tbl>
    <w:tbl>
      <w:tblPr>
        <w:tblW w:w="7600" w:type="dxa"/>
        <w:jc w:val="left"/>
        <w:tblInd w:w="0" w:type="dxa"/>
        <w:tblCellMar>
          <w:top w:w="0" w:type="dxa"/>
          <w:left w:w="0" w:type="dxa"/>
          <w:bottom w:w="0" w:type="dxa"/>
          <w:right w:w="0" w:type="dxa"/>
        </w:tblCellMar>
      </w:tblPr>
      <w:tblGrid>
        <w:gridCol w:w="60"/>
        <w:gridCol w:w="110"/>
        <w:gridCol w:w="7430"/>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7430"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 ability to satisfy the payment obligations and covenants under any future indebtedness;</w:t>
            </w:r>
          </w:p>
        </w:tc>
      </w:tr>
    </w:tbl>
    <w:tbl>
      <w:tblPr>
        <w:tblW w:w="7105" w:type="dxa"/>
        <w:jc w:val="left"/>
        <w:tblInd w:w="0" w:type="dxa"/>
        <w:tblCellMar>
          <w:top w:w="0" w:type="dxa"/>
          <w:left w:w="0" w:type="dxa"/>
          <w:bottom w:w="0" w:type="dxa"/>
          <w:right w:w="0" w:type="dxa"/>
        </w:tblCellMar>
      </w:tblPr>
      <w:tblGrid>
        <w:gridCol w:w="60"/>
        <w:gridCol w:w="110"/>
        <w:gridCol w:w="69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69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the ability to secure partnerships and/or collaborations that generate additional cash; </w:t>
            </w:r>
          </w:p>
        </w:tc>
      </w:tr>
    </w:tbl>
    <w:tbl>
      <w:tblPr>
        <w:tblW w:w="3325" w:type="dxa"/>
        <w:jc w:val="left"/>
        <w:tblInd w:w="0" w:type="dxa"/>
        <w:tblCellMar>
          <w:top w:w="0" w:type="dxa"/>
          <w:left w:w="0" w:type="dxa"/>
          <w:bottom w:w="0" w:type="dxa"/>
          <w:right w:w="0" w:type="dxa"/>
        </w:tblCellMar>
      </w:tblPr>
      <w:tblGrid>
        <w:gridCol w:w="60"/>
        <w:gridCol w:w="110"/>
        <w:gridCol w:w="315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315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capital improvements to our facilities; </w:t>
            </w:r>
          </w:p>
        </w:tc>
      </w:tr>
    </w:tbl>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588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 scope, progress, results, and costs of our development activities;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bookmarkStart w:id="15" w:name="T0"/>
            <w:bookmarkEnd w:id="15"/>
            <w:r>
              <w:rPr>
                <w:b w:val="false"/>
                <w:i w:val="false"/>
                <w:caps w:val="false"/>
                <w:smallCaps w:val="false"/>
                <w:color w:val="000000"/>
                <w:sz w:val="20"/>
              </w:rPr>
              <w:t>future clinical development costs and requirements to complete dosing of Phase 1/1b clinical trial for APVO436, as well as future clinical trials.</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$50.0 million worth of shares of our common stock pursuant to our Equity Distribution Agreement with Piper Sandler &amp; Co entered into in December 2020, (ii) any sale of up to the remaining $24.8 million worth of shares of our common stock to issue from our Purchase Agreement with Lincoln Park Capital Fund, LLC, or Lincoln Park, entered into in December 2018, and (iii) the issuance of up to 350,589 remaining outstanding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Current economic conditions, including the impact of COVID-19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Actions of activist stockholders against us have been and could be disruptive and costly and may cause uncertainty about the strategic direction of our business.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November 6, 2020, Tang filed a statement on Schedule 13D to report that Tang had purchased 1,760,000 shares of our common stock, representing at the time approximately 54% of our issued and outstanding shares of Common Stock (the Tang Ownership Change), although Tang has subsequently been diluted to a 36% beneficial ownership position.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have had a series of communications with Tang during which we attempted to negotiate a non-disclosure agreement to permit discussions covering our nonpublic information and our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stockholders and other stakeholders. The Board will continue to carefully evaluate any indications of interest and proposals for strategic transactions that it receives from current stockholders or otherwise, in line with its fiduciary duties and commitment to acting in the best interests of all of the Company’s stockholders.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caps w:val="false"/>
          <w:smallCaps w:val="false"/>
        </w:rPr>
      </w:pPr>
      <w:r>
        <w:rPr>
          <w:caps w:val="false"/>
          <w:smallCaps w:val="false"/>
        </w:rPr>
        <w:t> </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February 9, 2021, Tang announced its intention to nominate two candidates for election to our board of directors at our 2021 annual meeting of stockholders and submitted an advisory stockholder proposal for consideration at our 2021 annual meeting of stockholders to commence a process to sell Aptevo to the highest bidder. On June 21, 2021, Tang sent a letter to our board of directors that it was withdrawing its nomination of its two candidates for election to our board at the 2021 annual meeting of stockholders (the “Letter”). The Letter also indicated that Tang was withdrawing its previously submitted acquisition proposal to acquire the remaining common stock of Aptevo that Tang does not already own for a price of $50.00 per share in cash. We have incurred and may incur in the future additional expenses by retaining the services of various professionals to advise us on responding to these matters.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Board and management team strive to maintain constructive communications with our stockholders, including Tang, and welcomes their views and opinions with the goal of enhancing value for all stockholders. However, an activist campaign that seeks to replace members of our Board or changes in our strategic direction could have an adverse effect on us because: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Responding to actions by Tang and other activist stockholders can disrupt our operations, are costly and time-consuming, and divert the attention of our Board and senior management team from the pursuit of business strategies, which could adversely affect our results of operations and financial condition;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Perceived uncertainties as to our future direction as a result of changes to the composition of our Board or changes to our stockholder base may lead to the perception of a change in the direction of the business, instability or lack of continuity which may be exploited by our competitors, may result in the loss of potential business opportunities, cause concern for those enrolling in our clinical trial, and make it more difficult to attract and retain qualified personnel and business partners;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These and similar types of actions could cause significant fluctuations in our stock price based on temporary or speculative market perceptions or other factors that do not necessarily reflect the underlying fundamentals and prospects of our business;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 xml:space="preserve">If other activist stockholder activities ensue, our business could be adversely affected because responding to activist campaigns and proxy contests can be disruptive, costly, and time-consuming;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40" w:after="0"/>
              <w:jc w:val="both"/>
              <w:rPr>
                <w:caps w:val="false"/>
                <w:smallCaps w:val="false"/>
              </w:rPr>
            </w:pPr>
            <w:r>
              <w:rPr>
                <w:caps w:val="false"/>
                <w:smallCaps w:val="false"/>
              </w:rPr>
              <w:t> </w:t>
            </w:r>
          </w:p>
        </w:tc>
        <w:tc>
          <w:tcPr>
            <w:tcW w:w="110" w:type="dxa"/>
            <w:tcBorders/>
            <w:shd w:fill="auto" w:val="clear"/>
          </w:tcPr>
          <w:p>
            <w:pPr>
              <w:pStyle w:val="TableContents"/>
              <w:spacing w:before="40" w:after="0"/>
              <w:jc w:val="both"/>
              <w:rPr>
                <w:caps w:val="false"/>
                <w:smallCaps w:val="false"/>
              </w:rPr>
            </w:pPr>
            <w:r>
              <w:rPr>
                <w:caps w:val="false"/>
                <w:smallCaps w:val="false"/>
              </w:rPr>
              <w:t>•</w:t>
            </w:r>
          </w:p>
        </w:tc>
        <w:tc>
          <w:tcPr>
            <w:tcW w:w="10035" w:type="dxa"/>
            <w:tcBorders/>
            <w:shd w:fill="auto" w:val="clear"/>
          </w:tcPr>
          <w:p>
            <w:pPr>
              <w:pStyle w:val="TableContents"/>
              <w:spacing w:before="40" w:after="0"/>
              <w:jc w:val="both"/>
              <w:rPr>
                <w:b w:val="false"/>
                <w:i w:val="false"/>
                <w:caps w:val="false"/>
                <w:smallCaps w:val="false"/>
                <w:color w:val="000000"/>
                <w:sz w:val="20"/>
              </w:rPr>
            </w:pPr>
            <w:r>
              <w:rPr>
                <w:b w:val="false"/>
                <w:i w:val="false"/>
                <w:caps w:val="false"/>
                <w:smallCaps w:val="false"/>
                <w:color w:val="000000"/>
                <w:sz w:val="20"/>
              </w:rPr>
              <w:t>If individuals are elected to our Board with a specific agenda, it may adversely affect our ability to effectively implement our business strategy and to create additional value for our stockholders.</w:t>
            </w:r>
          </w:p>
        </w:tc>
      </w:tr>
    </w:tbl>
    <w:p>
      <w:pPr>
        <w:pStyle w:val="TextBody"/>
        <w:spacing w:before="24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Proposals from third-parties to acquire the company and stockholder proposals, and our responses thereto, may cause volatility in the trading price of our common stock and interfere with our efforts to raise capital.</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received in the past and may receive in the future proposals from third-parties to acquire the Company.  For example, 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also have received in the past and may receive in the future stockholder proposals requesting us to take certain actions.  For example, on February 9, 2021, Tang submitted an advisory stockholder proposal for consideration at our 2021 annual meeting of stockholders to commence a process to sell Aptevo to the highest bidder. As a result of the uncertainty surrounding any such proposals, and our responses to such proposals, the future trading price of our common stock could be volatile and be subject to wide price fluctuations. </w:t>
      </w:r>
    </w:p>
    <w:p>
      <w:pPr>
        <w:pStyle w:val="TextBody"/>
        <w:spacing w:before="24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operating results are unpredictable and may fluctuate.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operating results are difficult to predict and will likely fluctuate from quarter to quarter and year to year, as a result of a variety of factors, including:</w:t>
      </w:r>
    </w:p>
    <w:tbl>
      <w:tblPr>
        <w:tblW w:w="8695" w:type="dxa"/>
        <w:jc w:val="left"/>
        <w:tblInd w:w="0" w:type="dxa"/>
        <w:tblCellMar>
          <w:top w:w="0" w:type="dxa"/>
          <w:left w:w="0" w:type="dxa"/>
          <w:bottom w:w="0" w:type="dxa"/>
          <w:right w:w="0" w:type="dxa"/>
        </w:tblCellMar>
      </w:tblPr>
      <w:tblGrid>
        <w:gridCol w:w="60"/>
        <w:gridCol w:w="110"/>
        <w:gridCol w:w="8525"/>
      </w:tblGrid>
      <w:tr>
        <w:trPr/>
        <w:tc>
          <w:tcPr>
            <w:tcW w:w="6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both"/>
              <w:rPr>
                <w:caps w:val="false"/>
                <w:smallCaps w:val="false"/>
                <w:color w:val="000000"/>
                <w:spacing w:val="0"/>
              </w:rPr>
            </w:pPr>
            <w:r>
              <w:rPr>
                <w:caps w:val="false"/>
                <w:smallCaps w:val="false"/>
                <w:color w:val="000000"/>
                <w:spacing w:val="0"/>
              </w:rPr>
              <w:t>•</w:t>
            </w:r>
          </w:p>
        </w:tc>
        <w:tc>
          <w:tcPr>
            <w:tcW w:w="8525" w:type="dxa"/>
            <w:tcBorders/>
            <w:shd w:fill="auto" w:val="clear"/>
          </w:tcPr>
          <w:p>
            <w:pPr>
              <w:pStyle w:val="TableContents"/>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level and timing of any milestone or deferred payments with respect to sales of IXINITY by Medexus;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 xml:space="preserve">whether and to what extent future proceeds are received under our royalty purchase agreement with HCR;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10035" w:type="dxa"/>
            <w:tcBorders/>
            <w:shd w:fill="auto" w:val="clear"/>
          </w:tcPr>
          <w:p>
            <w:pPr>
              <w:pStyle w:val="TableContents"/>
              <w:spacing w:before="0" w:after="0"/>
              <w:jc w:val="both"/>
              <w:rPr>
                <w:b w:val="false"/>
                <w:i w:val="false"/>
                <w:caps w:val="false"/>
                <w:smallCaps w:val="false"/>
                <w:color w:val="000000"/>
                <w:sz w:val="20"/>
              </w:rPr>
            </w:pPr>
            <w:r>
              <w:rPr>
                <w:b w:val="false"/>
                <w:i w:val="false"/>
                <w:caps w:val="false"/>
                <w:smallCaps w:val="false"/>
                <w:color w:val="000000"/>
                <w:sz w:val="20"/>
              </w:rPr>
              <w:t>the timing, cost, and level of investment in our research and development activities as well as expenditures we will or may incur to acquire or develop additional technologies, products and product candidates.</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Due to COVID-19,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In 2020, we did see an impact of COVID-19 on our business as some of our clinical sites were at reduced capacity or closed, as well as our participation in the BEAT AML trial being delayed by the Leukemia and Lymphoma Society. These and other factors may have a material adverse effect on our business, results of operations and financial condition.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future income will depend, in part, on the ability of Medexus to successfully further develop, market and commercialize IXINITY, resulting in milestone payments and deferred payments to the Company by Medexus.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February 28, 2020, we entered into an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After that, the royalty rate will increase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COVID-19 pandemic on the current and future environment for clinical development and regulatory approval, Medexus’ ability to continue to successfully commercialize the IXINITY business may be effected, and we may experience potential impacts on our future deferred payments from Medexus. The failure of Medexus to successfully market and commercialize IXINITY, including because of factors outside of Medexus’ control, could result in lower than expected milestone or deferred payments to us and negatively impact our future financial and operating results.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thereunder survived.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(the Investment Amount) at closing and we are eligible to receive additional payments in aggregate of up to an  $32.5 million based on the achievement of sales milestones in 2021, 2022, and 2023 (collectively, the Milestone Amounts).</w:t>
      </w:r>
      <w:r>
        <w:rPr>
          <w:rFonts w:ascii="Times New Roman" w:hAnsi="Times New Roman"/>
          <w:b w:val="false"/>
          <w:i w:val="false"/>
          <w:caps w:val="false"/>
          <w:smallCaps w:val="false"/>
          <w:color w:val="000000"/>
          <w:sz w:val="20"/>
        </w:rPr>
        <w:t xml:space="preserve">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no control over the sales of RUXIENCE and are therefore dependent on the efforts and ability of Pfizer to generate net sales of RUXIENCE sufficient for us to receive Milestone Payments and additional royalty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product liability exposure, which could cause us to incur substantial liabilities and negatively affect our business, financial condition and results of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possess regulatory approval for study or commercial sale. We cannot predict the frequency, outcome or cost to defend any such claims.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cannot successfully defend ourselves against future claims that our product candidates caused injuries, we may incur substantial liabilities. Regardless of merit or eventual outcome, product liability claims may result in: </w:t>
      </w:r>
    </w:p>
    <w:tbl>
      <w:tblPr>
        <w:tblW w:w="4225" w:type="dxa"/>
        <w:jc w:val="left"/>
        <w:tblInd w:w="0" w:type="dxa"/>
        <w:tblCellMar>
          <w:top w:w="0" w:type="dxa"/>
          <w:left w:w="0" w:type="dxa"/>
          <w:bottom w:w="0" w:type="dxa"/>
          <w:right w:w="0" w:type="dxa"/>
        </w:tblCellMar>
      </w:tblPr>
      <w:tblGrid>
        <w:gridCol w:w="60"/>
        <w:gridCol w:w="110"/>
        <w:gridCol w:w="40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0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adverse publicity and/or injury to our reputation; </w:t>
            </w:r>
          </w:p>
        </w:tc>
      </w:tr>
    </w:tbl>
    <w:tbl>
      <w:tblPr>
        <w:tblW w:w="3445" w:type="dxa"/>
        <w:jc w:val="left"/>
        <w:tblInd w:w="0" w:type="dxa"/>
        <w:tblCellMar>
          <w:top w:w="0" w:type="dxa"/>
          <w:left w:w="0" w:type="dxa"/>
          <w:bottom w:w="0" w:type="dxa"/>
          <w:right w:w="0" w:type="dxa"/>
        </w:tblCellMar>
      </w:tblPr>
      <w:tblGrid>
        <w:gridCol w:w="60"/>
        <w:gridCol w:w="110"/>
        <w:gridCol w:w="32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2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withdrawal of clinical trial participants;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tbl>
      <w:tblPr>
        <w:tblW w:w="3220" w:type="dxa"/>
        <w:jc w:val="left"/>
        <w:tblInd w:w="0" w:type="dxa"/>
        <w:tblCellMar>
          <w:top w:w="0" w:type="dxa"/>
          <w:left w:w="0" w:type="dxa"/>
          <w:bottom w:w="0" w:type="dxa"/>
          <w:right w:w="0" w:type="dxa"/>
        </w:tblCellMar>
      </w:tblPr>
      <w:tblGrid>
        <w:gridCol w:w="60"/>
        <w:gridCol w:w="110"/>
        <w:gridCol w:w="30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0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costs to defend the related litigation; </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substantial monetary awards to trial participants or patients; </w:t>
            </w:r>
          </w:p>
        </w:tc>
      </w:tr>
    </w:tbl>
    <w:tbl>
      <w:tblPr>
        <w:tblW w:w="4870" w:type="dxa"/>
        <w:jc w:val="left"/>
        <w:tblInd w:w="0" w:type="dxa"/>
        <w:tblCellMar>
          <w:top w:w="0" w:type="dxa"/>
          <w:left w:w="0" w:type="dxa"/>
          <w:bottom w:w="0" w:type="dxa"/>
          <w:right w:w="0" w:type="dxa"/>
        </w:tblCellMar>
      </w:tblPr>
      <w:tblGrid>
        <w:gridCol w:w="60"/>
        <w:gridCol w:w="110"/>
        <w:gridCol w:w="47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7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decreased demand or withdrawal of an approved product; </w:t>
            </w:r>
          </w:p>
        </w:tc>
      </w:tr>
    </w:tbl>
    <w:tbl>
      <w:tblPr>
        <w:tblW w:w="1855" w:type="dxa"/>
        <w:jc w:val="left"/>
        <w:tblInd w:w="0" w:type="dxa"/>
        <w:tblCellMar>
          <w:top w:w="0" w:type="dxa"/>
          <w:left w:w="0" w:type="dxa"/>
          <w:bottom w:w="0" w:type="dxa"/>
          <w:right w:w="0" w:type="dxa"/>
        </w:tblCellMar>
      </w:tblPr>
      <w:tblGrid>
        <w:gridCol w:w="60"/>
        <w:gridCol w:w="110"/>
        <w:gridCol w:w="16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6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loss of revenue; and </w:t>
            </w:r>
          </w:p>
        </w:tc>
      </w:tr>
    </w:tbl>
    <w:tbl>
      <w:tblPr>
        <w:tblW w:w="5140" w:type="dxa"/>
        <w:jc w:val="left"/>
        <w:tblInd w:w="0" w:type="dxa"/>
        <w:tblCellMar>
          <w:top w:w="0" w:type="dxa"/>
          <w:left w:w="0" w:type="dxa"/>
          <w:bottom w:w="0" w:type="dxa"/>
          <w:right w:w="0" w:type="dxa"/>
        </w:tblCellMar>
      </w:tblPr>
      <w:tblGrid>
        <w:gridCol w:w="60"/>
        <w:gridCol w:w="110"/>
        <w:gridCol w:w="49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 inability to commercialize products that we may develop.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success is dependent on our continued ability to attract, motivate and retain key personnel, and any failure to attract or retain key personnel may negatively affect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Chief Scientific Officer, Jane Gross Ph.D.,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A novel strain of coronavirus, COVID-19 has spread through the world, including the United States.  We have experienced and may experience an impact on the health of key personnel due to COVID-19.</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COVID-19 could adversely impact our business, including our clinical trials.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March of 2020, a novel strain of coronavirus, COVID-19, has spread through the world, including the United States. The COVID-19 outbreak has caused severe global economic and societal disruptions and uncertainties, and we have experienced disruptions that have impacted our business and clinical trials, including, limitation of company operations,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delay in participation of APVO436 in the Beat AML trial;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continue to experience disruptions in the future, or additional disruptions that could severely impact our business, such as delays or difficulties to the financing environment and raising capital due to economic 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and negative impacts on suppliers and licensees. The global outbreak of COVID-19 continues to rapidly evolve. The COVID-19 pandemic may also result in the need to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COVID-19 pandemic may further impact our suppliers and manufacturers.  If any of our suppliers or manufacturers are adversely impacted by the COVID-19 pandemic or the restrictions resulting from the outbreak,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may result in changes in laws, policies, and regulations.  By example, due to the potential impact of the COVID-19 outbreak on clinical trials, drug development, and manufacturing, FDA issued a number of guidances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extent to which the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the effectiveness of actions taken in the United States and other countries to contain and treat the disease, including the effectiveness of vaccination programs, and whether businesses and the economy in general will continue to reopen and stay open.</w:t>
      </w:r>
    </w:p>
    <w:p>
      <w:pPr>
        <w:pStyle w:val="TextBody"/>
        <w:spacing w:before="24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terms of our credit agreement may restrict the operation of our business and limit the cash available for investment in our business operations.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requiring us to dedicate a substantial portion of any cash flow from operations to payment on our debt, which would reduce the amounts available to fund other corporate initiatives;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increasing the amount of interest that we have to pay on borrowings under the Credit Agreement if market rates of interest increase;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tc>
      </w:tr>
    </w:tbl>
    <w:tbl>
      <w:tblPr>
        <w:tblW w:w="8140" w:type="dxa"/>
        <w:jc w:val="left"/>
        <w:tblInd w:w="0" w:type="dxa"/>
        <w:tblCellMar>
          <w:top w:w="0" w:type="dxa"/>
          <w:left w:w="0" w:type="dxa"/>
          <w:bottom w:w="0" w:type="dxa"/>
          <w:right w:w="0" w:type="dxa"/>
        </w:tblCellMar>
      </w:tblPr>
      <w:tblGrid>
        <w:gridCol w:w="60"/>
        <w:gridCol w:w="110"/>
        <w:gridCol w:w="79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9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requiring compliance with affirmative covenants including payment and reporting covenants;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placing us at a competitive disadvantage compared to our competitors that have less debt, better debt servicing options or stronger debt servicing capacity.</w:t>
            </w:r>
          </w:p>
        </w:tc>
      </w:tr>
    </w:tbl>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pStyle w:val="TextBody"/>
        <w:spacing w:before="24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believe it is likely that we experienced by virtue of the Tang Ownership Change, an “ownership change” as defined in Section 382 of the U.S. Internal Revenue Code of 1986, as amended (the Code), and, if we are correct, the tax benefits of our pre-“ownership change” net operating loss carryforwards and certain other tax attributes will be subject to annual limitation under Sections 382 and 383 of the Code.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value owned by the 5% stockholders at any time during the applicable testing period, which is generally the rolling three-year period preceding the potential ownership change.  Such potential ownership change testing events include changes involving a stockholder becoming a 5% stockholder or arising from a new issuance of capital stock or share repurchases by the corporation, subject to certain exceptions.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Additionally, Section 382 of the Code includes special rules that apply to a corporation with a significant amount of net unrealized built-in gains or net unrealized built-in losses in its assets immediately prior to an ownership change under Section 382 of the Code. In general, certain built-in gains recognized during the five-year period beginning on the date of the ownership change increases the corporation’s annual limitation under Section 382 and 383 of the Code in the taxable year that such built-in gains are recognized or deemed recognized (but only up to the amount of the net unrealized built-in gain), while certain built-in losses recognized during such five-year period is subject to the annual limitation under Section 382 of the Code (but only up to the amount of the net unrealized built-in loss).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we had approximately $162.5 million and $68.1 million of federal and state net operating loss carryforwards, respectively, available to reduce future taxable income that will begin to expire in 2037 for federal purposes. These net operating loss carryforwards could expire unused and be unavailable to offset future income tax liabilities. Federal net operating loss carryforwards incurred in 2018 and in future years may be carried forward indefinitely, but the usage of such federal net operating losses is limited. We completed an IRC Section 382 study on our federal tax attributes in connection with the acquisition by Tang of 1,760,000 shares of our common stock and determined that the annual utilization of the federal net operating loss carryforwards is limited. It is not expected that the annual limitations will result in the expiration of tax attribute carryforwards prior to utilization assuming sufficient income.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 </w:t>
      </w:r>
    </w:p>
    <w:p>
      <w:pPr>
        <w:pStyle w:val="TextBody"/>
        <w:spacing w:before="24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Product Development Risks </w:t>
      </w:r>
    </w:p>
    <w:p>
      <w:pPr>
        <w:pStyle w:val="TextBody"/>
        <w:spacing w:before="0" w:after="0"/>
        <w:jc w:val="both"/>
        <w:rPr/>
      </w:pPr>
      <w:r>
        <w:rPr/>
        <w:t> </w:t>
      </w:r>
    </w:p>
    <w:p>
      <w:pPr>
        <w:pStyle w:val="TextBody"/>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The results of our current and planned clinical trials may not satisfy the requirements of the FDA or non-U.S. regulatory authorities.  Interim or top line data may be subject to change or qualification based on the complete analysis of data.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failure can occur at any stage of clinical development. Clinical trials may produce negative or inconclusive results.  The FDA or a non-US regulatory authority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For example, we have previously reported on a patient in cohort 4 of our APVO 436 Phase 1/1b clinical trial who showed a complete marrow response.  That patient dropped out of the trial during the eleventh cycle of treatment because his/her disease progressed. Additionally, we previously reported on two patients in cohort 6 of our APVO 436 Phase 1/1b clinical trial who had a complete remission status. Both patients are no longer in a complete remission status and discontinued therapy due to progression in their disease.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we may experience delays in reaching, or fail to reach, agreement on acceptable clinical trial contracts or clinical trial protocols with prospective trial sites and our contract research organizations (CROs);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regulators may require us to perform additional or unanticipated clinical trials to obtain approval or we may be subject to additional post-marketing testing, surveillance, or REMS requirements to maintain regulatory approval;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clinical trials of our product candidates may produce negative or inconclusive results, or our studies may fail to reach the necessary level of statistical significance;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changes in marketing approval policies, laws, regulations, or the regulatory review process during the development period rendering our data insufficient to obtain marketing approval;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cost of clinical trials of our product candidates may be greater than we anticipate or we may have insufficient funds for a clinical trial or to pay the substantial user fees required by the FDA upon the filing of a marketing application;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supply or quality of our product candidates or other materials necessary to conduct clinical trials of our product candidates may be insufficient or inadequate;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we may fail to reach an agreement with regulators or IRBs regarding the scope, design, or implementation of our clinical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we may have delays in adding new investigators or clinical trial sites, or we may experience a withdrawal of clinical trial sites;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there may be regulatory questions or disagreements regarding interpretations of data and results, or new information may emerge regarding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FDA or comparable foreign regulatory authorities may disagree with our study design, including endpoints, or our interpretation of data from preclinical studies and clinical trials or find that a product candidate’s benefits do not outweigh its safety risks;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FDA or comparable foreign regulatory authorities may not accept data from studies with clinical trial sites in foreign countries;</w:t>
            </w:r>
          </w:p>
        </w:tc>
      </w:tr>
    </w:tbl>
    <w:tbl>
      <w:tblPr>
        <w:tblW w:w="7480" w:type="dxa"/>
        <w:jc w:val="left"/>
        <w:tblInd w:w="0" w:type="dxa"/>
        <w:tblCellMar>
          <w:top w:w="0" w:type="dxa"/>
          <w:left w:w="0" w:type="dxa"/>
          <w:bottom w:w="0" w:type="dxa"/>
          <w:right w:w="0" w:type="dxa"/>
        </w:tblCellMar>
      </w:tblPr>
      <w:tblGrid>
        <w:gridCol w:w="60"/>
        <w:gridCol w:w="110"/>
        <w:gridCol w:w="73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3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FDA or comparable regulatory authorities may disagree with our intended indications;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FDA or comparable foreign regulatory authorities may fail to approve or subsequently find fault with the manufacturing processes or our contract manufacturer’s manufacturing facility for clinical and future commercial supplies;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we may not be able to demonstrate that a product candidate provides an advantage over current standards of care or current or future competitive therapies in development.</w:t>
            </w:r>
          </w:p>
        </w:tc>
      </w:tr>
    </w:tbl>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preclinical studies and clinical trials. In particular, the FDA may not view our data as being clinically meaningful or statistically persuasive.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If we experience delays or difficulties in the enrollment of patients in clinical trials, the time to reach critical trial data and receipt of any necessary regulatory approvals could be delayed.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In addition, the global outbreak of the COVID-19 pandemic makes it more difficult to initiate studies and enroll patients.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 enrollment is affected by other factors including:</w:t>
      </w:r>
    </w:p>
    <w:tbl>
      <w:tblPr>
        <w:tblW w:w="4015" w:type="dxa"/>
        <w:jc w:val="left"/>
        <w:tblInd w:w="0" w:type="dxa"/>
        <w:tblCellMar>
          <w:top w:w="0" w:type="dxa"/>
          <w:left w:w="0" w:type="dxa"/>
          <w:bottom w:w="0" w:type="dxa"/>
          <w:right w:w="0" w:type="dxa"/>
        </w:tblCellMar>
      </w:tblPr>
      <w:tblGrid>
        <w:gridCol w:w="60"/>
        <w:gridCol w:w="110"/>
        <w:gridCol w:w="38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8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severity of the disease under investigation; </w:t>
            </w:r>
          </w:p>
        </w:tc>
      </w:tr>
    </w:tbl>
    <w:tbl>
      <w:tblPr>
        <w:tblW w:w="4675" w:type="dxa"/>
        <w:jc w:val="left"/>
        <w:tblInd w:w="0" w:type="dxa"/>
        <w:tblCellMar>
          <w:top w:w="0" w:type="dxa"/>
          <w:left w:w="0" w:type="dxa"/>
          <w:bottom w:w="0" w:type="dxa"/>
          <w:right w:w="0" w:type="dxa"/>
        </w:tblCellMar>
      </w:tblPr>
      <w:tblGrid>
        <w:gridCol w:w="60"/>
        <w:gridCol w:w="110"/>
        <w:gridCol w:w="45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5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patient eligibility criteria for the study in question; </w:t>
            </w:r>
          </w:p>
        </w:tc>
      </w:tr>
    </w:tbl>
    <w:tbl>
      <w:tblPr>
        <w:tblW w:w="5875" w:type="dxa"/>
        <w:jc w:val="left"/>
        <w:tblInd w:w="0" w:type="dxa"/>
        <w:tblCellMar>
          <w:top w:w="0" w:type="dxa"/>
          <w:left w:w="0" w:type="dxa"/>
          <w:bottom w:w="0" w:type="dxa"/>
          <w:right w:w="0" w:type="dxa"/>
        </w:tblCellMar>
      </w:tblPr>
      <w:tblGrid>
        <w:gridCol w:w="60"/>
        <w:gridCol w:w="110"/>
        <w:gridCol w:w="570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70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perceived risks and benefits of the product candidate under study; </w:t>
            </w:r>
          </w:p>
        </w:tc>
      </w:tr>
    </w:tbl>
    <w:tbl>
      <w:tblPr>
        <w:tblW w:w="3745" w:type="dxa"/>
        <w:jc w:val="left"/>
        <w:tblInd w:w="0" w:type="dxa"/>
        <w:tblCellMar>
          <w:top w:w="0" w:type="dxa"/>
          <w:left w:w="0" w:type="dxa"/>
          <w:bottom w:w="0" w:type="dxa"/>
          <w:right w:w="0" w:type="dxa"/>
        </w:tblCellMar>
      </w:tblPr>
      <w:tblGrid>
        <w:gridCol w:w="60"/>
        <w:gridCol w:w="110"/>
        <w:gridCol w:w="35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5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payments for conducting clinical trials; </w:t>
            </w:r>
          </w:p>
        </w:tc>
      </w:tr>
    </w:tbl>
    <w:tbl>
      <w:tblPr>
        <w:tblW w:w="3670" w:type="dxa"/>
        <w:jc w:val="left"/>
        <w:tblInd w:w="0" w:type="dxa"/>
        <w:tblCellMar>
          <w:top w:w="0" w:type="dxa"/>
          <w:left w:w="0" w:type="dxa"/>
          <w:bottom w:w="0" w:type="dxa"/>
          <w:right w:w="0" w:type="dxa"/>
        </w:tblCellMar>
      </w:tblPr>
      <w:tblGrid>
        <w:gridCol w:w="60"/>
        <w:gridCol w:w="110"/>
        <w:gridCol w:w="35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5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patient referral practices of physicians; </w:t>
            </w:r>
          </w:p>
        </w:tc>
      </w:tr>
    </w:tbl>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9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ability to monitor patients adequately during and after treatment; and,</w:t>
            </w:r>
          </w:p>
        </w:tc>
      </w:tr>
    </w:tbl>
    <w:tbl>
      <w:tblPr>
        <w:tblW w:w="6325" w:type="dxa"/>
        <w:jc w:val="left"/>
        <w:tblInd w:w="0" w:type="dxa"/>
        <w:tblCellMar>
          <w:top w:w="0" w:type="dxa"/>
          <w:left w:w="0" w:type="dxa"/>
          <w:bottom w:w="0" w:type="dxa"/>
          <w:right w:w="0" w:type="dxa"/>
        </w:tblCellMar>
      </w:tblPr>
      <w:tblGrid>
        <w:gridCol w:w="60"/>
        <w:gridCol w:w="110"/>
        <w:gridCol w:w="61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1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proximity and availability of clinical trial sites for prospective patients.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may cause the value of our company to decline and limit our ability to obtain additional financing.</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we continue developing our product candidates and initiate clinical trials of our additional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 </w:t>
      </w:r>
    </w:p>
    <w:tbl>
      <w:tblPr>
        <w:tblW w:w="9040" w:type="dxa"/>
        <w:jc w:val="left"/>
        <w:tblInd w:w="0" w:type="dxa"/>
        <w:tblCellMar>
          <w:top w:w="0" w:type="dxa"/>
          <w:left w:w="0" w:type="dxa"/>
          <w:bottom w:w="0" w:type="dxa"/>
          <w:right w:w="0" w:type="dxa"/>
        </w:tblCellMar>
      </w:tblPr>
      <w:tblGrid>
        <w:gridCol w:w="60"/>
        <w:gridCol w:w="110"/>
        <w:gridCol w:w="88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8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regulatory authorities may require additional warnings on the label or impose distribution or use restrictions; </w:t>
            </w:r>
          </w:p>
        </w:tc>
      </w:tr>
    </w:tbl>
    <w:tbl>
      <w:tblPr>
        <w:tblW w:w="5680" w:type="dxa"/>
        <w:jc w:val="left"/>
        <w:tblInd w:w="0" w:type="dxa"/>
        <w:tblCellMar>
          <w:top w:w="0" w:type="dxa"/>
          <w:left w:w="0" w:type="dxa"/>
          <w:bottom w:w="0" w:type="dxa"/>
          <w:right w:w="0" w:type="dxa"/>
        </w:tblCellMar>
      </w:tblPr>
      <w:tblGrid>
        <w:gridCol w:w="60"/>
        <w:gridCol w:w="110"/>
        <w:gridCol w:w="55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5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regulatory authorities may require one or more post-market studies; </w:t>
            </w:r>
          </w:p>
        </w:tc>
      </w:tr>
    </w:tbl>
    <w:tbl>
      <w:tblPr>
        <w:tblW w:w="9490" w:type="dxa"/>
        <w:jc w:val="left"/>
        <w:tblInd w:w="0" w:type="dxa"/>
        <w:tblCellMar>
          <w:top w:w="0" w:type="dxa"/>
          <w:left w:w="0" w:type="dxa"/>
          <w:bottom w:w="0" w:type="dxa"/>
          <w:right w:w="0" w:type="dxa"/>
        </w:tblCellMar>
      </w:tblPr>
      <w:tblGrid>
        <w:gridCol w:w="60"/>
        <w:gridCol w:w="110"/>
        <w:gridCol w:w="93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3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we may be required to create a medication guide outlining the risks of such side effects for distribution to patients;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 </w:t>
            </w:r>
          </w:p>
        </w:tc>
      </w:tr>
    </w:tbl>
    <w:tbl>
      <w:tblPr>
        <w:tblW w:w="5515" w:type="dxa"/>
        <w:jc w:val="left"/>
        <w:tblInd w:w="0" w:type="dxa"/>
        <w:tblCellMar>
          <w:top w:w="0" w:type="dxa"/>
          <w:left w:w="0" w:type="dxa"/>
          <w:bottom w:w="0" w:type="dxa"/>
          <w:right w:w="0" w:type="dxa"/>
        </w:tblCellMar>
      </w:tblPr>
      <w:tblGrid>
        <w:gridCol w:w="60"/>
        <w:gridCol w:w="110"/>
        <w:gridCol w:w="53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3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we could be sued and held liable for harm caused to patients; and,</w:t>
            </w:r>
          </w:p>
        </w:tc>
      </w:tr>
    </w:tbl>
    <w:tbl>
      <w:tblPr>
        <w:tblW w:w="2320" w:type="dxa"/>
        <w:jc w:val="left"/>
        <w:tblInd w:w="0" w:type="dxa"/>
        <w:tblCellMar>
          <w:top w:w="0" w:type="dxa"/>
          <w:left w:w="0" w:type="dxa"/>
          <w:bottom w:w="0" w:type="dxa"/>
          <w:right w:w="0" w:type="dxa"/>
        </w:tblCellMar>
      </w:tblPr>
      <w:tblGrid>
        <w:gridCol w:w="60"/>
        <w:gridCol w:w="110"/>
        <w:gridCol w:w="21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1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reputation may suffer.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these events could prevent us from achieving or maintaining market acceptance of the affected product candidate, or could substantially increase commercialization costs and expenses, which could delay or prevent us from generating revenue from the sale of our products and materially harm our business and results of operations.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depend on third parties to conduct our clinical and non-clinical trials.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the ability to independently conduct the clinical and non-clinical trials required to obtain regulatory approval for our product candidates. We depend on third parties, such as independent clinical investigators, contract research organizations, or CROs, and other third-party service providers to conduct the clinical and non-clinical trials of our product candidates, and we expect to continue to do so. For example, Dr. Fatih Uckun, our current Chief Clinical Advisor, is now providing clinical trial and medical affairs oversight duties as a consultant.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non-clinical, and preclinical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COVID-19 pandemic could negatively affect the ability of some of the independent clinical investigators, contract research organizations and other third-party service providers that conduct our clinical and non-clinical trials of our product candidates. Any delay in or inability to complete our trials could delay or prevent the development, approval, and commercialization of our product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pStyle w:val="TextBody"/>
        <w:spacing w:before="24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Commercialization Risks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grow revenues and execute on our long-term strategy depends heavily on our ability to discover, develop, and obtain marketing approval for our product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non-clinical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or products, or with significant labeled warnings. We may also be subject to additional post-marketing testing requirements, surveillance requirements, or REMS. To the extent any of the foregoing should occur, our business may be materially harmed.</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use and further develop our ADAPTIR or ADAPTIR-FLEX platforms.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We face substantial competition.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our most significant competitors in the oncology market include: AbbVie Inc., Affimed, Amgen Inc., AnaptysBio, Inc., Astellas Pharma Inc., Bayer AG, Biogen Idec Inc., Boehringer Ingelheim GmbH, Chinook Therapeutics, F-Star Biotechnology Ltd., Genentech Inc. (a subsidiary of F. Hoffmann-La Roche Ltd.), Genmab A/S, GlaxoSmithKline plc, Grifols USA LLC, Bristol Myers Squibb, ImmunoGen, Inc., Immunomedics, Inc., Janssen BioTech Inc., Johnson &amp; Johnson, Macrogenics, Inc., Novartis International AG, Pieris Pharmaceuticals, Inc., Sanofi-Aventis US LLC, Takeda Pharmaceuticals U.S.A., Inc., Teneobio,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Any of our product candidates, if approved, may become subject to unfavorable pricing regulations or third-party coverage and reimbursement policies, which would harm our business</w:t>
      </w:r>
      <w:r>
        <w:rPr>
          <w:rFonts w:ascii="Times New Roman" w:hAnsi="Times New Roman"/>
          <w:b/>
          <w:i w:val="false"/>
          <w:caps w:val="false"/>
          <w:smallCaps w:val="false"/>
          <w:sz w:val="20"/>
        </w:rPr>
        <w: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Legislative or healthcare reform measures may have a material adverse effect on our business and results of operations.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 &amp; Jobs Act and the case is currently pending before the United States Supreme Court. It is unclear how this decision, subsequent appeals, and other efforts to repeal and replace the ACA will impact the ACA and our business. We continue to evaluate how the ACA and recent efforts to repeal and replace or limit the implementation of the ACA will impact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w:t>
      </w:r>
      <w:r>
        <w:rPr>
          <w:rFonts w:ascii="Times New Roman" w:hAnsi="Times New Roman"/>
          <w:b w:val="false"/>
          <w:i w:val="false"/>
          <w:caps w:val="false"/>
          <w:smallCaps w:val="false"/>
          <w:color w:val="000000"/>
          <w:sz w:val="20"/>
        </w:rPr>
        <w:t>proposals have been made to increase drug manufacturer competition, increase the negotiating power of certain federal healthcare programs, incentivize manufacturers to lower the list price of their products, and reduce the out of pocket costs of drug products paid by consumers.</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On January 20, 2021,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it may act to overturn some of the prior Trump administration initiatives; however, the legislative and regulatory agendas, as they relate to the healthcare and pharmaceutical industries and the economy as a whole, of the Biden administration and the U.S. Congress currently remain uncertain. Any</w:t>
      </w:r>
      <w:r>
        <w:rPr>
          <w:rFonts w:ascii="Times New Roman" w:hAnsi="Times New Roman"/>
          <w:b w:val="false"/>
          <w:i w:val="false"/>
          <w:caps w:val="false"/>
          <w:smallCaps w:val="false"/>
          <w:sz w:val="20"/>
        </w:rPr>
        <w:t xml:space="preserve">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Manufacture of our product candidates, especially in large quantities, is complex and time consuming. The loss of any of our third-party manufacturers, or delays or problems in the manufacture our product candidates, could result in product shortages and/or delays in clinical development.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The addition of a new or alternative manufacturer may also require FDA approvals and may have a material adverse effect on our business.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or our third-party manufacturers’ failure to obtain the raw materials, therapeutic substances, or active pharmaceutical ingredients necessary to manufacture sufficient quantities of our product candidates may have a material adverse effect on our business.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COVID-19, our third-party manufacturers may experience difficulties that impact our product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Failure of our third-party manufacturers to successfully manufacture material that conforms to our specifications and the FDA’s or foreign regulatory authorities’ strict regulatory requirements, may prevent regulatory approval of those manufacturing facilities.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and our third-party manufacturers may not be able to meet these manufacturing process requirements for any of our current product candidates, all of which have complex manufacturing processes, which make meeting these requirements even more challenging. Due to COVID-19,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Changes in product candidate manufacturing or formulation may result in additional costs or delay.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pStyle w:val="TextBody"/>
        <w:spacing w:before="24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Regulatory and Compliance Risks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long-term success depends, in part, upon our ability to develop, receive regulatory approval for and commercialize our product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preclinical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Some of our product candidates previously in development experienced regulatory and/or clinical setbacks. Clinical development has been discontinued for product candidates otlertuzumab, APVO414, and APVO210. Both APVO414 and APVO210 were discontinued after patients developed ADA. </w:t>
      </w:r>
      <w:r>
        <w:rPr>
          <w:rFonts w:ascii="Times New Roman" w:hAnsi="Times New Roman"/>
          <w:b w:val="false"/>
          <w:i w:val="false"/>
          <w:caps w:val="false"/>
          <w:smallCaps w:val="false"/>
          <w:color w:val="000000"/>
          <w:sz w:val="20"/>
        </w:rPr>
        <w:t>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w:t>
      </w:r>
      <w:r>
        <w:rPr>
          <w:rFonts w:ascii="Times New Roman" w:hAnsi="Times New Roman"/>
          <w:b w:val="false"/>
          <w:i w:val="false"/>
          <w:caps w:val="false"/>
          <w:smallCaps w:val="false"/>
          <w:sz w:val="20"/>
        </w:rPr>
        <w:t xml:space="preserve">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product candidates are subject to extensive and ongoing requirements of and review by the FDA and other regulatory authorities, including requirements related to the conduct of clinical and pre-clinical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1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restrictions on manufacturing or distribution, or marketing of such products;</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5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modifications to promotional pieces and product labels;</w:t>
            </w:r>
          </w:p>
        </w:tc>
      </w:tr>
    </w:tbl>
    <w:tbl>
      <w:tblPr>
        <w:tblW w:w="3010" w:type="dxa"/>
        <w:jc w:val="left"/>
        <w:tblInd w:w="0" w:type="dxa"/>
        <w:tblCellMar>
          <w:top w:w="0" w:type="dxa"/>
          <w:left w:w="0" w:type="dxa"/>
          <w:bottom w:w="0" w:type="dxa"/>
          <w:right w:w="0" w:type="dxa"/>
        </w:tblCellMar>
      </w:tblPr>
      <w:tblGrid>
        <w:gridCol w:w="60"/>
        <w:gridCol w:w="110"/>
        <w:gridCol w:w="28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8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issuance of corrective information;</w:t>
            </w:r>
          </w:p>
        </w:tc>
      </w:tr>
    </w:tbl>
    <w:tbl>
      <w:tblPr>
        <w:tblW w:w="5890" w:type="dxa"/>
        <w:jc w:val="left"/>
        <w:tblInd w:w="0" w:type="dxa"/>
        <w:tblCellMar>
          <w:top w:w="0" w:type="dxa"/>
          <w:left w:w="0" w:type="dxa"/>
          <w:bottom w:w="0" w:type="dxa"/>
          <w:right w:w="0" w:type="dxa"/>
        </w:tblCellMar>
      </w:tblPr>
      <w:tblGrid>
        <w:gridCol w:w="60"/>
        <w:gridCol w:w="110"/>
        <w:gridCol w:w="57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7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requirements to conduct post-marketing studies or other clinical trials;</w:t>
            </w:r>
          </w:p>
        </w:tc>
      </w:tr>
    </w:tbl>
    <w:tbl>
      <w:tblPr>
        <w:tblW w:w="3880" w:type="dxa"/>
        <w:jc w:val="left"/>
        <w:tblInd w:w="0" w:type="dxa"/>
        <w:tblCellMar>
          <w:top w:w="0" w:type="dxa"/>
          <w:left w:w="0" w:type="dxa"/>
          <w:bottom w:w="0" w:type="dxa"/>
          <w:right w:w="0" w:type="dxa"/>
        </w:tblCellMar>
      </w:tblPr>
      <w:tblGrid>
        <w:gridCol w:w="60"/>
        <w:gridCol w:w="110"/>
        <w:gridCol w:w="37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7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clinical holds or termination of clinical trials;</w:t>
            </w:r>
          </w:p>
        </w:tc>
      </w:tr>
    </w:tbl>
    <w:tbl>
      <w:tblPr>
        <w:tblW w:w="5470" w:type="dxa"/>
        <w:jc w:val="left"/>
        <w:tblInd w:w="0" w:type="dxa"/>
        <w:tblCellMar>
          <w:top w:w="0" w:type="dxa"/>
          <w:left w:w="0" w:type="dxa"/>
          <w:bottom w:w="0" w:type="dxa"/>
          <w:right w:w="0" w:type="dxa"/>
        </w:tblCellMar>
      </w:tblPr>
      <w:tblGrid>
        <w:gridCol w:w="60"/>
        <w:gridCol w:w="110"/>
        <w:gridCol w:w="53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3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requirements to establish or modify a REMS or a similar strategy;</w:t>
            </w:r>
          </w:p>
        </w:tc>
      </w:tr>
    </w:tbl>
    <w:tbl>
      <w:tblPr>
        <w:tblW w:w="4045" w:type="dxa"/>
        <w:jc w:val="left"/>
        <w:tblInd w:w="0" w:type="dxa"/>
        <w:tblCellMar>
          <w:top w:w="0" w:type="dxa"/>
          <w:left w:w="0" w:type="dxa"/>
          <w:bottom w:w="0" w:type="dxa"/>
          <w:right w:w="0" w:type="dxa"/>
        </w:tblCellMar>
      </w:tblPr>
      <w:tblGrid>
        <w:gridCol w:w="60"/>
        <w:gridCol w:w="110"/>
        <w:gridCol w:w="38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8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changes to the way the product is administered;</w:t>
            </w:r>
          </w:p>
        </w:tc>
      </w:tr>
    </w:tbl>
    <w:tbl>
      <w:tblPr>
        <w:tblW w:w="4045" w:type="dxa"/>
        <w:jc w:val="left"/>
        <w:tblInd w:w="0" w:type="dxa"/>
        <w:tblCellMar>
          <w:top w:w="0" w:type="dxa"/>
          <w:left w:w="0" w:type="dxa"/>
          <w:bottom w:w="0" w:type="dxa"/>
          <w:right w:w="0" w:type="dxa"/>
        </w:tblCellMar>
      </w:tblPr>
      <w:tblGrid>
        <w:gridCol w:w="60"/>
        <w:gridCol w:w="110"/>
        <w:gridCol w:w="38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8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liability for harm caused to patients or subjects;</w:t>
            </w:r>
          </w:p>
        </w:tc>
      </w:tr>
    </w:tbl>
    <w:tbl>
      <w:tblPr>
        <w:tblW w:w="1690" w:type="dxa"/>
        <w:jc w:val="left"/>
        <w:tblInd w:w="0" w:type="dxa"/>
        <w:tblCellMar>
          <w:top w:w="0" w:type="dxa"/>
          <w:left w:w="0" w:type="dxa"/>
          <w:bottom w:w="0" w:type="dxa"/>
          <w:right w:w="0" w:type="dxa"/>
        </w:tblCellMar>
      </w:tblPr>
      <w:tblGrid>
        <w:gridCol w:w="60"/>
        <w:gridCol w:w="110"/>
        <w:gridCol w:w="15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5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reputational harm;</w:t>
            </w:r>
          </w:p>
        </w:tc>
      </w:tr>
    </w:tbl>
    <w:tbl>
      <w:tblPr>
        <w:tblW w:w="3400" w:type="dxa"/>
        <w:jc w:val="left"/>
        <w:tblInd w:w="0" w:type="dxa"/>
        <w:tblCellMar>
          <w:top w:w="0" w:type="dxa"/>
          <w:left w:w="0" w:type="dxa"/>
          <w:bottom w:w="0" w:type="dxa"/>
          <w:right w:w="0" w:type="dxa"/>
        </w:tblCellMar>
      </w:tblPr>
      <w:tblGrid>
        <w:gridCol w:w="60"/>
        <w:gridCol w:w="110"/>
        <w:gridCol w:w="32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2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product becoming less competitive;</w:t>
            </w:r>
          </w:p>
        </w:tc>
      </w:tr>
    </w:tbl>
    <w:tbl>
      <w:tblPr>
        <w:tblW w:w="2935" w:type="dxa"/>
        <w:jc w:val="left"/>
        <w:tblInd w:w="0" w:type="dxa"/>
        <w:tblCellMar>
          <w:top w:w="0" w:type="dxa"/>
          <w:left w:w="0" w:type="dxa"/>
          <w:bottom w:w="0" w:type="dxa"/>
          <w:right w:w="0" w:type="dxa"/>
        </w:tblCellMar>
      </w:tblPr>
      <w:tblGrid>
        <w:gridCol w:w="60"/>
        <w:gridCol w:w="110"/>
        <w:gridCol w:w="27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7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warning, untitled, or cyber letters;</w:t>
            </w:r>
          </w:p>
        </w:tc>
      </w:tr>
    </w:tbl>
    <w:tbl>
      <w:tblPr>
        <w:tblW w:w="5965" w:type="dxa"/>
        <w:jc w:val="left"/>
        <w:tblInd w:w="0" w:type="dxa"/>
        <w:tblCellMar>
          <w:top w:w="0" w:type="dxa"/>
          <w:left w:w="0" w:type="dxa"/>
          <w:bottom w:w="0" w:type="dxa"/>
          <w:right w:w="0" w:type="dxa"/>
        </w:tblCellMar>
      </w:tblPr>
      <w:tblGrid>
        <w:gridCol w:w="60"/>
        <w:gridCol w:w="110"/>
        <w:gridCol w:w="579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79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suspension of marketing or withdrawal of the products from the market;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regulatory authority issuance of safety alerts, Dear Healthcare Provider letters, press releases, or other communications containing warnings or other safety information about the product;</w:t>
            </w:r>
          </w:p>
        </w:tc>
      </w:tr>
    </w:tbl>
    <w:tbl>
      <w:tblPr>
        <w:tblW w:w="8050" w:type="dxa"/>
        <w:jc w:val="left"/>
        <w:tblInd w:w="0" w:type="dxa"/>
        <w:tblCellMar>
          <w:top w:w="0" w:type="dxa"/>
          <w:left w:w="0" w:type="dxa"/>
          <w:bottom w:w="0" w:type="dxa"/>
          <w:right w:w="0" w:type="dxa"/>
        </w:tblCellMar>
      </w:tblPr>
      <w:tblGrid>
        <w:gridCol w:w="60"/>
        <w:gridCol w:w="110"/>
        <w:gridCol w:w="788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88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refusal to approve pending applications or supplements to approved applications that we submit;</w:t>
            </w:r>
          </w:p>
        </w:tc>
      </w:tr>
    </w:tbl>
    <w:tbl>
      <w:tblPr>
        <w:tblW w:w="1735" w:type="dxa"/>
        <w:jc w:val="left"/>
        <w:tblInd w:w="0" w:type="dxa"/>
        <w:tblCellMar>
          <w:top w:w="0" w:type="dxa"/>
          <w:left w:w="0" w:type="dxa"/>
          <w:bottom w:w="0" w:type="dxa"/>
          <w:right w:w="0" w:type="dxa"/>
        </w:tblCellMar>
      </w:tblPr>
      <w:tblGrid>
        <w:gridCol w:w="60"/>
        <w:gridCol w:w="110"/>
        <w:gridCol w:w="15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5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recalls of products;</w:t>
            </w:r>
          </w:p>
        </w:tc>
      </w:tr>
    </w:tbl>
    <w:tbl>
      <w:tblPr>
        <w:tblW w:w="4690" w:type="dxa"/>
        <w:jc w:val="left"/>
        <w:tblInd w:w="0" w:type="dxa"/>
        <w:tblCellMar>
          <w:top w:w="0" w:type="dxa"/>
          <w:left w:w="0" w:type="dxa"/>
          <w:bottom w:w="0" w:type="dxa"/>
          <w:right w:w="0" w:type="dxa"/>
        </w:tblCellMar>
      </w:tblPr>
      <w:tblGrid>
        <w:gridCol w:w="60"/>
        <w:gridCol w:w="110"/>
        <w:gridCol w:w="45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5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fines, restitution or disgorgement of profits or revenues;</w:t>
            </w:r>
          </w:p>
        </w:tc>
      </w:tr>
    </w:tbl>
    <w:tbl>
      <w:tblPr>
        <w:tblW w:w="4225" w:type="dxa"/>
        <w:jc w:val="left"/>
        <w:tblInd w:w="0" w:type="dxa"/>
        <w:tblCellMar>
          <w:top w:w="0" w:type="dxa"/>
          <w:left w:w="0" w:type="dxa"/>
          <w:bottom w:w="0" w:type="dxa"/>
          <w:right w:w="0" w:type="dxa"/>
        </w:tblCellMar>
      </w:tblPr>
      <w:tblGrid>
        <w:gridCol w:w="60"/>
        <w:gridCol w:w="110"/>
        <w:gridCol w:w="40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0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suspension or withdrawal of marketing approvals;</w:t>
            </w:r>
          </w:p>
        </w:tc>
      </w:tr>
    </w:tbl>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34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refusal to permit the import or export of our products;</w:t>
            </w:r>
          </w:p>
        </w:tc>
      </w:tr>
    </w:tbl>
    <w:tbl>
      <w:tblPr>
        <w:tblW w:w="2530" w:type="dxa"/>
        <w:jc w:val="left"/>
        <w:tblInd w:w="0" w:type="dxa"/>
        <w:tblCellMar>
          <w:top w:w="0" w:type="dxa"/>
          <w:left w:w="0" w:type="dxa"/>
          <w:bottom w:w="0" w:type="dxa"/>
          <w:right w:w="0" w:type="dxa"/>
        </w:tblCellMar>
      </w:tblPr>
      <w:tblGrid>
        <w:gridCol w:w="60"/>
        <w:gridCol w:w="110"/>
        <w:gridCol w:w="23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36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product seizure or detention;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FDA debarment, suspension and debarment from government contracts, and refusal of orders under existing government contracts, exclusion from federal healthcare programs, consent decrees, or corporate integrity agreements; or</w:t>
            </w:r>
          </w:p>
        </w:tc>
      </w:tr>
    </w:tbl>
    <w:tbl>
      <w:tblPr>
        <w:tblW w:w="7000" w:type="dxa"/>
        <w:jc w:val="left"/>
        <w:tblInd w:w="0" w:type="dxa"/>
        <w:tblCellMar>
          <w:top w:w="0" w:type="dxa"/>
          <w:left w:w="0" w:type="dxa"/>
          <w:bottom w:w="0" w:type="dxa"/>
          <w:right w:w="0" w:type="dxa"/>
        </w:tblCellMar>
      </w:tblPr>
      <w:tblGrid>
        <w:gridCol w:w="60"/>
        <w:gridCol w:w="110"/>
        <w:gridCol w:w="68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8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injunctions or the imposition of civil or criminal penalties, including imprisonment.</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Should any of the above actions take place, they could adversely affect our ability to achieve or sustain profitability. Further, the cost of compliance with post-approval regulations may have a negative effect on our operating results and financial condition.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operations, including our use of hazardous materials, chemicals, bacteria, and viruses, require us to comply with regulatory requirements and expose us to significant potential liabilities.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w:t>
      </w:r>
    </w:p>
    <w:p>
      <w:pPr>
        <w:pStyle w:val="TextBody"/>
        <w:spacing w:before="24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Intellectual Property Risks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our intellectual proprietary rights, our business could be harmed.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obtain and maintain U.S. and foreign patents, that are meaningful to our products, including defending those patents against adverse claims; </w:t>
            </w:r>
          </w:p>
        </w:tc>
      </w:tr>
    </w:tbl>
    <w:tbl>
      <w:tblPr>
        <w:tblW w:w="6445" w:type="dxa"/>
        <w:jc w:val="left"/>
        <w:tblInd w:w="0" w:type="dxa"/>
        <w:tblCellMar>
          <w:top w:w="0" w:type="dxa"/>
          <w:left w:w="0" w:type="dxa"/>
          <w:bottom w:w="0" w:type="dxa"/>
          <w:right w:w="0" w:type="dxa"/>
        </w:tblCellMar>
      </w:tblPr>
      <w:tblGrid>
        <w:gridCol w:w="60"/>
        <w:gridCol w:w="110"/>
        <w:gridCol w:w="627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27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secure patent term extension for the patents covering our approved products; </w:t>
            </w:r>
          </w:p>
        </w:tc>
      </w:tr>
    </w:tbl>
    <w:tbl>
      <w:tblPr>
        <w:tblW w:w="1900" w:type="dxa"/>
        <w:jc w:val="left"/>
        <w:tblInd w:w="0" w:type="dxa"/>
        <w:tblCellMar>
          <w:top w:w="0" w:type="dxa"/>
          <w:left w:w="0" w:type="dxa"/>
          <w:bottom w:w="0" w:type="dxa"/>
          <w:right w:w="0" w:type="dxa"/>
        </w:tblCellMar>
      </w:tblPr>
      <w:tblGrid>
        <w:gridCol w:w="60"/>
        <w:gridCol w:w="110"/>
        <w:gridCol w:w="17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7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protect trade secrets; </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12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operate without infringing the proprietary rights of others; and,</w:t>
            </w:r>
          </w:p>
        </w:tc>
      </w:tr>
    </w:tbl>
    <w:tbl>
      <w:tblPr>
        <w:tblW w:w="4495" w:type="dxa"/>
        <w:jc w:val="left"/>
        <w:tblInd w:w="0" w:type="dxa"/>
        <w:tblCellMar>
          <w:top w:w="0" w:type="dxa"/>
          <w:left w:w="0" w:type="dxa"/>
          <w:bottom w:w="0" w:type="dxa"/>
          <w:right w:w="0" w:type="dxa"/>
        </w:tblCellMar>
      </w:tblPr>
      <w:tblGrid>
        <w:gridCol w:w="60"/>
        <w:gridCol w:w="110"/>
        <w:gridCol w:w="432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32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prevent others from infringing our proprietary rights.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Third parties may choose to file patent infringement claims against us.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Aptevo trademarks may be opposed which could have a material and adverse effect on our business.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that our employees have wrongfully used or disclosed alleged trade secrets of their former employers.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Failure to comply with our obligations in our intellectual property licenses with third parties, could result in loss of license rights or other damages.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proprietary information and know-how, the value of our technology and product candidates could be adversely affected.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 </w:t>
      </w:r>
    </w:p>
    <w:p>
      <w:pPr>
        <w:pStyle w:val="TextBody"/>
        <w:spacing w:before="24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Risk Related to Collaborations and Other Agreements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be successful in establishing and maintaining collaborations that leverage our capabilities in pursuit of developing and commercializing our product candidates.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risks that we are subject to in any of our collaborations include, among others: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collaborative partners may not commit adequate resources to the development, marketing and distribution of any collaboration products, limiting our potential revenues from these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collaborative partners may experience financial difficulties and may therefore be unable to meet their commitments to 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our collaborative partners may pursue a competing product candidate developed either independently or in collaboration with others, including our competitors; and,</w:t>
            </w:r>
          </w:p>
        </w:tc>
      </w:tr>
    </w:tbl>
    <w:tbl>
      <w:tblPr>
        <w:tblW w:w="4900" w:type="dxa"/>
        <w:jc w:val="left"/>
        <w:tblInd w:w="0" w:type="dxa"/>
        <w:tblCellMar>
          <w:top w:w="0" w:type="dxa"/>
          <w:left w:w="0" w:type="dxa"/>
          <w:bottom w:w="0" w:type="dxa"/>
          <w:right w:w="0" w:type="dxa"/>
        </w:tblCellMar>
      </w:tblPr>
      <w:tblGrid>
        <w:gridCol w:w="60"/>
        <w:gridCol w:w="110"/>
        <w:gridCol w:w="47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73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our collaborative partners may terminate our relationship.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COVID-19, we may experience delays in opportunities to develop our product candidates, due to financial and other impacts on potential partners.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 </w:t>
      </w:r>
    </w:p>
    <w:p>
      <w:pPr>
        <w:pStyle w:val="TextBody"/>
        <w:spacing w:before="240" w:after="0"/>
        <w:jc w:val="both"/>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Risks Related to Our Common Stock and General Risks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Our stock price may be volatile.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stock price has fluctuated in the past and is likely to be volatile in the future. Since August 1, 2016, the reported closing price of our common stock has fluctuated between $3.29 and $112 per share (as adjusted to reflect our </w:t>
      </w:r>
      <w:r>
        <w:rPr>
          <w:rFonts w:ascii="Times New Roman" w:hAnsi="Times New Roman"/>
          <w:b w:val="false"/>
          <w:i w:val="false"/>
          <w:caps w:val="false"/>
          <w:smallCaps w:val="false"/>
          <w:color w:val="000000"/>
          <w:sz w:val="20"/>
        </w:rPr>
        <w:t>1-for-14 reverse stock split of our outstanding common stock that was effective on March 26, 2020)</w:t>
      </w:r>
      <w:r>
        <w:rPr>
          <w:rFonts w:ascii="Times New Roman" w:hAnsi="Times New Roman"/>
          <w:b w:val="false"/>
          <w:i w:val="false"/>
          <w:caps w:val="false"/>
          <w:smallCaps w:val="false"/>
          <w:sz w:val="20"/>
        </w:rPr>
        <w:t xml:space="preserv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 </w:t>
      </w:r>
    </w:p>
    <w:tbl>
      <w:tblPr>
        <w:tblW w:w="8860" w:type="dxa"/>
        <w:jc w:val="left"/>
        <w:tblInd w:w="0" w:type="dxa"/>
        <w:tblCellMar>
          <w:top w:w="0" w:type="dxa"/>
          <w:left w:w="0" w:type="dxa"/>
          <w:bottom w:w="0" w:type="dxa"/>
          <w:right w:w="0" w:type="dxa"/>
        </w:tblCellMar>
      </w:tblPr>
      <w:tblGrid>
        <w:gridCol w:w="60"/>
        <w:gridCol w:w="110"/>
        <w:gridCol w:w="86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69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changes in earnings estimated by securities analysts or management, or our ability to meet those estimates;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investor perceptions or negative announcements by our competitors, suppliers, or partners regarding their own performance; </w:t>
            </w:r>
          </w:p>
        </w:tc>
      </w:tr>
    </w:tbl>
    <w:tbl>
      <w:tblPr>
        <w:tblW w:w="4480" w:type="dxa"/>
        <w:jc w:val="left"/>
        <w:tblInd w:w="0" w:type="dxa"/>
        <w:tblCellMar>
          <w:top w:w="0" w:type="dxa"/>
          <w:left w:w="0" w:type="dxa"/>
          <w:bottom w:w="0" w:type="dxa"/>
          <w:right w:w="0" w:type="dxa"/>
        </w:tblCellMar>
      </w:tblPr>
      <w:tblGrid>
        <w:gridCol w:w="60"/>
        <w:gridCol w:w="110"/>
        <w:gridCol w:w="43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31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success of competitive products or technologies; </w:t>
            </w:r>
          </w:p>
        </w:tc>
      </w:tr>
    </w:tbl>
    <w:tbl>
      <w:tblPr>
        <w:tblW w:w="7735" w:type="dxa"/>
        <w:jc w:val="left"/>
        <w:tblInd w:w="0" w:type="dxa"/>
        <w:tblCellMar>
          <w:top w:w="0" w:type="dxa"/>
          <w:left w:w="0" w:type="dxa"/>
          <w:bottom w:w="0" w:type="dxa"/>
          <w:right w:w="0" w:type="dxa"/>
        </w:tblCellMar>
      </w:tblPr>
      <w:tblGrid>
        <w:gridCol w:w="60"/>
        <w:gridCol w:w="110"/>
        <w:gridCol w:w="75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75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timing, expenses, and results of clinical and non-clinical trials of our product candidates; </w:t>
            </w:r>
          </w:p>
        </w:tc>
      </w:tr>
    </w:tbl>
    <w:tbl>
      <w:tblPr>
        <w:tblW w:w="8170" w:type="dxa"/>
        <w:jc w:val="left"/>
        <w:tblInd w:w="0" w:type="dxa"/>
        <w:tblCellMar>
          <w:top w:w="0" w:type="dxa"/>
          <w:left w:w="0" w:type="dxa"/>
          <w:bottom w:w="0" w:type="dxa"/>
          <w:right w:w="0" w:type="dxa"/>
        </w:tblCellMar>
      </w:tblPr>
      <w:tblGrid>
        <w:gridCol w:w="60"/>
        <w:gridCol w:w="110"/>
        <w:gridCol w:w="80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0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announcements regarding clinical trial results and product introductions by us or our competitors; </w:t>
            </w:r>
          </w:p>
        </w:tc>
      </w:tr>
    </w:tbl>
    <w:tbl>
      <w:tblPr>
        <w:tblW w:w="8725" w:type="dxa"/>
        <w:jc w:val="left"/>
        <w:tblInd w:w="0" w:type="dxa"/>
        <w:tblCellMar>
          <w:top w:w="0" w:type="dxa"/>
          <w:left w:w="0" w:type="dxa"/>
          <w:bottom w:w="0" w:type="dxa"/>
          <w:right w:w="0" w:type="dxa"/>
        </w:tblCellMar>
      </w:tblPr>
      <w:tblGrid>
        <w:gridCol w:w="60"/>
        <w:gridCol w:w="110"/>
        <w:gridCol w:w="85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5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announcements of acquisitions, collaborations, financings or other transactions by us or our competitors; </w:t>
            </w:r>
          </w:p>
        </w:tc>
      </w:tr>
    </w:tbl>
    <w:tbl>
      <w:tblPr>
        <w:tblW w:w="4870" w:type="dxa"/>
        <w:jc w:val="left"/>
        <w:tblInd w:w="0" w:type="dxa"/>
        <w:tblCellMar>
          <w:top w:w="0" w:type="dxa"/>
          <w:left w:w="0" w:type="dxa"/>
          <w:bottom w:w="0" w:type="dxa"/>
          <w:right w:w="0" w:type="dxa"/>
        </w:tblCellMar>
      </w:tblPr>
      <w:tblGrid>
        <w:gridCol w:w="60"/>
        <w:gridCol w:w="110"/>
        <w:gridCol w:w="47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70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public concern as to the safety of our product candidates; </w:t>
            </w:r>
          </w:p>
        </w:tc>
      </w:tr>
    </w:tbl>
    <w:tbl>
      <w:tblPr>
        <w:tblW w:w="4120" w:type="dxa"/>
        <w:jc w:val="left"/>
        <w:tblInd w:w="0" w:type="dxa"/>
        <w:tblCellMar>
          <w:top w:w="0" w:type="dxa"/>
          <w:left w:w="0" w:type="dxa"/>
          <w:bottom w:w="0" w:type="dxa"/>
          <w:right w:w="0" w:type="dxa"/>
        </w:tblCellMar>
      </w:tblPr>
      <w:tblGrid>
        <w:gridCol w:w="60"/>
        <w:gridCol w:w="110"/>
        <w:gridCol w:w="39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95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termination or delay of a development program; </w:t>
            </w:r>
          </w:p>
        </w:tc>
      </w:tr>
    </w:tbl>
    <w:tbl>
      <w:tblPr>
        <w:tblW w:w="3940" w:type="dxa"/>
        <w:jc w:val="left"/>
        <w:tblInd w:w="0" w:type="dxa"/>
        <w:tblCellMar>
          <w:top w:w="0" w:type="dxa"/>
          <w:left w:w="0" w:type="dxa"/>
          <w:bottom w:w="0" w:type="dxa"/>
          <w:right w:w="0" w:type="dxa"/>
        </w:tblCellMar>
      </w:tblPr>
      <w:tblGrid>
        <w:gridCol w:w="60"/>
        <w:gridCol w:w="110"/>
        <w:gridCol w:w="377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77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recruitment or departure of key personnel; </w:t>
            </w:r>
          </w:p>
        </w:tc>
      </w:tr>
    </w:tbl>
    <w:tbl>
      <w:tblPr>
        <w:tblW w:w="4225" w:type="dxa"/>
        <w:jc w:val="left"/>
        <w:tblInd w:w="0" w:type="dxa"/>
        <w:tblCellMar>
          <w:top w:w="0" w:type="dxa"/>
          <w:left w:w="0" w:type="dxa"/>
          <w:bottom w:w="0" w:type="dxa"/>
          <w:right w:w="0" w:type="dxa"/>
        </w:tblCellMar>
      </w:tblPr>
      <w:tblGrid>
        <w:gridCol w:w="60"/>
        <w:gridCol w:w="110"/>
        <w:gridCol w:w="40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0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estimated or actual sales of IXINITY by Medexus;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tbl>
      <w:tblPr>
        <w:tblW w:w="8755" w:type="dxa"/>
        <w:jc w:val="left"/>
        <w:tblInd w:w="0" w:type="dxa"/>
        <w:tblCellMar>
          <w:top w:w="0" w:type="dxa"/>
          <w:left w:w="0" w:type="dxa"/>
          <w:bottom w:w="0" w:type="dxa"/>
          <w:right w:w="0" w:type="dxa"/>
        </w:tblCellMar>
      </w:tblPr>
      <w:tblGrid>
        <w:gridCol w:w="60"/>
        <w:gridCol w:w="110"/>
        <w:gridCol w:w="858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58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whether and to what extent future proceeds are received under our royalty purchase agreement with HCR; </w:t>
            </w:r>
          </w:p>
        </w:tc>
      </w:tr>
    </w:tbl>
    <w:tbl>
      <w:tblPr>
        <w:tblW w:w="6115" w:type="dxa"/>
        <w:jc w:val="left"/>
        <w:tblInd w:w="0" w:type="dxa"/>
        <w:tblCellMar>
          <w:top w:w="0" w:type="dxa"/>
          <w:left w:w="0" w:type="dxa"/>
          <w:bottom w:w="0" w:type="dxa"/>
          <w:right w:w="0" w:type="dxa"/>
        </w:tblCellMar>
      </w:tblPr>
      <w:tblGrid>
        <w:gridCol w:w="60"/>
        <w:gridCol w:w="110"/>
        <w:gridCol w:w="59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9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actual or anticipated variations in our cash flows or results of operations; </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64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operating and stock price performance of comparable companies; </w:t>
            </w:r>
          </w:p>
        </w:tc>
      </w:tr>
    </w:tbl>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9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impact of COVID-19 or similar global health challenges; </w:t>
            </w:r>
          </w:p>
        </w:tc>
      </w:tr>
    </w:tbl>
    <w:tbl>
      <w:tblPr>
        <w:tblW w:w="8935" w:type="dxa"/>
        <w:jc w:val="left"/>
        <w:tblInd w:w="0" w:type="dxa"/>
        <w:tblCellMar>
          <w:top w:w="0" w:type="dxa"/>
          <w:left w:w="0" w:type="dxa"/>
          <w:bottom w:w="0" w:type="dxa"/>
          <w:right w:w="0" w:type="dxa"/>
        </w:tblCellMar>
      </w:tblPr>
      <w:tblGrid>
        <w:gridCol w:w="60"/>
        <w:gridCol w:w="110"/>
        <w:gridCol w:w="876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876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general industry conditions and domestic and global financial, economic, and geo-political instability; and,</w:t>
            </w:r>
          </w:p>
        </w:tc>
      </w:tr>
    </w:tbl>
    <w:tbl>
      <w:tblPr>
        <w:tblW w:w="4825" w:type="dxa"/>
        <w:jc w:val="left"/>
        <w:tblInd w:w="0" w:type="dxa"/>
        <w:tblCellMar>
          <w:top w:w="0" w:type="dxa"/>
          <w:left w:w="0" w:type="dxa"/>
          <w:bottom w:w="0" w:type="dxa"/>
          <w:right w:w="0" w:type="dxa"/>
        </w:tblCellMar>
      </w:tblPr>
      <w:tblGrid>
        <w:gridCol w:w="60"/>
        <w:gridCol w:w="110"/>
        <w:gridCol w:w="46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655"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other factors described in this “Risk Factors” section.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 </w:t>
      </w:r>
    </w:p>
    <w:p>
      <w:pPr>
        <w:pStyle w:val="TextBody"/>
        <w:shd w:fill="FFFFFF" w:val="clear"/>
        <w:spacing w:before="24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 the event that coverage under our directors’ and officers’ liability insurance is reduced or terminated as a result of the Tang Ownership Change or otherwise, our indemnification obligations and limitations of our directors’ and officers’ liability insurance may have a material adverse effect on our financial condition, results of operations and cash flows.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pStyle w:val="TextBody"/>
        <w:shd w:fill="FFFFFF" w:val="clear"/>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do not maintain effective internal controls, we may not be able to accurately report our financial results and our business could be harmed.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The public announcement of data from clinical trials or news of any developments related to our product pipeline may cause significant volatility in our stock price.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Our common stock may be at risk for delisting from the Nasdaq Capital Market in the future. Delisting could adversely affect the liquidity of our common stock and the market price of our common stock could decrease.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common stock is currently listed on the Nasdaq Capital Market. The Nasdaq Stock Market LLC has minimum requirements that a company must meet in order to remain listed on Nasdaq, including corporate governance standards and a requirement that we maintain a minimum closing bid price of $1.00 per share.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tbl>
      <w:tblPr>
        <w:tblW w:w="6325" w:type="dxa"/>
        <w:jc w:val="left"/>
        <w:tblInd w:w="0" w:type="dxa"/>
        <w:tblCellMar>
          <w:top w:w="0" w:type="dxa"/>
          <w:left w:w="0" w:type="dxa"/>
          <w:bottom w:w="0" w:type="dxa"/>
          <w:right w:w="0" w:type="dxa"/>
        </w:tblCellMar>
      </w:tblPr>
      <w:tblGrid>
        <w:gridCol w:w="60"/>
        <w:gridCol w:w="110"/>
        <w:gridCol w:w="615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15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make a special written suitability determination for the purchaser;</w:t>
            </w:r>
          </w:p>
        </w:tc>
      </w:tr>
    </w:tbl>
    <w:tbl>
      <w:tblPr>
        <w:tblW w:w="7000" w:type="dxa"/>
        <w:jc w:val="left"/>
        <w:tblInd w:w="0" w:type="dxa"/>
        <w:tblCellMar>
          <w:top w:w="0" w:type="dxa"/>
          <w:left w:w="0" w:type="dxa"/>
          <w:bottom w:w="0" w:type="dxa"/>
          <w:right w:w="0" w:type="dxa"/>
        </w:tblCellMar>
      </w:tblPr>
      <w:tblGrid>
        <w:gridCol w:w="60"/>
        <w:gridCol w:w="110"/>
        <w:gridCol w:w="68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683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receive the purchaser’s written agreement to the transaction prior to sale;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provide the purchaser with risk disclosure documents which identify certain risks associated with investing in “penny stocks” and which describe the market for these “penny stocks” as well as a purchaser’s legal remedies;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obtain a signed and dated acknowledgment from the purchaser demonstrating that the purchaser has actually received the required risk disclosure document before a transaction in a “penny stock” can be completed.</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these requirements, the market price of our securities may be adversely impacted, and current stockholders may find it more difficult to sell our securities.</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Your percentage of ownership in Aptevo may be diluted in the future.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future, your percentage ownership in Aptevo may be diluted because of equity issuances for acquisitions, capital market transactions or otherwise, including, but not limited to, equity issuances under our existing equity sales agreement with Lincoln Park Financial LLC,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Provisions under Delaware law and in our restated certificate of incorporation, amended and restated by-laws and rights agreement may discourage acquisition proposals, delay a change in control or prevent transactions that stockholders may consider favorable.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provisions include: </w:t>
      </w:r>
    </w:p>
    <w:tbl>
      <w:tblPr>
        <w:tblW w:w="2950" w:type="dxa"/>
        <w:jc w:val="left"/>
        <w:tblInd w:w="0" w:type="dxa"/>
        <w:tblCellMar>
          <w:top w:w="0" w:type="dxa"/>
          <w:left w:w="0" w:type="dxa"/>
          <w:bottom w:w="0" w:type="dxa"/>
          <w:right w:w="0" w:type="dxa"/>
        </w:tblCellMar>
      </w:tblPr>
      <w:tblGrid>
        <w:gridCol w:w="60"/>
        <w:gridCol w:w="110"/>
        <w:gridCol w:w="278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2780" w:type="dxa"/>
            <w:tcBorders/>
            <w:shd w:fill="auto" w:val="clear"/>
          </w:tcPr>
          <w:p>
            <w:pPr>
              <w:pStyle w:val="TableContents"/>
              <w:spacing w:before="120" w:after="0"/>
              <w:jc w:val="both"/>
              <w:rPr>
                <w:b w:val="false"/>
                <w:i w:val="false"/>
                <w:caps w:val="false"/>
                <w:smallCaps w:val="false"/>
                <w:color w:val="000000"/>
                <w:sz w:val="20"/>
              </w:rPr>
            </w:pPr>
            <w:r>
              <w:rPr>
                <w:b w:val="false"/>
                <w:i w:val="false"/>
                <w:caps w:val="false"/>
                <w:smallCaps w:val="false"/>
                <w:color w:val="000000"/>
                <w:sz w:val="20"/>
              </w:rPr>
              <w:t xml:space="preserve">the classification of our directors; </w:t>
            </w:r>
          </w:p>
        </w:tc>
      </w:tr>
    </w:tbl>
    <w:tbl>
      <w:tblPr>
        <w:tblW w:w="3880" w:type="dxa"/>
        <w:jc w:val="left"/>
        <w:tblInd w:w="0" w:type="dxa"/>
        <w:tblCellMar>
          <w:top w:w="0" w:type="dxa"/>
          <w:left w:w="0" w:type="dxa"/>
          <w:bottom w:w="0" w:type="dxa"/>
          <w:right w:w="0" w:type="dxa"/>
        </w:tblCellMar>
      </w:tblPr>
      <w:tblGrid>
        <w:gridCol w:w="60"/>
        <w:gridCol w:w="110"/>
        <w:gridCol w:w="371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371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limitations on the removal of directors; </w:t>
            </w:r>
          </w:p>
        </w:tc>
      </w:tr>
    </w:tbl>
    <w:tbl>
      <w:tblPr>
        <w:tblW w:w="4420" w:type="dxa"/>
        <w:jc w:val="left"/>
        <w:tblInd w:w="0" w:type="dxa"/>
        <w:tblCellMar>
          <w:top w:w="0" w:type="dxa"/>
          <w:left w:w="0" w:type="dxa"/>
          <w:bottom w:w="0" w:type="dxa"/>
          <w:right w:w="0" w:type="dxa"/>
        </w:tblCellMar>
      </w:tblPr>
      <w:tblGrid>
        <w:gridCol w:w="60"/>
        <w:gridCol w:w="110"/>
        <w:gridCol w:w="425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425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limitations on filling vacancies on the board;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advance notice requirements for stockholder nominations of candidates for election to the Board of Directors and other proposals; </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12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the inability of stockholders to act by written consent; </w:t>
            </w:r>
          </w:p>
        </w:tc>
      </w:tr>
    </w:tbl>
    <w:tbl>
      <w:tblPr>
        <w:tblW w:w="5560" w:type="dxa"/>
        <w:jc w:val="left"/>
        <w:tblInd w:w="0" w:type="dxa"/>
        <w:tblCellMar>
          <w:top w:w="0" w:type="dxa"/>
          <w:left w:w="0" w:type="dxa"/>
          <w:bottom w:w="0" w:type="dxa"/>
          <w:right w:w="0" w:type="dxa"/>
        </w:tblCellMar>
      </w:tblPr>
      <w:tblGrid>
        <w:gridCol w:w="60"/>
        <w:gridCol w:w="110"/>
        <w:gridCol w:w="53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539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inability of stockholders to call special meetings;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1003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the ability of our Board of Directors to designate the terms of and issue a new series of preferred stock without stockholder approval.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Moreover, we currently have a short-term stockholder rights agreement in effect.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pStyle w:val="TextBody"/>
        <w:spacing w:before="24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bylaws include a forum selection clause, which may impact your ability to bring actions against us.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periodic litigation, which could result in losses or unexpected expenditure of time and resources.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Our failure to comply with data protection laws and regulations could lead to government enforcement actions and significant penalties against us, and adversely impact our operating results.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If we experience a significant disruption in our information technology systems or breaches of data security, including due to a cyber-security incident, our business could be adversely affected.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COVID-19 pandemic also poses an increased security risk, due to the remote working environment.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breach of our information technology systems occurs, we may incur additional costs related to rebuilding our internal systems,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A significant portion of our shares may be sold into the market at any time which could depress our stock price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pStyle w:val="TextBody"/>
        <w:spacing w:before="240" w:after="0"/>
        <w:jc w:val="both"/>
        <w:rPr>
          <w:rFonts w:ascii="Times New Roman" w:hAnsi="Times New Roman"/>
          <w:b/>
          <w:i w:val="false"/>
          <w:caps w:val="false"/>
          <w:smallCaps w:val="false"/>
          <w:sz w:val="20"/>
        </w:rPr>
      </w:pPr>
      <w:bookmarkStart w:id="16" w:name="ITEM_2_UNREGISTERED_SALES_EQUITY_SECURIT"/>
      <w:bookmarkEnd w:id="16"/>
      <w:r>
        <w:rPr>
          <w:rFonts w:ascii="Times New Roman" w:hAnsi="Times New Roman"/>
          <w:b/>
          <w:i w:val="false"/>
          <w:caps w:val="false"/>
          <w:smallCaps w:val="false"/>
          <w:sz w:val="20"/>
        </w:rPr>
        <w:t>Item 2. Unregistered Sales of Equity Securities and Use of Proceeds.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both"/>
        <w:rPr>
          <w:rFonts w:ascii="Times New Roman" w:hAnsi="Times New Roman"/>
          <w:b/>
          <w:i w:val="false"/>
          <w:caps w:val="false"/>
          <w:smallCaps w:val="false"/>
          <w:sz w:val="20"/>
        </w:rPr>
      </w:pPr>
      <w:bookmarkStart w:id="17" w:name="ITEM_3_DEFAULTS_UPON_SENIOR_SECURITIES"/>
      <w:bookmarkEnd w:id="17"/>
      <w:r>
        <w:rPr>
          <w:rFonts w:ascii="Times New Roman" w:hAnsi="Times New Roman"/>
          <w:b/>
          <w:i w:val="false"/>
          <w:caps w:val="false"/>
          <w:smallCaps w:val="false"/>
          <w:sz w:val="20"/>
        </w:rPr>
        <w:t>Item 3. Defaults Upon Senior Securities.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both"/>
        <w:rPr>
          <w:rFonts w:ascii="Times New Roman" w:hAnsi="Times New Roman"/>
          <w:b/>
          <w:i w:val="false"/>
          <w:caps w:val="false"/>
          <w:smallCaps w:val="false"/>
          <w:sz w:val="20"/>
        </w:rPr>
      </w:pPr>
      <w:bookmarkStart w:id="18" w:name="ITEM_4_MINE_SAFETY_DISCLOSURES"/>
      <w:bookmarkEnd w:id="18"/>
      <w:r>
        <w:rPr>
          <w:rFonts w:ascii="Times New Roman" w:hAnsi="Times New Roman"/>
          <w:b/>
          <w:i w:val="false"/>
          <w:caps w:val="false"/>
          <w:smallCaps w:val="false"/>
          <w:sz w:val="20"/>
        </w:rPr>
        <w:t>Item 4. Mine Safety Disclosures.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both"/>
        <w:rPr>
          <w:rFonts w:ascii="Times New Roman" w:hAnsi="Times New Roman"/>
          <w:b/>
          <w:i w:val="false"/>
          <w:caps w:val="false"/>
          <w:smallCaps w:val="false"/>
          <w:sz w:val="20"/>
        </w:rPr>
      </w:pPr>
      <w:bookmarkStart w:id="19" w:name="ITEM_5_OR_INFORMATION"/>
      <w:bookmarkEnd w:id="19"/>
      <w:r>
        <w:rPr>
          <w:rFonts w:ascii="Times New Roman" w:hAnsi="Times New Roman"/>
          <w:b/>
          <w:i w:val="false"/>
          <w:caps w:val="false"/>
          <w:smallCaps w:val="false"/>
          <w:sz w:val="20"/>
        </w:rPr>
        <w:t>Item 5. Other Information.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jc w:val="both"/>
        <w:rPr>
          <w:rFonts w:ascii="Times New Roman" w:hAnsi="Times New Roman"/>
          <w:b/>
          <w:i w:val="false"/>
          <w:caps w:val="false"/>
          <w:smallCaps w:val="false"/>
          <w:sz w:val="20"/>
        </w:rPr>
      </w:pPr>
      <w:bookmarkStart w:id="20" w:name="Item_6_EXHIBITS"/>
      <w:bookmarkEnd w:id="20"/>
      <w:r>
        <w:rPr>
          <w:rFonts w:ascii="Times New Roman" w:hAnsi="Times New Roman"/>
          <w:b/>
          <w:i w:val="false"/>
          <w:caps w:val="false"/>
          <w:smallCaps w:val="false"/>
          <w:sz w:val="20"/>
        </w:rPr>
        <w:t>Item 6. Exhibits</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Exhibit Index</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50"/>
        <w:gridCol w:w="60"/>
        <w:gridCol w:w="9395"/>
      </w:tblGrid>
      <w:tr>
        <w:trPr/>
        <w:tc>
          <w:tcPr>
            <w:tcW w:w="75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Description</w:t>
            </w:r>
          </w:p>
        </w:tc>
      </w:tr>
      <w:tr>
        <w:trPr/>
        <w:tc>
          <w:tcPr>
            <w:tcW w:w="75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r>
              <w:rPr/>
              <w:t> </w:t>
            </w:r>
          </w:p>
        </w:tc>
      </w:tr>
      <w:tr>
        <w:trPr/>
        <w:tc>
          <w:tcPr>
            <w:tcW w:w="750"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31.1*</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hyperlink w:anchor="apvo-ex311_8.htm">
              <w:r>
                <w:rPr>
                  <w:rStyle w:val="InternetLink"/>
                  <w:rFonts w:ascii="Times New Roman" w:hAnsi="Times New Roman"/>
                  <w:b w:val="false"/>
                  <w:i w:val="false"/>
                  <w:caps w:val="false"/>
                  <w:smallCaps w:val="false"/>
                  <w:sz w:val="20"/>
                  <w:u w:val="single"/>
                </w:rPr>
                <w:t>Certification of Principal Executive Officer Pursuant to Rules 13a-14(a) and 15d-14(a) under the Securities Exchange Act of 1934, as Adopted Pursuant to Section 302 of the Sarbanes Oxley Act of 2002.</w:t>
              </w:r>
            </w:hyperlink>
          </w:p>
        </w:tc>
      </w:tr>
      <w:tr>
        <w:trPr/>
        <w:tc>
          <w:tcPr>
            <w:tcW w:w="75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r>
              <w:rPr/>
              <w:t> </w:t>
            </w:r>
          </w:p>
        </w:tc>
      </w:tr>
      <w:tr>
        <w:trPr/>
        <w:tc>
          <w:tcPr>
            <w:tcW w:w="750"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31.2*</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hyperlink w:anchor="apvo-ex312_6.htm">
              <w:r>
                <w:rPr>
                  <w:rStyle w:val="InternetLink"/>
                  <w:rFonts w:ascii="Times New Roman" w:hAnsi="Times New Roman"/>
                  <w:b w:val="false"/>
                  <w:i w:val="false"/>
                  <w:caps w:val="false"/>
                  <w:smallCaps w:val="false"/>
                  <w:sz w:val="20"/>
                  <w:u w:val="single"/>
                </w:rPr>
                <w:t>Certification of Principal Financial Officer Pursuant to Rules 13a-14(a) and 15d-14(a) under the Securities Exchange Act of 1934, as Adopted Pursuant to Section 302 of the Sarbanes Oxley Act of 2002.</w:t>
              </w:r>
            </w:hyperlink>
          </w:p>
        </w:tc>
      </w:tr>
      <w:tr>
        <w:trPr/>
        <w:tc>
          <w:tcPr>
            <w:tcW w:w="75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r>
              <w:rPr/>
              <w:t> </w:t>
            </w:r>
          </w:p>
        </w:tc>
      </w:tr>
      <w:tr>
        <w:trPr/>
        <w:tc>
          <w:tcPr>
            <w:tcW w:w="750"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32.1*</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hyperlink w:anchor="apvo-ex321_11.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r>
      <w:tr>
        <w:trPr/>
        <w:tc>
          <w:tcPr>
            <w:tcW w:w="75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r>
              <w:rPr/>
              <w:t> </w:t>
            </w:r>
          </w:p>
        </w:tc>
      </w:tr>
      <w:tr>
        <w:trPr/>
        <w:tc>
          <w:tcPr>
            <w:tcW w:w="750"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32.2*</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hyperlink w:anchor="apvo-ex322_10.htm">
              <w:r>
                <w:rPr>
                  <w:rStyle w:val="InternetLink"/>
                  <w:rFonts w:ascii="Times New Roman" w:hAnsi="Times New Roman"/>
                  <w:b w:val="false"/>
                  <w:i w:val="false"/>
                  <w:caps w:val="false"/>
                  <w:smallCaps w:val="false"/>
                  <w:sz w:val="20"/>
                  <w:u w:val="single"/>
                </w:rPr>
                <w:t>Certification of Principal Financial Officer Pursuant to 18 U.S.C. Section 1350, as Adopted Pursuant to Section 906 of the Sarbanes-Oxley Act of 2002.</w:t>
              </w:r>
            </w:hyperlink>
          </w:p>
        </w:tc>
      </w:tr>
      <w:tr>
        <w:trPr/>
        <w:tc>
          <w:tcPr>
            <w:tcW w:w="75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pPr>
            <w:r>
              <w:rPr/>
              <w:t> </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101.INS*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Instance Document</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101.SCH*</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Schema Document</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101.CAL*</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Calculation Linkbase Document</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101.DEF*</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Definition Linkbase Document</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101.LAB*</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Label Linkbase Document</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101.PRE*</w:t>
            </w:r>
          </w:p>
        </w:tc>
        <w:tc>
          <w:tcPr>
            <w:tcW w:w="60" w:type="dxa"/>
            <w:tcBorders/>
            <w:shd w:fill="FFFFFF" w:val="clear"/>
            <w:tcMar>
              <w:bottom w:w="0" w:type="dxa"/>
            </w:tcMar>
          </w:tcPr>
          <w:p>
            <w:pPr>
              <w:pStyle w:val="TableContents"/>
              <w:spacing w:before="0" w:after="0"/>
              <w:ind w:left="0" w:right="0" w:hanging="0"/>
              <w:rPr/>
            </w:pPr>
            <w:r>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Taxonomy Extension Presentation Linkbase Document</w:t>
            </w:r>
          </w:p>
        </w:tc>
      </w:tr>
      <w:tr>
        <w:trPr/>
        <w:tc>
          <w:tcPr>
            <w:tcW w:w="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104*</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9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Cover Page Interactive Data File (embedded within the Inline XBRL document)</w:t>
            </w:r>
          </w:p>
        </w:tc>
      </w:tr>
    </w:tbl>
    <w:p>
      <w:pPr>
        <w:pStyle w:val="TextBody"/>
        <w:pBdr>
          <w:bottom w:val="single" w:sz="8" w:space="1" w:color="000000"/>
        </w:pBdr>
        <w:spacing w:before="0" w:after="0"/>
        <w:rPr/>
      </w:pPr>
      <w:r>
        <w:rPr/>
        <w:t> </w:t>
      </w:r>
    </w:p>
    <w:tbl>
      <w:tblPr>
        <w:tblW w:w="1360" w:type="dxa"/>
        <w:jc w:val="left"/>
        <w:tblInd w:w="0" w:type="dxa"/>
        <w:tblCellMar>
          <w:top w:w="0" w:type="dxa"/>
          <w:left w:w="0" w:type="dxa"/>
          <w:bottom w:w="0" w:type="dxa"/>
          <w:right w:w="0" w:type="dxa"/>
        </w:tblCellMar>
      </w:tblPr>
      <w:tblGrid>
        <w:gridCol w:w="125"/>
        <w:gridCol w:w="1235"/>
      </w:tblGrid>
      <w:tr>
        <w:trPr/>
        <w:tc>
          <w:tcPr>
            <w:tcW w:w="125"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235"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Filed herewith.</w:t>
            </w:r>
          </w:p>
        </w:tc>
      </w:tr>
    </w:tbl>
    <w:p>
      <w:pPr>
        <w:pStyle w:val="TextBody"/>
        <w:spacing w:before="0" w:after="0"/>
        <w:jc w:val="both"/>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1" w:name="SIGNATURES"/>
      <w:bookmarkEnd w:id="21"/>
      <w:r>
        <w:rPr>
          <w:rFonts w:ascii="Times New Roman" w:hAnsi="Times New Roman"/>
          <w:b/>
          <w:i w:val="false"/>
          <w:caps w:val="false"/>
          <w:smallCaps w:val="false"/>
          <w:sz w:val="20"/>
        </w:rPr>
        <w:t>SIGNATURES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6255" w:type="dxa"/>
        <w:jc w:val="left"/>
        <w:tblInd w:w="0" w:type="dxa"/>
        <w:tblCellMar>
          <w:top w:w="0" w:type="dxa"/>
          <w:left w:w="0" w:type="dxa"/>
          <w:bottom w:w="0" w:type="dxa"/>
          <w:right w:w="0" w:type="dxa"/>
        </w:tblCellMar>
      </w:tblPr>
      <w:tblGrid>
        <w:gridCol w:w="1850"/>
        <w:gridCol w:w="60"/>
        <w:gridCol w:w="320"/>
        <w:gridCol w:w="60"/>
        <w:gridCol w:w="3965"/>
      </w:tblGrid>
      <w:tr>
        <w:trPr/>
        <w:tc>
          <w:tcPr>
            <w:tcW w:w="1850" w:type="dxa"/>
            <w:tcBorders/>
            <w:shd w:fill="FFFFFF" w:val="clea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5" w:type="dxa"/>
            <w:gridSpan w:val="3"/>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APTEVO THERAPEUTICS INC.</w:t>
            </w:r>
          </w:p>
        </w:tc>
      </w:tr>
      <w:tr>
        <w:trPr/>
        <w:tc>
          <w:tcPr>
            <w:tcW w:w="185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pPr>
            <w:r>
              <w:rPr/>
              <w:t> </w:t>
            </w:r>
          </w:p>
        </w:tc>
        <w:tc>
          <w:tcPr>
            <w:tcW w:w="39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bottom w:val="single" w:sz="6" w:space="0" w:color="000000"/>
            </w:tcBorders>
            <w:shd w:fill="FFFFFF" w:val="clear"/>
            <w:tcMar>
              <w:bottom w:w="28" w:type="dxa"/>
            </w:tcMar>
          </w:tcPr>
          <w:p>
            <w:pPr>
              <w:pStyle w:val="TableContents"/>
              <w:spacing w:before="0" w:after="0"/>
              <w:ind w:left="0" w:right="0" w:hanging="0"/>
              <w:jc w:val="center"/>
              <w:rPr/>
            </w:pPr>
            <w:r>
              <w:rPr/>
              <w:t> </w:t>
            </w:r>
          </w:p>
        </w:tc>
        <w:tc>
          <w:tcPr>
            <w:tcW w:w="396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 Marvin White </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jc w:val="center"/>
              <w:rPr/>
            </w:pPr>
            <w:r>
              <w:rPr/>
              <w:t> </w:t>
            </w:r>
          </w:p>
        </w:tc>
        <w:tc>
          <w:tcPr>
            <w:tcW w:w="396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Marvin White</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jc w:val="center"/>
              <w:rPr/>
            </w:pPr>
            <w:r>
              <w:rPr/>
              <w:t> </w:t>
            </w:r>
          </w:p>
        </w:tc>
        <w:tc>
          <w:tcPr>
            <w:tcW w:w="396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President and Chief Executive Officer</w:t>
            </w:r>
          </w:p>
        </w:tc>
      </w:tr>
      <w:tr>
        <w:trPr/>
        <w:tc>
          <w:tcPr>
            <w:tcW w:w="185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pPr>
            <w:r>
              <w:rPr/>
              <w:t> </w:t>
            </w:r>
          </w:p>
        </w:tc>
        <w:tc>
          <w:tcPr>
            <w:tcW w:w="39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5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60" w:type="dxa"/>
            <w:tcBorders>
              <w:bottom w:val="single" w:sz="6" w:space="0" w:color="000000"/>
            </w:tcBorders>
            <w:shd w:fill="FFFFFF" w:val="clear"/>
            <w:tcMar>
              <w:bottom w:w="28" w:type="dxa"/>
            </w:tcMar>
          </w:tcPr>
          <w:p>
            <w:pPr>
              <w:pStyle w:val="TableContents"/>
              <w:spacing w:before="0" w:after="0"/>
              <w:ind w:left="0" w:right="0" w:hanging="0"/>
              <w:jc w:val="center"/>
              <w:rPr/>
            </w:pPr>
            <w:r>
              <w:rPr/>
              <w:t> </w:t>
            </w:r>
          </w:p>
        </w:tc>
        <w:tc>
          <w:tcPr>
            <w:tcW w:w="396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Jeffrey G. Lamothe</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jc w:val="center"/>
              <w:rPr/>
            </w:pPr>
            <w:r>
              <w:rPr/>
              <w:t> </w:t>
            </w:r>
          </w:p>
        </w:tc>
        <w:tc>
          <w:tcPr>
            <w:tcW w:w="396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Jeffrey G. Lamothe</w:t>
            </w:r>
          </w:p>
        </w:tc>
      </w:tr>
      <w:tr>
        <w:trPr/>
        <w:tc>
          <w:tcPr>
            <w:tcW w:w="18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jc w:val="center"/>
              <w:rPr/>
            </w:pPr>
            <w:r>
              <w:rPr/>
              <w:t> </w:t>
            </w:r>
          </w:p>
        </w:tc>
        <w:tc>
          <w:tcPr>
            <w:tcW w:w="396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Senior Vice President, Chief Financial Officer, </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and Treasurer</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22" w:name="apvo-ex311_8.htm"/>
      <w:bookmarkStart w:id="23" w:name="ksapvoex311_8"/>
      <w:bookmarkEnd w:id="22"/>
      <w:bookmarkEnd w:id="23"/>
      <w:r>
        <w:rPr>
          <w:rFonts w:ascii="Times New Roman" w:hAnsi="Times New Roman"/>
          <w:b/>
          <w:i w:val="false"/>
          <w:caps w:val="false"/>
          <w:smallCaps w:val="false"/>
          <w:color w:val="000000"/>
          <w:sz w:val="20"/>
        </w:rPr>
        <w:t>Exhibit 31.1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Marvin White, certify that:</w:t>
      </w:r>
    </w:p>
    <w:tbl>
      <w:tblPr>
        <w:tblW w:w="7990" w:type="dxa"/>
        <w:jc w:val="left"/>
        <w:tblInd w:w="0" w:type="dxa"/>
        <w:tblCellMar>
          <w:top w:w="0" w:type="dxa"/>
          <w:left w:w="0" w:type="dxa"/>
          <w:bottom w:w="0" w:type="dxa"/>
          <w:right w:w="0" w:type="dxa"/>
        </w:tblCellMar>
      </w:tblPr>
      <w:tblGrid>
        <w:gridCol w:w="200"/>
        <w:gridCol w:w="7790"/>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79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Quarterly Report on Form 10-Q of Aptevo Therapeutics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240" w:after="0"/>
              <w:jc w:val="left"/>
              <w:rPr>
                <w:b w:val="false"/>
                <w:i w:val="false"/>
                <w:caps w:val="false"/>
                <w:smallCaps w:val="false"/>
              </w:rPr>
            </w:pPr>
            <w:r>
              <w:rPr>
                <w:b w:val="false"/>
                <w:i w:val="false"/>
                <w:caps w:val="false"/>
                <w:smallCaps w:val="false"/>
                <w:color w:val="000000"/>
              </w:rPr>
              <w:t xml:space="preserve">The registrant's other certifying officer(s) and I are responsible for establishing and maintaining disclosure controls and procedures (as defined in Exchange Act Rules 13a-15(e) and 15d-15(e)) </w:t>
            </w:r>
            <w:r>
              <w:rPr>
                <w:b w:val="false"/>
                <w:i w:val="false"/>
                <w:caps w:val="false"/>
                <w:smallCaps w:val="false"/>
                <w:color w:val="000000"/>
                <w:highlight w:val="white"/>
              </w:rPr>
              <w:t xml:space="preserve">and internal control over financial reporting (as defined in Exchange Act Rules 13a-15(f) and 15d-15(f)) </w:t>
            </w:r>
            <w:r>
              <w:rPr>
                <w:b w:val="false"/>
                <w:i w:val="false"/>
                <w:caps w:val="false"/>
                <w:smallCaps w:val="false"/>
                <w:color w:val="000000"/>
              </w:rPr>
              <w:t>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caps w:val="false"/>
          <w:smallCaps w:val="false"/>
        </w:rPr>
      </w:pPr>
      <w:r>
        <w:rPr>
          <w:caps w:val="false"/>
          <w:smallCaps w:val="false"/>
        </w:rPr>
        <w:t> </w:t>
      </w:r>
    </w:p>
    <w:tbl>
      <w:tblPr>
        <w:tblW w:w="5430" w:type="dxa"/>
        <w:jc w:val="center"/>
        <w:tblInd w:w="0" w:type="dxa"/>
        <w:tblCellMar>
          <w:top w:w="0" w:type="dxa"/>
          <w:left w:w="0" w:type="dxa"/>
          <w:bottom w:w="28" w:type="dxa"/>
          <w:right w:w="0" w:type="dxa"/>
        </w:tblCellMar>
      </w:tblPr>
      <w:tblGrid>
        <w:gridCol w:w="1850"/>
        <w:gridCol w:w="60"/>
        <w:gridCol w:w="320"/>
        <w:gridCol w:w="320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2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Marvin White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Marvin White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President and Chief Executive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24" w:name="apvo-ex312_6.htm"/>
      <w:bookmarkStart w:id="25" w:name="ksapvoex312_6"/>
      <w:bookmarkEnd w:id="24"/>
      <w:bookmarkEnd w:id="25"/>
      <w:r>
        <w:rPr>
          <w:rFonts w:ascii="Times New Roman" w:hAnsi="Times New Roman"/>
          <w:b/>
          <w:i w:val="false"/>
          <w:caps w:val="false"/>
          <w:smallCaps w:val="false"/>
          <w:color w:val="000000"/>
          <w:sz w:val="20"/>
        </w:rPr>
        <w:t>Exhibit 31.2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Jeff Lamothe, certify that:</w:t>
      </w:r>
    </w:p>
    <w:tbl>
      <w:tblPr>
        <w:tblW w:w="7930" w:type="dxa"/>
        <w:jc w:val="left"/>
        <w:tblInd w:w="0" w:type="dxa"/>
        <w:tblCellMar>
          <w:top w:w="0" w:type="dxa"/>
          <w:left w:w="0" w:type="dxa"/>
          <w:bottom w:w="0" w:type="dxa"/>
          <w:right w:w="0" w:type="dxa"/>
        </w:tblCellMar>
      </w:tblPr>
      <w:tblGrid>
        <w:gridCol w:w="200"/>
        <w:gridCol w:w="7730"/>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73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Quarterly Report on form 10-Q of Aptevo Therapeutics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240" w:after="0"/>
              <w:jc w:val="left"/>
              <w:rPr>
                <w:b w:val="false"/>
                <w:i w:val="false"/>
                <w:caps w:val="false"/>
                <w:smallCaps w:val="false"/>
              </w:rPr>
            </w:pPr>
            <w:r>
              <w:rPr>
                <w:b w:val="false"/>
                <w:i w:val="false"/>
                <w:caps w:val="false"/>
                <w:smallCaps w:val="false"/>
                <w:color w:val="000000"/>
              </w:rPr>
              <w:t xml:space="preserve">The registrant's other certifying officer(s) and I are responsible for establishing and maintaining disclosure controls and procedures (as defined in Exchange Act Rules 13a-15(e) and 15d-15(e)) </w:t>
            </w:r>
            <w:r>
              <w:rPr>
                <w:b w:val="false"/>
                <w:i w:val="false"/>
                <w:caps w:val="false"/>
                <w:smallCaps w:val="false"/>
                <w:color w:val="000000"/>
                <w:highlight w:val="white"/>
              </w:rPr>
              <w:t xml:space="preserve">and internal control over financial reporting (as defined in Exchange Act Rules 13a-15(f) and 15d-15(f)) </w:t>
            </w:r>
            <w:r>
              <w:rPr>
                <w:b w:val="false"/>
                <w:i w:val="false"/>
                <w:caps w:val="false"/>
                <w:smallCaps w:val="false"/>
                <w:color w:val="000000"/>
              </w:rPr>
              <w:t>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24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0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6555" w:type="dxa"/>
        <w:jc w:val="center"/>
        <w:tblInd w:w="0" w:type="dxa"/>
        <w:tblCellMar>
          <w:top w:w="0" w:type="dxa"/>
          <w:left w:w="0" w:type="dxa"/>
          <w:bottom w:w="28" w:type="dxa"/>
          <w:right w:w="0" w:type="dxa"/>
        </w:tblCellMar>
      </w:tblPr>
      <w:tblGrid>
        <w:gridCol w:w="1850"/>
        <w:gridCol w:w="60"/>
        <w:gridCol w:w="320"/>
        <w:gridCol w:w="4325"/>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432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Jeff Lamothe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3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Jeff Lamothe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2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Senior Vice President, Chief Financial Officer, and </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Treasurer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26" w:name="apvo-ex321_11.htm"/>
      <w:bookmarkStart w:id="27" w:name="ksapvoex321_11"/>
      <w:bookmarkEnd w:id="26"/>
      <w:bookmarkEnd w:id="27"/>
      <w:r>
        <w:rPr>
          <w:rFonts w:ascii="Times New Roman" w:hAnsi="Times New Roman"/>
          <w:b/>
          <w:i w:val="false"/>
          <w:caps w:val="false"/>
          <w:smallCaps w:val="false"/>
          <w:color w:val="000000"/>
          <w:sz w:val="20"/>
        </w:rPr>
        <w:t>Exhibit 32.1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 13a-14(b) OF THE SECURITIES EXCHANGE ACT OF 1934, AS AMENDED AND</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Aptevo Therapeutics Inc. on Form 10-Q for the period ending June 30, 2021 as filed with the Securities and Exchange Commission on the date hereof (the “Report”), I certify, pursuant to 18 U.S.C. § 1350, as adopted pursuant to § 906 of the Sarbanes-Oxley Act of 2002, that:</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 of operations of the Company.</w:t>
            </w:r>
          </w:p>
        </w:tc>
      </w:tr>
    </w:tbl>
    <w:p>
      <w:pPr>
        <w:pStyle w:val="TextBody"/>
        <w:spacing w:before="0" w:after="0"/>
        <w:rPr>
          <w:caps w:val="false"/>
          <w:smallCaps w:val="false"/>
        </w:rPr>
      </w:pPr>
      <w:r>
        <w:rPr>
          <w:caps w:val="false"/>
          <w:smallCaps w:val="false"/>
        </w:rPr>
        <w:t> </w:t>
      </w:r>
    </w:p>
    <w:tbl>
      <w:tblPr>
        <w:tblW w:w="5475" w:type="dxa"/>
        <w:jc w:val="center"/>
        <w:tblInd w:w="0" w:type="dxa"/>
        <w:tblCellMar>
          <w:top w:w="0" w:type="dxa"/>
          <w:left w:w="0" w:type="dxa"/>
          <w:bottom w:w="28" w:type="dxa"/>
          <w:right w:w="0" w:type="dxa"/>
        </w:tblCellMar>
      </w:tblPr>
      <w:tblGrid>
        <w:gridCol w:w="1850"/>
        <w:gridCol w:w="60"/>
        <w:gridCol w:w="320"/>
        <w:gridCol w:w="3245"/>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24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Marvin White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2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Marvin White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4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President and Chief Executive Officer </w:t>
            </w:r>
          </w:p>
        </w:tc>
      </w:tr>
    </w:tbl>
    <w:p>
      <w:pPr>
        <w:pStyle w:val="TextBody"/>
        <w:spacing w:before="0" w:after="0"/>
        <w:rPr/>
      </w:pPr>
      <w:r>
        <w:rPr/>
        <w:t> </w:t>
      </w:r>
    </w:p>
    <w:p>
      <w:pPr>
        <w:pStyle w:val="TextBody"/>
        <w:spacing w:before="40" w:after="0"/>
        <w:rPr>
          <w:caps w:val="false"/>
          <w:smallCaps w:val="false"/>
        </w:rPr>
      </w:pPr>
      <w:r>
        <w:rPr>
          <w:caps w:val="false"/>
          <w:smallCaps w:val="false"/>
        </w:rPr>
        <w:t>“</w:t>
      </w:r>
      <w:r>
        <w:rPr>
          <w:rFonts w:ascii="Times New Roman" w:hAnsi="Times New Roman"/>
          <w:b w:val="false"/>
          <w:i w:val="false"/>
          <w:caps w:val="false"/>
          <w:smallCaps w:val="false"/>
          <w:sz w:val="20"/>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28" w:name="apvo-ex322_10.htm"/>
      <w:bookmarkStart w:id="29" w:name="ksapvoex322_10"/>
      <w:bookmarkEnd w:id="28"/>
      <w:bookmarkEnd w:id="29"/>
      <w:r>
        <w:rPr>
          <w:rFonts w:ascii="Times New Roman" w:hAnsi="Times New Roman"/>
          <w:b/>
          <w:i w:val="false"/>
          <w:caps w:val="false"/>
          <w:smallCaps w:val="false"/>
          <w:color w:val="000000"/>
          <w:sz w:val="20"/>
        </w:rPr>
        <w:t>Exhibit 32.2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RULE 13a-14(b) OF THE SECURITIES EXCHANGE ACT OF 1934, AS AMENDED AND </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Aptevo Inc. on Form 10-Q for the period ending June 30, 2021 as filed with the Securities and Exchange Commission on the date hereof (the “Report”), I certify, pursuant to 18 U.S.C. § 1350, as adopted pursuant to § 906 of the Sarbanes-Oxley Act of 2002, that:</w:t>
      </w:r>
    </w:p>
    <w:tbl>
      <w:tblPr>
        <w:tblW w:w="10205" w:type="dxa"/>
        <w:jc w:val="left"/>
        <w:tblInd w:w="0" w:type="dxa"/>
        <w:tblCellMar>
          <w:top w:w="0" w:type="dxa"/>
          <w:left w:w="0" w:type="dxa"/>
          <w:bottom w:w="0" w:type="dxa"/>
          <w:right w:w="0" w:type="dxa"/>
        </w:tblCellMar>
      </w:tblPr>
      <w:tblGrid>
        <w:gridCol w:w="60"/>
        <w:gridCol w:w="240"/>
        <w:gridCol w:w="99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0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 of operations of the Company.</w:t>
            </w:r>
          </w:p>
        </w:tc>
      </w:tr>
    </w:tbl>
    <w:p>
      <w:pPr>
        <w:pStyle w:val="TextBody"/>
        <w:spacing w:before="0" w:after="0"/>
        <w:rPr/>
      </w:pPr>
      <w:r>
        <w:rPr/>
        <w:t> </w:t>
      </w:r>
    </w:p>
    <w:tbl>
      <w:tblPr>
        <w:tblW w:w="6150" w:type="dxa"/>
        <w:jc w:val="center"/>
        <w:tblInd w:w="0" w:type="dxa"/>
        <w:tblCellMar>
          <w:top w:w="0" w:type="dxa"/>
          <w:left w:w="0" w:type="dxa"/>
          <w:bottom w:w="28" w:type="dxa"/>
          <w:right w:w="0" w:type="dxa"/>
        </w:tblCellMar>
      </w:tblPr>
      <w:tblGrid>
        <w:gridCol w:w="1850"/>
        <w:gridCol w:w="60"/>
        <w:gridCol w:w="320"/>
        <w:gridCol w:w="392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92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Jeff Lamothe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pPr>
            <w:r>
              <w:rPr/>
              <w:t> </w:t>
            </w:r>
          </w:p>
        </w:tc>
        <w:tc>
          <w:tcPr>
            <w:tcW w:w="39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Jeff Lamothe</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2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Senior Vice President, Chief Financial Officer,</w:t>
              <w:br/>
              <w:t xml:space="preserve">and Treasurer </w:t>
            </w:r>
          </w:p>
        </w:tc>
      </w:tr>
    </w:tbl>
    <w:p>
      <w:pPr>
        <w:pStyle w:val="TextBody"/>
        <w:spacing w:before="0" w:after="0"/>
        <w:rPr/>
      </w:pPr>
      <w:r>
        <w:rPr/>
        <w:t> </w:t>
      </w:r>
    </w:p>
    <w:p>
      <w:pPr>
        <w:pStyle w:val="TextBody"/>
        <w:spacing w:before="40" w:after="0"/>
        <w:rPr>
          <w:caps w:val="false"/>
          <w:smallCaps w:val="false"/>
        </w:rPr>
      </w:pPr>
      <w:r>
        <w:rPr>
          <w:caps w:val="false"/>
          <w:smallCaps w:val="false"/>
        </w:rPr>
        <w:t>“</w:t>
      </w:r>
      <w:r>
        <w:rPr>
          <w:rFonts w:ascii="Times New Roman" w:hAnsi="Times New Roman"/>
          <w:b w:val="false"/>
          <w:i w:val="false"/>
          <w:caps w:val="false"/>
          <w:smallCaps w:val="false"/>
          <w:sz w:val="20"/>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pStyle w:val="TextBody"/>
        <w:spacing w:before="0" w:after="0"/>
        <w:rPr/>
      </w:pPr>
      <w:r>
        <w:rPr/>
        <w:t> </w:t>
      </w:r>
    </w:p>
    <w:p>
      <w:pPr>
        <w:pStyle w:val="TextBody"/>
        <w:spacing w:lineRule="atLeast" w:line="200"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40393</Words>
  <CharactersWithSpaces>264124</CharactersWithSpaces>
  <Paragraphs>4256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