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72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3834765</wp:posOffset>
            </wp:positionH>
            <wp:positionV relativeFrom="paragraph">
              <wp:posOffset>-5080</wp:posOffset>
            </wp:positionV>
            <wp:extent cx="4286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APTEVO THERAPEUTICS INC.</w:t>
      </w:r>
    </w:p>
    <w:p>
      <w:pPr>
        <w:sectPr>
          <w:pgSz w:w="11900" w:h="16838" w:orient="portrait"/>
          <w:cols w:equalWidth="0" w:num="1">
            <w:col w:w="11240"/>
          </w:cols>
          <w:pgMar w:left="320" w:top="1132"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8"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2"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3"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81-1567056</w:t>
      </w:r>
    </w:p>
    <w:p>
      <w:pPr>
        <w:spacing w:after="0" w:line="2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 w:lineRule="exact"/>
        <w:rPr>
          <w:sz w:val="24"/>
          <w:szCs w:val="24"/>
          <w:color w:val="auto"/>
        </w:rPr>
      </w:pPr>
    </w:p>
    <w:p>
      <w:pPr>
        <w:sectPr>
          <w:pgSz w:w="11900" w:h="16838" w:orient="portrait"/>
          <w:cols w:equalWidth="0" w:num="2">
            <w:col w:w="7700" w:space="160"/>
            <w:col w:w="3380"/>
          </w:cols>
          <w:pgMar w:left="320" w:top="1132" w:right="339"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8"/>
          <w:szCs w:val="18"/>
          <w:b w:val="1"/>
          <w:bCs w:val="1"/>
          <w:color w:val="auto"/>
        </w:rPr>
        <w:t>2401 4</w:t>
      </w:r>
      <w:r>
        <w:rPr>
          <w:rFonts w:ascii="Times New Roman" w:cs="Times New Roman" w:eastAsia="Times New Roman" w:hAnsi="Times New Roman"/>
          <w:sz w:val="24"/>
          <w:szCs w:val="24"/>
          <w:b w:val="1"/>
          <w:bCs w:val="1"/>
          <w:color w:val="auto"/>
          <w:vertAlign w:val="superscript"/>
        </w:rPr>
        <w:t>th</w:t>
      </w:r>
      <w:r>
        <w:rPr>
          <w:rFonts w:ascii="Times New Roman" w:cs="Times New Roman" w:eastAsia="Times New Roman" w:hAnsi="Times New Roman"/>
          <w:sz w:val="18"/>
          <w:szCs w:val="18"/>
          <w:b w:val="1"/>
          <w:bCs w:val="1"/>
          <w:color w:val="auto"/>
        </w:rPr>
        <w:t xml:space="preserve"> Avenue, Suite 1050</w:t>
      </w:r>
    </w:p>
    <w:p>
      <w:pPr>
        <w:ind w:left="204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Seattle, Washington</w:t>
      </w:r>
      <w:r>
        <w:rPr>
          <w:sz w:val="20"/>
          <w:szCs w:val="20"/>
          <w:color w:val="auto"/>
        </w:rPr>
        <w:tab/>
      </w:r>
      <w:r>
        <w:rPr>
          <w:rFonts w:ascii="Times New Roman" w:cs="Times New Roman" w:eastAsia="Times New Roman" w:hAnsi="Times New Roman"/>
          <w:sz w:val="18"/>
          <w:szCs w:val="18"/>
          <w:b w:val="1"/>
          <w:bCs w:val="1"/>
          <w:color w:val="auto"/>
        </w:rPr>
        <w:t>98121</w:t>
      </w:r>
    </w:p>
    <w:p>
      <w:pPr>
        <w:spacing w:after="0" w:line="1" w:lineRule="exact"/>
        <w:rPr>
          <w:sz w:val="24"/>
          <w:szCs w:val="24"/>
          <w:color w:val="auto"/>
        </w:rPr>
      </w:pPr>
    </w:p>
    <w:p>
      <w:pPr>
        <w:ind w:left="162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(206) 838-0500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90" w:lineRule="exact"/>
        <w:rPr>
          <w:sz w:val="24"/>
          <w:szCs w:val="24"/>
          <w:color w:val="auto"/>
        </w:rPr>
      </w:pPr>
    </w:p>
    <w:p>
      <w:pPr>
        <w:ind w:left="1280"/>
        <w:spacing w:after="0"/>
        <w:tabs>
          <w:tab w:leader="none" w:pos="5040" w:val="left"/>
          <w:tab w:leader="none" w:pos="786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Symbols(s)</w:t>
      </w:r>
      <w:r>
        <w:rPr>
          <w:sz w:val="20"/>
          <w:szCs w:val="20"/>
          <w:color w:val="auto"/>
        </w:rPr>
        <w:tab/>
      </w:r>
      <w:r>
        <w:rPr>
          <w:rFonts w:ascii="Times New Roman" w:cs="Times New Roman" w:eastAsia="Times New Roman" w:hAnsi="Times New Roman"/>
          <w:sz w:val="18"/>
          <w:szCs w:val="18"/>
          <w:b w:val="1"/>
          <w:bCs w:val="1"/>
          <w:color w:val="auto"/>
        </w:rPr>
        <w:t>Name of Exchange on Which Registered</w:t>
      </w:r>
    </w:p>
    <w:p>
      <w:pPr>
        <w:spacing w:after="0" w:line="31" w:lineRule="exact"/>
        <w:rPr>
          <w:sz w:val="24"/>
          <w:szCs w:val="24"/>
          <w:color w:val="auto"/>
        </w:rPr>
      </w:pPr>
    </w:p>
    <w:p>
      <w:pPr>
        <w:ind w:left="340"/>
        <w:spacing w:after="0"/>
        <w:tabs>
          <w:tab w:leader="none" w:pos="5540" w:val="left"/>
          <w:tab w:leader="none" w:pos="8180" w:val="left"/>
        </w:tabs>
        <w:rPr>
          <w:sz w:val="20"/>
          <w:szCs w:val="20"/>
          <w:color w:val="auto"/>
        </w:rPr>
      </w:pPr>
      <w:r>
        <w:rPr>
          <w:rFonts w:ascii="Times New Roman" w:cs="Times New Roman" w:eastAsia="Times New Roman" w:hAnsi="Times New Roman"/>
          <w:sz w:val="18"/>
          <w:szCs w:val="18"/>
          <w:b w:val="1"/>
          <w:bCs w:val="1"/>
          <w:color w:val="auto"/>
        </w:rPr>
        <w:t>Common Stock, $0.001 par value per share</w:t>
      </w:r>
      <w:r>
        <w:rPr>
          <w:sz w:val="20"/>
          <w:szCs w:val="20"/>
          <w:color w:val="auto"/>
        </w:rPr>
        <w:tab/>
      </w:r>
      <w:r>
        <w:rPr>
          <w:rFonts w:ascii="Times New Roman" w:cs="Times New Roman" w:eastAsia="Times New Roman" w:hAnsi="Times New Roman"/>
          <w:sz w:val="18"/>
          <w:szCs w:val="18"/>
          <w:b w:val="1"/>
          <w:bCs w:val="1"/>
          <w:color w:val="auto"/>
        </w:rPr>
        <w:t>APVO</w:t>
      </w:r>
      <w:r>
        <w:rPr>
          <w:sz w:val="20"/>
          <w:szCs w:val="20"/>
          <w:color w:val="auto"/>
        </w:rPr>
        <w:tab/>
      </w:r>
      <w:r>
        <w:rPr>
          <w:rFonts w:ascii="Times New Roman" w:cs="Times New Roman" w:eastAsia="Times New Roman" w:hAnsi="Times New Roman"/>
          <w:sz w:val="17"/>
          <w:szCs w:val="17"/>
          <w:b w:val="1"/>
          <w:bCs w:val="1"/>
          <w:color w:val="auto"/>
        </w:rPr>
        <w:t>The Nasdaq Stock Market LLC</w:t>
      </w:r>
    </w:p>
    <w:p>
      <w:pPr>
        <w:spacing w:after="0" w:line="9" w:lineRule="exact"/>
        <w:rPr>
          <w:sz w:val="24"/>
          <w:szCs w:val="24"/>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(The Nasdaq Capital Market)</w:t>
      </w:r>
    </w:p>
    <w:p>
      <w:pPr>
        <w:spacing w:after="0" w:line="63" w:lineRule="exact"/>
        <w:rPr>
          <w:sz w:val="24"/>
          <w:szCs w:val="24"/>
          <w:color w:val="auto"/>
        </w:rPr>
      </w:pPr>
    </w:p>
    <w:p>
      <w:pPr>
        <w:jc w:val="both"/>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jc w:val="both"/>
        <w:ind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6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8"/>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18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20" w:type="dxa"/>
            <w:vAlign w:val="bottom"/>
          </w:tcPr>
          <w:p>
            <w:pPr>
              <w:ind w:left="3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2" w:lineRule="exact"/>
        <w:rPr>
          <w:sz w:val="24"/>
          <w:szCs w:val="24"/>
          <w:color w:val="auto"/>
        </w:rPr>
      </w:pPr>
    </w:p>
    <w:p>
      <w:pPr>
        <w:ind w:firstLine="509"/>
        <w:spacing w:after="0" w:line="20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520" w:right="2140"/>
        <w:spacing w:after="0" w:line="23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13, 2026, the number of shares of the registrant’s common stock outstanding was 1,246,105.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2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200" w:type="dxa"/>
            <w:vAlign w:val="bottom"/>
            <w:gridSpan w:val="2"/>
            <w:vMerge w:val="continue"/>
          </w:tcPr>
          <w:p>
            <w:pPr>
              <w:spacing w:after="0"/>
              <w:rPr>
                <w:sz w:val="14"/>
                <w:szCs w:val="14"/>
                <w:color w:val="auto"/>
              </w:rPr>
            </w:pPr>
          </w:p>
        </w:tc>
        <w:tc>
          <w:tcPr>
            <w:tcW w:w="9520" w:type="dxa"/>
            <w:vAlign w:val="bottom"/>
            <w:gridSpan w:val="16"/>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5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1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gridSpan w:val="3"/>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1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4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1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1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(Deficit)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19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1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20" w:type="dxa"/>
            <w:vAlign w:val="bottom"/>
            <w:tcBorders>
              <w:left w:val="single" w:sz="8" w:color="0000EE"/>
            </w:tcBorders>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7500" w:type="dxa"/>
            <w:vAlign w:val="bottom"/>
            <w:gridSpan w:val="10"/>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5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722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760" w:type="dxa"/>
            <w:vAlign w:val="bottom"/>
            <w:gridSpan w:val="1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5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20" w:type="dxa"/>
            <w:vAlign w:val="bottom"/>
            <w:gridSpan w:val="1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3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this Quarterly Report on Form 10-Q, "we," "our," "us," "Aptevo," and "the Company" refer to Aptevo Therapeutics Inc. and, where appropriate, its consolidated subsidiaries.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unaudited)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7680" w:type="dxa"/>
            <w:vAlign w:val="bottom"/>
            <w:shd w:val="clear" w:color="auto" w:fill="CFF0FC"/>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21,619</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Pr>
          <w:p>
            <w:pPr>
              <w:spacing w:after="0"/>
              <w:rPr>
                <w:sz w:val="18"/>
                <w:szCs w:val="18"/>
                <w:color w:val="auto"/>
              </w:rPr>
            </w:pPr>
          </w:p>
        </w:tc>
      </w:tr>
      <w:tr>
        <w:trPr>
          <w:trHeight w:val="210"/>
        </w:trPr>
        <w:tc>
          <w:tcPr>
            <w:tcW w:w="7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15,984</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19,902</w:t>
            </w: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27,194</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80" w:type="dxa"/>
            <w:vAlign w:val="bottom"/>
            <w:shd w:val="clear" w:color="auto" w:fill="CFF0FC"/>
          </w:tcPr>
          <w:p>
            <w:pPr>
              <w:ind w:left="18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8,290</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00" w:type="dxa"/>
            <w:vAlign w:val="bottom"/>
          </w:tcPr>
          <w:p>
            <w:pPr>
              <w:spacing w:after="0"/>
              <w:rPr>
                <w:sz w:val="18"/>
                <w:szCs w:val="18"/>
                <w:color w:val="auto"/>
              </w:rPr>
            </w:pPr>
          </w:p>
        </w:tc>
      </w:tr>
      <w:tr>
        <w:trPr>
          <w:trHeight w:val="210"/>
        </w:trPr>
        <w:tc>
          <w:tcPr>
            <w:tcW w:w="7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6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15,000,000 shares authorized, zero shares</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issued or outstanding</w:t>
            </w:r>
          </w:p>
        </w:tc>
        <w:tc>
          <w:tcPr>
            <w:tcW w:w="2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500,000,000 shares authorized; 1,203,753</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997,830 shares issued and outstanding at March 31, 2026 and</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293,407</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292,382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(281,909)</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(275,115)</w:t>
            </w:r>
          </w:p>
        </w:tc>
      </w:tr>
      <w:tr>
        <w:trPr>
          <w:trHeight w:val="209"/>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11,612</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19,902</w:t>
            </w: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27,194</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-2845435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-1988185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-1704975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unaudited)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0" w:type="dxa"/>
            <w:vAlign w:val="bottom"/>
            <w:gridSpan w:val="5"/>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42"/>
        </w:trPr>
        <w:tc>
          <w:tcPr>
            <w:tcW w:w="4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tcPr>
          <w:p>
            <w:pPr>
              <w:jc w:val="right"/>
              <w:ind w:right="8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9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4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(3,924)</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(3,633)</w:t>
            </w:r>
          </w:p>
        </w:tc>
      </w:tr>
      <w:tr>
        <w:trPr>
          <w:trHeight w:val="216"/>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(2,913)</w:t>
            </w:r>
          </w:p>
        </w:tc>
        <w:tc>
          <w:tcPr>
            <w:tcW w:w="8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(2,847)</w:t>
            </w:r>
          </w:p>
        </w:tc>
      </w:tr>
      <w:tr>
        <w:trPr>
          <w:trHeight w:val="20"/>
        </w:trPr>
        <w:tc>
          <w:tcPr>
            <w:tcW w:w="490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(6,837)</w:t>
            </w:r>
          </w:p>
        </w:tc>
        <w:tc>
          <w:tcPr>
            <w:tcW w:w="8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(6,480)</w:t>
            </w: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2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0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42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FF0FC"/>
            </w:tcBorders>
          </w:tcPr>
          <w:p>
            <w:pPr>
              <w:spacing w:after="0"/>
              <w:rPr>
                <w:sz w:val="18"/>
                <w:szCs w:val="18"/>
                <w:color w:val="auto"/>
              </w:rPr>
            </w:pPr>
          </w:p>
        </w:tc>
      </w:tr>
      <w:tr>
        <w:trPr>
          <w:trHeight w:val="249"/>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3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49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Dividend attributable to down round feature of warrants</w:t>
            </w:r>
          </w:p>
        </w:tc>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860" w:type="dxa"/>
            <w:vAlign w:val="bottom"/>
          </w:tcPr>
          <w:p>
            <w:pPr>
              <w:spacing w:after="0"/>
              <w:rPr>
                <w:sz w:val="17"/>
                <w:szCs w:val="17"/>
                <w:color w:val="auto"/>
              </w:rPr>
            </w:pPr>
          </w:p>
        </w:tc>
        <w:tc>
          <w:tcPr>
            <w:tcW w:w="15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4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940" w:type="dxa"/>
            <w:vAlign w:val="bottom"/>
            <w:gridSpan w:val="2"/>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(6,794)</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(6,408)</w:t>
            </w:r>
          </w:p>
        </w:tc>
      </w:tr>
      <w:tr>
        <w:trPr>
          <w:trHeight w:val="196"/>
        </w:trPr>
        <w:tc>
          <w:tcPr>
            <w:tcW w:w="4900" w:type="dxa"/>
            <w:vAlign w:val="bottom"/>
            <w:tcBorders>
              <w:top w:val="single" w:sz="8" w:color="CFF0FC"/>
            </w:tcBorders>
          </w:tcPr>
          <w:p>
            <w:pPr>
              <w:spacing w:after="0"/>
              <w:rPr>
                <w:sz w:val="17"/>
                <w:szCs w:val="17"/>
                <w:color w:val="auto"/>
              </w:rPr>
            </w:pPr>
          </w:p>
        </w:tc>
        <w:tc>
          <w:tcPr>
            <w:tcW w:w="1420" w:type="dxa"/>
            <w:vAlign w:val="bottom"/>
            <w:tcBorders>
              <w:top w:val="single" w:sz="8" w:color="CFF0FC"/>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5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940" w:type="dxa"/>
            <w:vAlign w:val="bottom"/>
            <w:gridSpan w:val="2"/>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(6.41)</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(1,581.81)</w:t>
            </w:r>
          </w:p>
        </w:tc>
      </w:tr>
      <w:tr>
        <w:trPr>
          <w:trHeight w:val="196"/>
        </w:trPr>
        <w:tc>
          <w:tcPr>
            <w:tcW w:w="4900" w:type="dxa"/>
            <w:vAlign w:val="bottom"/>
            <w:tcBorders>
              <w:top w:val="single" w:sz="8" w:color="CFF0FC"/>
            </w:tcBorders>
          </w:tcPr>
          <w:p>
            <w:pPr>
              <w:spacing w:after="0"/>
              <w:rPr>
                <w:sz w:val="17"/>
                <w:szCs w:val="17"/>
                <w:color w:val="auto"/>
              </w:rPr>
            </w:pPr>
          </w:p>
        </w:tc>
        <w:tc>
          <w:tcPr>
            <w:tcW w:w="1420" w:type="dxa"/>
            <w:vAlign w:val="bottom"/>
            <w:tcBorders>
              <w:top w:val="single" w:sz="8" w:color="CFF0FC"/>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in calculation:</w:t>
            </w:r>
          </w:p>
        </w:tc>
        <w:tc>
          <w:tcPr>
            <w:tcW w:w="14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1,060,678</w:t>
            </w: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20" w:type="dxa"/>
            <w:vAlign w:val="bottom"/>
            <w:shd w:val="clear" w:color="auto" w:fill="CFF0FC"/>
          </w:tcPr>
          <w:p>
            <w:pPr>
              <w:spacing w:after="0"/>
              <w:rPr>
                <w:sz w:val="18"/>
                <w:szCs w:val="18"/>
                <w:color w:val="auto"/>
              </w:rPr>
            </w:pPr>
          </w:p>
        </w:tc>
      </w:tr>
      <w:tr>
        <w:trPr>
          <w:trHeight w:val="473"/>
        </w:trPr>
        <w:tc>
          <w:tcPr>
            <w:tcW w:w="9720" w:type="dxa"/>
            <w:vAlign w:val="bottom"/>
            <w:gridSpan w:val="6"/>
          </w:tcPr>
          <w:p>
            <w:pPr>
              <w:jc w:val="center"/>
              <w:ind w:left="1430"/>
              <w:spacing w:after="0"/>
              <w:rPr>
                <w:sz w:val="20"/>
                <w:szCs w:val="20"/>
                <w:color w:val="auto"/>
              </w:rPr>
            </w:pPr>
            <w:r>
              <w:rPr>
                <w:rFonts w:ascii="Times New Roman" w:cs="Times New Roman" w:eastAsia="Times New Roman" w:hAnsi="Times New Roman"/>
                <w:sz w:val="18"/>
                <w:szCs w:val="18"/>
                <w:i w:val="1"/>
                <w:iCs w:val="1"/>
                <w:color w:val="auto"/>
                <w:w w:val="99"/>
              </w:rPr>
              <w:t>The accompanying notes are an integral part of these unaudited condensed consolidated financial statements.</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48"/>
        </w:trPr>
        <w:tc>
          <w:tcPr>
            <w:tcW w:w="4900" w:type="dxa"/>
            <w:vAlign w:val="bottom"/>
          </w:tcPr>
          <w:p>
            <w:pPr>
              <w:spacing w:after="0"/>
              <w:rPr>
                <w:sz w:val="24"/>
                <w:szCs w:val="24"/>
                <w:color w:val="auto"/>
              </w:rPr>
            </w:pPr>
          </w:p>
        </w:tc>
        <w:tc>
          <w:tcPr>
            <w:tcW w:w="14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9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-2691130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-2691130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-2117090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-2099310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-2262505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-2117090</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-2099310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-2262505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-1807845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-1790700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-1807845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-1790700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-1508125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-1490980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-1508125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-1490980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338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42"/>
        </w:trPr>
        <w:tc>
          <w:tcPr>
            <w:tcW w:w="78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(6,697)</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(6,408)</w:t>
            </w: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Non-cash lease expense</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(1,303)</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(1,092)</w:t>
            </w: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9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(344)</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(344)</w:t>
            </w:r>
          </w:p>
        </w:tc>
      </w:tr>
      <w:tr>
        <w:trPr>
          <w:trHeight w:val="20"/>
        </w:trPr>
        <w:tc>
          <w:tcPr>
            <w:tcW w:w="78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(7,965)</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(6,575)</w:t>
            </w:r>
          </w:p>
        </w:tc>
      </w:tr>
      <w:tr>
        <w:trPr>
          <w:trHeight w:val="209"/>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9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in lieu of fractional shares</w:t>
            </w:r>
          </w:p>
        </w:tc>
        <w:tc>
          <w:tcPr>
            <w:tcW w:w="9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6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9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(7,094)</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(6,575)</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21,619</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100" w:type="dxa"/>
            <w:vAlign w:val="bottom"/>
          </w:tcPr>
          <w:p>
            <w:pPr>
              <w:spacing w:after="0"/>
              <w:rPr>
                <w:sz w:val="18"/>
                <w:szCs w:val="18"/>
                <w:color w:val="auto"/>
              </w:rPr>
            </w:pPr>
          </w:p>
        </w:tc>
      </w:tr>
      <w:tr>
        <w:trPr>
          <w:trHeight w:val="250"/>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60" w:type="dxa"/>
            <w:vAlign w:val="bottom"/>
            <w:tcBorders>
              <w:bottom w:val="single" w:sz="8" w:color="auto"/>
            </w:tcBorders>
            <w:shd w:val="clear" w:color="auto" w:fill="CFF0FC"/>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14,525</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Dividend attributable to down round feature of warrants</w:t>
            </w:r>
          </w:p>
        </w:tc>
        <w:tc>
          <w:tcPr>
            <w:tcW w:w="9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-1888490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-1888490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-1597025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-1597025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-1305560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-1305560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-1022350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-448310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-431165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-448310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-431165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 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2480" w:type="dxa"/>
            <w:vAlign w:val="bottom"/>
            <w:gridSpan w:val="3"/>
            <w:vMerge w:val="restart"/>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720" w:type="dxa"/>
            <w:vAlign w:val="bottom"/>
          </w:tcPr>
          <w:p>
            <w:pPr>
              <w:spacing w:after="0"/>
              <w:rPr>
                <w:sz w:val="13"/>
                <w:szCs w:val="13"/>
                <w:color w:val="auto"/>
              </w:rPr>
            </w:pPr>
          </w:p>
        </w:tc>
        <w:tc>
          <w:tcPr>
            <w:tcW w:w="248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3"/>
                <w:szCs w:val="13"/>
                <w:color w:val="auto"/>
              </w:rPr>
            </w:pPr>
          </w:p>
        </w:tc>
        <w:tc>
          <w:tcPr>
            <w:tcW w:w="12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3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997,830</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292,382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(275,115)</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tcBorders>
              <w:top w:val="single" w:sz="8" w:color="CFF0FC"/>
            </w:tcBorders>
          </w:tcPr>
          <w:p>
            <w:pPr>
              <w:spacing w:after="0" w:line="210" w:lineRule="exact"/>
              <w:rPr>
                <w:sz w:val="20"/>
                <w:szCs w:val="20"/>
                <w:color w:val="auto"/>
              </w:rPr>
            </w:pPr>
            <w:r>
              <w:rPr>
                <w:rFonts w:ascii="Times New Roman" w:cs="Times New Roman" w:eastAsia="Times New Roman" w:hAnsi="Times New Roman"/>
                <w:sz w:val="18"/>
                <w:szCs w:val="18"/>
                <w:color w:val="auto"/>
              </w:rPr>
              <w:t xml:space="preserve">Issuance of common stock net of issuance cost </w:t>
            </w:r>
            <w:r>
              <w:rPr>
                <w:rFonts w:ascii="Times New Roman" w:cs="Times New Roman" w:eastAsia="Times New Roman" w:hAnsi="Times New Roman"/>
                <w:sz w:val="24"/>
                <w:szCs w:val="24"/>
                <w:color w:val="auto"/>
                <w:vertAlign w:val="superscript"/>
              </w:rPr>
              <w:t>(1)</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205,923</w:t>
            </w:r>
          </w:p>
        </w:tc>
        <w:tc>
          <w:tcPr>
            <w:tcW w:w="260" w:type="dxa"/>
            <w:vAlign w:val="bottom"/>
            <w:tcBorders>
              <w:top w:val="single" w:sz="8" w:color="CFF0F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Payment in lieu of fractional shares </w:t>
            </w:r>
            <w:r>
              <w:rPr>
                <w:rFonts w:ascii="Times New Roman" w:cs="Times New Roman" w:eastAsia="Times New Roman" w:hAnsi="Times New Roman"/>
                <w:sz w:val="24"/>
                <w:szCs w:val="24"/>
                <w:color w:val="auto"/>
                <w:vertAlign w:val="superscript"/>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37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Dividend attributable to down round feature of</w:t>
            </w: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(6,697)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1,203,753</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293,407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(281,909)</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720" w:type="dxa"/>
            <w:vAlign w:val="bottom"/>
          </w:tcPr>
          <w:p>
            <w:pPr>
              <w:spacing w:after="0"/>
              <w:rPr>
                <w:sz w:val="24"/>
                <w:szCs w:val="24"/>
                <w:color w:val="auto"/>
              </w:rPr>
            </w:pPr>
          </w:p>
        </w:tc>
        <w:tc>
          <w:tcPr>
            <w:tcW w:w="2480" w:type="dxa"/>
            <w:vAlign w:val="bottom"/>
            <w:gridSpan w:val="3"/>
            <w:vMerge w:val="restart"/>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720" w:type="dxa"/>
            <w:vAlign w:val="bottom"/>
          </w:tcPr>
          <w:p>
            <w:pPr>
              <w:spacing w:after="0"/>
              <w:rPr>
                <w:sz w:val="13"/>
                <w:szCs w:val="13"/>
                <w:color w:val="auto"/>
              </w:rPr>
            </w:pPr>
          </w:p>
        </w:tc>
        <w:tc>
          <w:tcPr>
            <w:tcW w:w="248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3"/>
                <w:szCs w:val="13"/>
                <w:color w:val="auto"/>
              </w:rPr>
            </w:pPr>
          </w:p>
        </w:tc>
        <w:tc>
          <w:tcPr>
            <w:tcW w:w="12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3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252,248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(247,577)</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(6,408)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(6,408)</w:t>
            </w: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260" w:type="dxa"/>
            <w:vAlign w:val="bottom"/>
          </w:tcPr>
          <w:p>
            <w:pPr>
              <w:spacing w:after="0"/>
              <w:rPr>
                <w:sz w:val="18"/>
                <w:szCs w:val="18"/>
                <w:color w:val="auto"/>
              </w:rPr>
            </w:pP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252,428</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(253,985)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-2030730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-2030730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-2030730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-2030730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-1053465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-1036320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-1053465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-1036320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-1053465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-1036320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-1053465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-1036320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-454025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-454025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-454025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-454025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-170815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-170815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gross proceeds of $1.3 million less issuance costs of $0.4 million.</w:t>
      </w:r>
    </w:p>
    <w:p>
      <w:pPr>
        <w:spacing w:after="0" w:line="95"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was made in lieu of fractional shares in connection with the reverse stock splits that occurred in December 2025.</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 Nature of Business and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Organization and Liquidity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Aptevo Therapeutics Inc. (Aptevo, we, us, or the Company) is a clinical-stage, research and development biotechnology company focused on developing novel immunotherapy candidates for the treatment of different forms of cancer. We have developed two versatile and enabling platform technologies for rational design of precision immune modulatory drugs and have two clinical candidates and six preclinical candidates currently in development. Clinical candidate mipletamig is a CD123xCD3 T cell engager that is currently being evaluated in the RAINIER study, a Phase 1b/2 program evaluating mipletamig in combination with standard of care venetoclax + azacitidine for the treatment of frontline acute myelogenous leukemia (AML) patients who are unfit for intensive chemotherapy. The ongoing Phase 1b trial was initiated in August 2024. Clinical candidate ALG.APV-527 targets 4-1BB (co-stimulatory receptor) and 5T4 (tumor antigen). The compound is designed to reactivate antigen-primed T cells to specifically kill tumor cells and was most recently evaluated in a Phase 1 clinical trial for the treatment of multiple solid tumor types likely to express 5T4. The Company is also focused on advancing select molecules from its preclinical pipeline with the goal of advancing them toward IND-ready status.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currently trading on the Nasdaq Capital Market under the symbol "APVO."</w:t>
      </w:r>
    </w:p>
    <w:p>
      <w:pPr>
        <w:spacing w:after="0" w:line="11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basis that assumes we will continue as a going concern, which contemplates the realization of assets and satisfaction of liabilities and commitments in the normal course of business. The consolidated financial statements do not include any adjustments that might result from the outcome of the uncertainty of our ability to continue as a going concern, nor do they include adjustments to reflect the possible future effects of the recoverability and classification of recorded asset amounts and classifications of liabilities that might be necessary should the Company be unable to continue as a going concern. For the three months ended March 31, 2026, we had a net loss of $6.7 million. We had an accumulated deficit of $281.9 million as of March 31, 2026. For the three months ended March 31, 2026, net cash used in our operating activities was $8.0 million. We have suffered recurring losses from operations and negative cash flows from operating activities. In the first quarter of 2026, we raised approximately $0.9 million in aggregate net proceeds through the issuance of common stock under the Standby Equity Purchase Agreement with YA II PN, LTD., a Cayman Islands exempt limited company (“Yorkville”), dated June 16, 2025 (the “First SEPA”) and the Standby Equity Purchase Agreement with Yorkville, dated January 8, 2026 (the “Second SEPA” and collectively with the First SEPA, the “SEPAs”). In addition, we raised $0.2 million during the subsequent events period under the SEPAs. When considered in aggregate, these factors raise substantial doubt about our ability to continue as a going concern for the one-year period from the date of issuance of these financial statements. We will need to raise additional funds to support our operating and capital needs in addition to our existing cash resources, cash to be generated from future milestones related to IXINITY sales and regulatory approvals achieved by Medexus Pharmaceuticals ("Medexus"), sales of common stock under the SEPAs, and exercise of common warrants. We may choose to raise additional funds to support our operating and capital needs in the future.</w:t>
      </w:r>
    </w:p>
    <w:p>
      <w:pPr>
        <w:spacing w:after="0" w:line="8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continue to face significant challenges and uncertainties and, as a result, our available capital resources may be consumed more rapidly than currently expected due to: (a) changes we may make to the business that affect ongoing operating expenses; (b) changes we may make in our business strategy; (c) changes we may make in our research and development spending plans; (d) whether and to what extent potential milestones are received from Medexus with respect to IXINITY; (e) macroeconomic conditions such as rising inflation, potential trade war, and other costs as well as political events such as a U.S. federal government shutdown, evolving healthcare policies, ongoing conflicts in Europe and the Middle East and military actions; and (f) other items affecting our forecasted level of expenditures and use of cash resources. We may attempt to obtain other public or private financing, collaborative or licensing arrangements with strategic partners, or through credit lines or other debt financing sources to increase the funds available to fund operations. However, we may not be able to secure such funding in a timely manner or on favorable terms, if at all. Furthermore, if we issue equity or debt securities to raise additional funds, our existing stockholders may experience dilution, and the new equity or debt securities may have rights, preferences, and privileges senior to those of our existing stockholders. If we raise additional funds through collaboration, licensing, or other similar arrangements, it may be necessary to relinquish valuable rights to our potential products or proprietary technologies, or grant licenses on terms that are not favorable to us. Without additional funds, we may be forced to delay, scale back, or eliminate some of our research and development activities or other operations and potentially delay product development in an effort to provide sufficient funds to continue our operations. If any of these events occur, our ability to achieve our development goals may be adversely affected. Given the continuing global economic and geopolitical climate, including stock market volatility and potential trade war, we may experience delays or difficulties in the financing environment and raising capital due to economic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ind w:left="5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("GAAP"). These unaudited condensed consolidated financial statements include all adjustments, which include normal recurring adjustments, necessary for the fair presentation of the Company’s financial position. These unaudited interim consolidated financial statements should be read in conjunction with the audited consolidated financial statements as of and for the year ended December 31, 2025, and the notes thereto, which are included in the Company’s Annual Report on Form 10-K for the year ended December 31, 2025.</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 and changes in these estimates are recorded when known.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our wholly owned subsidiary, Aptevo Research and Development LLC ("Aptevo R&amp;D"). All intercompany balances and transactions have been eliminated. For all periods presented in the financial statements and accompanying footnotes, share and per share amounts have been retroactively adjusted to reflect the reverse stock splits (as discussed below).</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Certain amounts in the accompanying consolidated financial statements were reclassified to conform to the current period presentation. There has been no impact on previously reported net loss or stockholders' equity from such reclassification.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estimates and assumptions that affect the reported amounts of assets and liabilities, revenues and expenses, and related disclosures of contingent liabilities in the unaudited condensed financial statements and accompanying notes. Estimates are used for, but not limited to, clinical accruals, useful lives of equipment, commitments and contingencies, stock-based compensation, fair value of common warrants, and incremental borrowing rate (IBR) used for our lease. Given the global economic and geopolitical climate, these estimates are becoming more challenging, and actual results could differ materially from those estimates.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were reported in our Annual Report on Form 10-K for the year ended December 31, 2025 that was filed with the Securities and Exchange Commission (the "SEC") on March 26, 2026. Our other significant accounting policies have not changed materially from the policies previously reported.</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Accounting Pronouncements Pending Adoption</w:t>
      </w:r>
    </w:p>
    <w:p>
      <w:pPr>
        <w:spacing w:after="0" w:line="119"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issued ASU 2024-03, </w:t>
      </w:r>
      <w:r>
        <w:rPr>
          <w:rFonts w:ascii="Times New Roman" w:cs="Times New Roman" w:eastAsia="Times New Roman" w:hAnsi="Times New Roman"/>
          <w:sz w:val="18"/>
          <w:szCs w:val="18"/>
          <w:i w:val="1"/>
          <w:iCs w:val="1"/>
          <w:color w:val="auto"/>
        </w:rPr>
        <w:t>Disaggregation of Income Statement Expenses (DISE).</w:t>
      </w:r>
      <w:r>
        <w:rPr>
          <w:rFonts w:ascii="Times New Roman" w:cs="Times New Roman" w:eastAsia="Times New Roman" w:hAnsi="Times New Roman"/>
          <w:sz w:val="18"/>
          <w:szCs w:val="18"/>
          <w:color w:val="auto"/>
        </w:rPr>
        <w:t xml:space="preserve"> The purpose of ASU 2024-03 is to enhance expense disclosures by requiring additional disaggregated information about specified categories of expenses included in certain expense captions presented on the face of the income statement. This ASU is effective for fiscal years beginning after December 15, 2026, and for interim periods within fiscal years beginning after December 15, 2027. The amendments may be applied either prospectively to financial statements issued for reporting periods after the effective date of this ASU or retrospectively to all prior periods presented in the financial statements. The Company is currently assessing the impact this ASU will have on its financial statements.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2. Collaboration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Alligator Bioscience AB</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July 20, 2017, our wholly owned subsidiary Aptevo Research and Development LLC (“Aptevo R&amp;D”), entered into a collaboration and option agreement (the “Collaboration Agreement”) with Alligator Bioscience AB (“Alligator”), pursuant to which Aptevo and Alligator have been collaboratively developing ALG.APV-527, a first-in-class bispecific antibody candidate simultaneously targeting 4-1BB (CD137), a member of the TNFR superfamily of a costimulatory receptor found on activated T cells, and 5T4, a tumor antigen widely overexpressed in a number of different types of cancer.</w:t>
      </w:r>
    </w:p>
    <w:p>
      <w:pPr>
        <w:spacing w:after="0" w:line="70"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We assessed the arrangement in accordance with ASC 606 –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606”) and concluded that the contract counterparty, Alligator, is not a customer. As such the arrangement is not in the scope of ASC 606 and is instead treated as a collaborative agreement under ASC 808 – </w:t>
      </w:r>
      <w:r>
        <w:rPr>
          <w:rFonts w:ascii="Times New Roman" w:cs="Times New Roman" w:eastAsia="Times New Roman" w:hAnsi="Times New Roman"/>
          <w:sz w:val="18"/>
          <w:szCs w:val="18"/>
          <w:i w:val="1"/>
          <w:iCs w:val="1"/>
          <w:color w:val="auto"/>
        </w:rPr>
        <w:t xml:space="preserve">Collaborative Arrangements </w:t>
      </w:r>
      <w:r>
        <w:rPr>
          <w:rFonts w:ascii="Times New Roman" w:cs="Times New Roman" w:eastAsia="Times New Roman" w:hAnsi="Times New Roman"/>
          <w:sz w:val="18"/>
          <w:szCs w:val="18"/>
          <w:color w:val="auto"/>
        </w:rPr>
        <w:t>(ASC 808). Both Aptevo and Alligator are active participants in the development of ALG.APV-527 and are exposed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significant risks and rewards under the Collaboration Agreement. Amounts owed to us for Alligator's share of development costs incurred by the Company are recorded as a reduction of research and development expense under ASC 730 –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in the period the costs are incurred. For the three months ended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March 31, 2026 and 2025, we recorded approximately $0.04 million and $0.1 million, which represents our 50% cost share, in our research and development expense related to the Collaboration Agreement, respectively.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Company’s estimates of fair value for financial assets and financial liabilities are based on the framework established in the fair value accounting guidance. The framework is based on the inputs used in valuation, it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and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assets or liabilities.</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we had $13.7 million and $20.5 million in Level 1 money market funds, respectively. The carrying amounts of our money market funds approximate their fair value. At March 31, 2026 and December 31, 2025, we did not have any Level 2 or Level 3 assets.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4. Cash and Cash Equivalents</w:t>
      </w:r>
    </w:p>
    <w:p>
      <w:pPr>
        <w:spacing w:after="0" w:line="13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highly liquid investments with a maturity of 90 days or less at the date of purchase and include time deposits and investments in money market funds.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our cash and cash equivalents as of March 31, 2026 and December 31, 2025:</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13,668</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14,525</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Office Space Lease - Operating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an operating lease related to our office and laboratory space in Seattle, Washington with a term through April 2030 and two options to extend the lease term, each by five years. As of March 31, 2026, we are not reasonably certain to exercise the two options to extend the lease term and our lease liability is recorded through April 30, 2030.</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months ended March 31, 2026 and 2025, we recorded $0.2 million related to variable lease expense.</w:t>
      </w:r>
    </w:p>
    <w:p>
      <w:pPr>
        <w:spacing w:after="0" w:line="2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Components of lease expense: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40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780" w:type="dxa"/>
            <w:vAlign w:val="bottom"/>
            <w:tcBorders>
              <w:top w:val="single" w:sz="8" w:color="auto"/>
              <w:bottom w:val="single" w:sz="8" w:color="auto"/>
            </w:tcBorders>
          </w:tcPr>
          <w:p>
            <w:pPr>
              <w:jc w:val="right"/>
              <w:ind w:right="8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820" w:type="dxa"/>
            <w:vAlign w:val="bottom"/>
            <w:tcBorders>
              <w:top w:val="single" w:sz="8" w:color="auto"/>
              <w:bottom w:val="single" w:sz="8" w:color="auto"/>
            </w:tcBorders>
          </w:tcPr>
          <w:p>
            <w:pPr>
              <w:jc w:val="right"/>
              <w:ind w:right="8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140" w:type="dxa"/>
            <w:vAlign w:val="bottom"/>
            <w:tcBorders>
              <w:bottom w:val="single" w:sz="8" w:color="CFF0FC"/>
            </w:tcBorders>
            <w:gridSpan w:val="2"/>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Right of use assets acquired under operating leases:</w:t>
            </w: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8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80" w:type="dxa"/>
            <w:vAlign w:val="bottom"/>
          </w:tcPr>
          <w:p>
            <w:pPr>
              <w:spacing w:after="0"/>
              <w:rPr>
                <w:sz w:val="24"/>
                <w:szCs w:val="24"/>
                <w:color w:val="auto"/>
              </w:rPr>
            </w:pPr>
          </w:p>
        </w:tc>
        <w:tc>
          <w:tcPr>
            <w:tcW w:w="4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40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Seattle office lease, including amendment</w:t>
            </w:r>
          </w:p>
        </w:tc>
        <w:tc>
          <w:tcPr>
            <w:tcW w:w="1140" w:type="dxa"/>
            <w:vAlign w:val="bottom"/>
            <w:tcBorders>
              <w:bottom w:val="single" w:sz="8" w:color="CFF0FC"/>
            </w:tcBorders>
            <w:gridSpan w:val="2"/>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leases</w:t>
            </w:r>
          </w:p>
        </w:tc>
        <w:tc>
          <w:tcPr>
            <w:tcW w:w="1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-2056765</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-2056765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-1079500</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-1079500</wp:posOffset>
            </wp:positionV>
            <wp:extent cx="603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 payments:</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3860" w:type="dxa"/>
            <w:vAlign w:val="bottom"/>
            <w:tcBorders>
              <w:bottom w:val="single" w:sz="8" w:color="auto"/>
            </w:tcBorders>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6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 operating leases</w:t>
            </w:r>
          </w:p>
        </w:tc>
        <w:tc>
          <w:tcPr>
            <w:tcW w:w="1680" w:type="dxa"/>
            <w:vAlign w:val="bottom"/>
            <w:gridSpan w:val="2"/>
            <w:shd w:val="clear" w:color="auto" w:fill="CFF0FC"/>
          </w:tcPr>
          <w:p>
            <w:pPr>
              <w:jc w:val="right"/>
              <w:ind w:right="13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760" w:type="dxa"/>
            <w:vAlign w:val="bottom"/>
            <w:gridSpan w:val="2"/>
            <w:shd w:val="clear" w:color="auto" w:fill="CFF0FC"/>
          </w:tcPr>
          <w:p>
            <w:pPr>
              <w:jc w:val="right"/>
              <w:ind w:right="13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8"/>
          <w:szCs w:val="18"/>
          <w:color w:val="auto"/>
        </w:rPr>
        <w:t>As of March 31, 2026, the long-term and current portion of the lease liabilities was $3.5 million and $0.9 million, respectively. As of March 31, 2025, the long-term and current portion of the lease liabilities was $4.4 million and $0.8 million, respectively.</w:t>
      </w:r>
    </w:p>
    <w:p>
      <w:pPr>
        <w:spacing w:after="0" w:line="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weighted-average remaining lease term and weighted-average discount rate for operating leases was 4.08 years and 12.03%.</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6. Prepaid Expenses, Other Current Assets,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March 31, 2026 and December 31, 2025.</w:t>
      </w: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auto"/>
            </w:tcBorders>
            <w:vMerge w:val="continue"/>
          </w:tcPr>
          <w:p>
            <w:pPr>
              <w:spacing w:after="0"/>
              <w:rPr>
                <w:sz w:val="12"/>
                <w:szCs w:val="12"/>
                <w:color w:val="auto"/>
              </w:rPr>
            </w:pPr>
          </w:p>
        </w:tc>
        <w:tc>
          <w:tcPr>
            <w:tcW w:w="150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tcPr>
          <w:p>
            <w:pPr>
              <w:jc w:val="right"/>
              <w:ind w:right="8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clinical expenses</w:t>
            </w:r>
          </w:p>
        </w:tc>
        <w:tc>
          <w:tcPr>
            <w:tcW w:w="1500" w:type="dxa"/>
            <w:vAlign w:val="bottom"/>
            <w:shd w:val="clear" w:color="auto" w:fill="CFF0FC"/>
          </w:tcPr>
          <w:p>
            <w:pPr>
              <w:jc w:val="right"/>
              <w:ind w:right="134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500" w:type="dxa"/>
            <w:vAlign w:val="bottom"/>
            <w:shd w:val="clear" w:color="auto" w:fill="CFF0FC"/>
          </w:tcPr>
          <w:p>
            <w:pPr>
              <w:jc w:val="right"/>
              <w:ind w:right="134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-25400</wp:posOffset>
            </wp:positionV>
            <wp:extent cx="603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March 31, 2026 and December 31, 2025.</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restart"/>
          </w:tcPr>
          <w:p>
            <w:pPr>
              <w:spacing w:after="0"/>
              <w:rPr>
                <w:sz w:val="15"/>
                <w:szCs w:val="15"/>
                <w:color w:val="auto"/>
              </w:rPr>
            </w:pPr>
          </w:p>
        </w:tc>
        <w:tc>
          <w:tcPr>
            <w:tcW w:w="15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32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52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tcPr>
          <w:p>
            <w:pPr>
              <w:jc w:val="right"/>
              <w:ind w:right="8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 research and development costs</w:t>
            </w:r>
          </w:p>
        </w:tc>
        <w:tc>
          <w:tcPr>
            <w:tcW w:w="1520" w:type="dxa"/>
            <w:vAlign w:val="bottom"/>
            <w:shd w:val="clear" w:color="auto" w:fill="CFF0FC"/>
          </w:tcPr>
          <w:p>
            <w:pPr>
              <w:jc w:val="right"/>
              <w:ind w:right="13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6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service costs</w:t>
            </w:r>
          </w:p>
        </w:tc>
        <w:tc>
          <w:tcPr>
            <w:tcW w:w="15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15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520" w:type="dxa"/>
            <w:vAlign w:val="bottom"/>
            <w:tcBorders>
              <w:bottom w:val="single" w:sz="8" w:color="auto"/>
            </w:tcBorders>
            <w:shd w:val="clear" w:color="auto" w:fill="CFF0FC"/>
          </w:tcPr>
          <w:p>
            <w:pPr>
              <w:jc w:val="right"/>
              <w:ind w:right="13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7. Net Loss per Share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weighted-average number of common shares outstanding for the period. Diluted net loss per share is computed by dividing the net loss by the weighted-average number of common share equivalents outstanding for the period using the as-if converted method. For the purpose of this calculation, warrants, stock options and restricted stock units ("RSUs") are only included in the calculation of diluted net loss per share when their effect is dilutive.</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utilize the control number concept in the computation of diluted earnings per share to determine whether potential common stock instruments are dilutive. The control number used is net loss for the period. The control number concept requires that the same number of potentially dilutive securities applied in computing diluted earnings per share be applied to all other categories of income or loss, regardless of their anti-dilutive effect on such categories.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equivalents include warrants, stock options and unvested RSUs.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loss per share (in thousands, except share and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6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(6,697)</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(6,408)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4560" w:type="dxa"/>
            <w:vAlign w:val="bottom"/>
            <w:tcBorders>
              <w:top w:val="single" w:sz="8" w:color="CFF0FC"/>
            </w:tcBorders>
            <w:shd w:val="clear" w:color="auto" w:fill="CFF0FC"/>
          </w:tcPr>
          <w:p>
            <w:pPr>
              <w:spacing w:after="0" w:line="20" w:lineRule="exact"/>
              <w:rPr>
                <w:sz w:val="1"/>
                <w:szCs w:val="1"/>
                <w:color w:val="auto"/>
              </w:rPr>
            </w:pPr>
          </w:p>
        </w:tc>
        <w:tc>
          <w:tcPr>
            <w:tcW w:w="25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 w:type="dxa"/>
            <w:vAlign w:val="bottom"/>
            <w:vMerge w:val="continue"/>
          </w:tcPr>
          <w:p>
            <w:pPr>
              <w:spacing w:after="0"/>
              <w:rPr>
                <w:sz w:val="17"/>
                <w:szCs w:val="17"/>
                <w:color w:val="auto"/>
              </w:rPr>
            </w:pPr>
          </w:p>
        </w:tc>
        <w:tc>
          <w:tcPr>
            <w:tcW w:w="4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Dividend attributable to down round feature of warrants</w:t>
            </w:r>
          </w:p>
        </w:tc>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vMerge w:val="continue"/>
          </w:tcPr>
          <w:p>
            <w:pPr>
              <w:spacing w:after="0"/>
              <w:rPr>
                <w:sz w:val="21"/>
                <w:szCs w:val="21"/>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(6,794)</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(6,408)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vMerge w:val="restart"/>
          </w:tcPr>
          <w:p>
            <w:pPr>
              <w:spacing w:after="0"/>
              <w:rPr>
                <w:sz w:val="17"/>
                <w:szCs w:val="17"/>
                <w:color w:val="auto"/>
              </w:rPr>
            </w:pPr>
          </w:p>
        </w:tc>
        <w:tc>
          <w:tcPr>
            <w:tcW w:w="4560" w:type="dxa"/>
            <w:vAlign w:val="bottom"/>
            <w:tcBorders>
              <w:top w:val="single" w:sz="8" w:color="CFF0FC"/>
            </w:tcBorders>
          </w:tcPr>
          <w:p>
            <w:pPr>
              <w:spacing w:after="0"/>
              <w:rPr>
                <w:sz w:val="17"/>
                <w:szCs w:val="17"/>
                <w:color w:val="auto"/>
              </w:rPr>
            </w:pPr>
          </w:p>
        </w:tc>
        <w:tc>
          <w:tcPr>
            <w:tcW w:w="25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0" w:type="dxa"/>
            <w:vAlign w:val="bottom"/>
            <w:vMerge w:val="continue"/>
          </w:tcPr>
          <w:p>
            <w:pPr>
              <w:spacing w:after="0"/>
              <w:rPr>
                <w:sz w:val="22"/>
                <w:szCs w:val="22"/>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(6.41)</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(1,581.81)</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0" w:type="dxa"/>
            <w:vAlign w:val="bottom"/>
            <w:vMerge w:val="restart"/>
          </w:tcPr>
          <w:p>
            <w:pPr>
              <w:spacing w:after="0"/>
              <w:rPr>
                <w:sz w:val="17"/>
                <w:szCs w:val="17"/>
                <w:color w:val="auto"/>
              </w:rPr>
            </w:pPr>
          </w:p>
        </w:tc>
        <w:tc>
          <w:tcPr>
            <w:tcW w:w="4560" w:type="dxa"/>
            <w:vAlign w:val="bottom"/>
            <w:tcBorders>
              <w:top w:val="single" w:sz="8" w:color="CFF0FC"/>
            </w:tcBorders>
          </w:tcPr>
          <w:p>
            <w:pPr>
              <w:spacing w:after="0"/>
              <w:rPr>
                <w:sz w:val="17"/>
                <w:szCs w:val="17"/>
                <w:color w:val="auto"/>
              </w:rPr>
            </w:pPr>
          </w:p>
        </w:tc>
        <w:tc>
          <w:tcPr>
            <w:tcW w:w="25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in calculation:</w:t>
            </w:r>
          </w:p>
        </w:tc>
        <w:tc>
          <w:tcPr>
            <w:tcW w:w="2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1,060,678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4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56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-1816735</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-1799590</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-1816735</wp:posOffset>
            </wp:positionV>
            <wp:extent cx="596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-1799590</wp:posOffset>
            </wp:positionV>
            <wp:extent cx="596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-1508125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-1490980</wp:posOffset>
            </wp:positionV>
            <wp:extent cx="60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-1508125</wp:posOffset>
            </wp:positionV>
            <wp:extent cx="5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-1490980</wp:posOffset>
            </wp:positionV>
            <wp:extent cx="596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-1207770</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-1190625</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-1207770</wp:posOffset>
            </wp:positionV>
            <wp:extent cx="596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-1190625</wp:posOffset>
            </wp:positionV>
            <wp:extent cx="596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color w:val="auto"/>
        </w:rPr>
        <w:t>The following table represents all potentially dilutive shares: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218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Common warrants</w:t>
            </w:r>
          </w:p>
        </w:tc>
        <w:tc>
          <w:tcPr>
            <w:tcW w:w="1440" w:type="dxa"/>
            <w:vAlign w:val="bottom"/>
            <w:tcBorders>
              <w:bottom w:val="single" w:sz="8" w:color="auto"/>
            </w:tcBorders>
          </w:tcPr>
          <w:p>
            <w:pPr>
              <w:jc w:val="right"/>
              <w:ind w:right="4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20" w:type="dxa"/>
            <w:vAlign w:val="bottom"/>
            <w:vMerge w:val="continue"/>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676,968</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use the treasury stock method when determining dilutive shares. For the three months ended March 31, 2026 and 2025, the Company was in a net loss position, therefore the share number used to calculate diluted earnings per share is the same as the basic earnings per share.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8. Equity</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2023 and 2024 Common Warrants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there were 3 outstanding warrants issued in 2023 with exercise prices ranging from $136,555.20 to $363,369.30 per share and 4,645 outstanding warrants issued in 2024 with exercise prices ranging from $428.40 to $17,892 per share.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2025 Equity Offerings and Common Warrants</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April 4, 2025, we completed a registered direct offering and a concurrent private placement (the “April 4, 2025 Offering”), in which we issued 4,901 shares of common stock and accompanying common warrants to purchase up to an aggregate of 9,803 shares of common stock at an exercise price of $428.40 per share for a combined offering price of $428.40 per share and accompanying common warrants. The common warrants became immediately exercisable following the date of stockholder approval on May 14, 2025 and will expire in May 2030. We received $2.1 million in gross proceeds less total issuance costs of $0.2 million. In connection with the April 4, 2025 Offering, we also agreed to amend certain existing warrants that were previously issued on December 12, 2024 to purchase up to 4,575 shares of common stock and had an exercise price of $3,430.80 per share, and reduced the exercise price of these warrants to $428.40 per share. The Company recognized the $0.6 million modification date incremental value of the modified warrants as compared to the original warrants as a non-cash issuance cost of the April 4, 2025 Offering. Given the common warrants were equity classified, the modified fair value of existing common warrants to purchase common stock has been accounted for in additional paid-in capital as an equity cost because the modification was done in order to raise equity in conjunction with the April 4, 2025 Offering. As of March 31, 2026, we have 9,812 common warrants outstanding in connection with the April 4, 2025 Offering.</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April 22, 2025, we completed a registered direct offering (the April 22, 2025 Offering and together with the April 4, 2025 Offering, the April 2025 Offerings), in which we issued 6,455 shares of common stock at a purchase price of $310.32 per share. We received $2.0 million in gross proceeds less total issuance costs of $0.2 million. We did not issue any common warrants in connection with the April 22, 2025 Offering.</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June 20, 2025, we completed an offering priced at-the-market (the “June 2025 Offering”) with certain institutional investors, in which we received gross proceeds $8.0 million, which included 136,944 shares of common stock (or pre-funded warrants in lieu thereof, all of which have been exercised as of June 30, 2025) and accompanying common warrants to purchase up to 684,722 shares of common stock at an exercise price of $58.50 per share for a combined purchase price of $58.50 per share and accompanying common warrants. The common warrants became immediately exercisable following the date of stockholder approval on July 24, 2025 and will expire in July 2030. We received $8.0 million in gross proceeds less total issuance costs of $0.7 million. 22,223 shares were exercised in 2025 at an average price of $25.10 per share. As of March 31, 2026, we have 662,508 common warrants outstanding in connection with the June 2025 Offering.</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Aptevo uses Black-Scholes valuation model for estimating the fair value of the common warrants included in public and direct offerings. The warrants are classified as an equity instrument because they are both indexed to the Company's own stock and classified in stockholders' equity, are recorded at fair value on the date of issuance. The Company did not issue common warrants in the three months ended March 31, 2026 and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1" w:name="page12"/>
    <w:bookmarkEnd w:id="11"/>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Additionally, the common warrants issued in our June 2025 Offering include a down-round feature. On January 23, 2026, in connection with the sales of common warrants and common stock, the exercise price of the common warrants issued in connection with the June 2025 Offering was lowered to $11.70 per share representing the floor price of those warrants. Upon the trigger of the down round provision of these common warrants, on January 23, 2026, the Company recorded a deemed dividend of $0.1 million which represents the fair value transferred to the warrant holders from the down round feature being triggered. The deemed dividend increased net loss attributable to common equity by $0.1 million in the condensed consolidated statement of operations for the three months ended March 31, 2026. The Company calculated the difference between the common warrants' fair value on January 23, 2026, the date the down round feature was triggered, using the current exercise price at the time of $19.01 and the new exercise price of $11.70. The fair value of the common warrants prior to and immediately after the exercise price adjustment, were estimated using the Black-Scholes option-pricing model with the following assumptions:</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8100" w:type="dxa"/>
            <w:vAlign w:val="bottom"/>
          </w:tcPr>
          <w:p>
            <w:pPr>
              <w:spacing w:after="0"/>
              <w:rPr>
                <w:sz w:val="15"/>
                <w:szCs w:val="15"/>
                <w:color w:val="auto"/>
              </w:rPr>
            </w:pPr>
          </w:p>
        </w:tc>
        <w:tc>
          <w:tcPr>
            <w:tcW w:w="2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January 23, 2026</w:t>
            </w:r>
          </w:p>
        </w:tc>
      </w:tr>
      <w:tr>
        <w:trPr>
          <w:trHeight w:val="142"/>
        </w:trPr>
        <w:tc>
          <w:tcPr>
            <w:tcW w:w="8100" w:type="dxa"/>
            <w:vAlign w:val="bottom"/>
          </w:tcPr>
          <w:p>
            <w:pPr>
              <w:spacing w:after="0"/>
              <w:rPr>
                <w:sz w:val="12"/>
                <w:szCs w:val="12"/>
                <w:color w:val="auto"/>
              </w:rPr>
            </w:pPr>
          </w:p>
        </w:tc>
        <w:tc>
          <w:tcPr>
            <w:tcW w:w="2000" w:type="dxa"/>
            <w:vAlign w:val="bottom"/>
            <w:tcBorders>
              <w:bottom w:val="single" w:sz="8" w:color="auto"/>
            </w:tcBorders>
          </w:tcPr>
          <w:p>
            <w:pPr>
              <w:spacing w:after="0"/>
              <w:rPr>
                <w:sz w:val="12"/>
                <w:szCs w:val="12"/>
                <w:color w:val="auto"/>
              </w:rPr>
            </w:pPr>
          </w:p>
        </w:tc>
      </w:tr>
      <w:tr>
        <w:trPr>
          <w:trHeight w:val="210"/>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$19.01-$11.70</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178.49%</w:t>
            </w: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3.53%</w:t>
            </w:r>
          </w:p>
        </w:tc>
      </w:t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Expected average life of warrants</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r>
    </w:tbl>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Standby Equity Purchase Agreement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June 2025 SEPA</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June 16, 2025, we entered into a Standby Equity Purchase Agreement with Yorkville. Pursuant to the First SEPA, the Company has the right, but not the obligation, to issue and sell to Yorkville from time to time up to $25.0 million of the Company’s common stock during the 36 months following the execution of the First SEPA, subject to market conditions, restrictions, and satisfaction of the conditions in the First SEPA. As consideration for Yorkville’s irrevocable commitment to purchase the shares of common stock up to the commitment amount (the “First Commitment Amount”), the Company paid a structuring fee in the amount of $25,000 to Yorkville, and the Company has agreed to pay a commitment fee to Yorkville in an amount equal to 2.00% of the First Commitment Amount in five equal installments. We accounted for the structuring and the commitment fee as deferred issuance cost. As of March 31, 2026, the remaining availability under the First SEPA is $8.0 million. On July 24, 2025, we received shareholder approval for the potential issuance of 19.99% or more of the aggregate number of shares of outstanding common stock pursuant to the First SEPA.</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January 2026 SEPA</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January 8, 2026, we entered into the Second SEPA, the Company has the right, but not the obligation, to issue and sell to Yorkville from time to time up to $60.0 million (the “Second Commitment Amount”) of our common stock during the 36 months following the execution of the Second SEPA, subject to the restrictions and satisfaction of the conditions in the Second SEPA. The Company paid a structuring fee in the amount of $25,000 to Yorkville, and the Company has agreed to pay a commitment fee to Yorkville in an amount equal to 2.00% of the Second Commitment Amount in five equal installments. Pursuant to the Second SEPA, we will not sell shares of our common stock to Yorkville that would result in the beneficial ownership of Yorkville and its affiliates (on an aggregated basis) exceeding 9.99% of our then outstanding common stock. As of March 31, 2026, the remaining availability under the Second SEPA is $59.4 million. On February 18, 2026, we received shareholder approval for the potential issuance of 19.99% or more of the aggregate number of shares of outstanding common stock pursuant to the Second SEPA.</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At The Market Offering Agreement</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April 28, 2025, we entered into an At The Market Offering Agreement (the “ATM Agreement”) with Roth Capital Partners, LLC, as sales agent (“Roth”), for an aggregate offering price of $50.0 million, pursuant to which we may offer and sell shares of our common stock from time to time through Roth. The compensation to Roth for the shares sold pursuant to the ATM Agreement will be an amount equal to 3.0% of the gross sales price of the shares sold under the ATM Agreement. The sale of such shares of common stock by Roth will be effected under the Company’s existing shelf Registration Statement on Form S-3, which was declared effective on February 26, 2025 (the “Registration Statement”). On June 20, 2025, we filed the latest amendment to the prospectus supplement to the Registration Statement pursuant to General Instruction I.B.6 of Form S-3 (“General Instruction I.B.6”), which updated the amount of shares that we are eligible to sell under the ATM Agreement to an aggregate of $8.0 million. We did not issue any shares under the ATM during the three months ended March 31, 2026 and 2025. There is currently no remaining availability under the ATM Agreement due to limitations of General Instruction I.B.6. Additional capacity is expected to become available after October 2026.</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Rights Plan</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November 8, 2020, our Board of Directors (the "Board") approved and adopted a Rights Agreement (the "Rights Agreement"), dated as of November 8, 2020, by and between the Company and Broadridge Corporate Issuer Solutions, Inc., as rights agent, pursuant to which the Board declared a dividend of one preferred share purchase right (each, a "Right") for each outstanding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jc w:val="both"/>
        <w:spacing w:after="0" w:line="254" w:lineRule="auto"/>
        <w:rPr>
          <w:sz w:val="20"/>
          <w:szCs w:val="20"/>
          <w:color w:val="auto"/>
        </w:rPr>
      </w:pPr>
      <w:r>
        <w:rPr>
          <w:rFonts w:ascii="Times New Roman" w:cs="Times New Roman" w:eastAsia="Times New Roman" w:hAnsi="Times New Roman"/>
          <w:sz w:val="18"/>
          <w:szCs w:val="18"/>
          <w:color w:val="auto"/>
        </w:rPr>
        <w:t>share of the Company’s common stock held by stockholders as of the close of business on November 23, 2020. One Right also will be issued together with each Common Share issued by the Company after November 23, 2020, but before the Distribution Date (as defined below) (or the earlier redemption or expiration of the Rights) and, in certain circumstances, after the Distribution Date. When exercisable, each Right initially would represent the right to purchase from the Company one one-thousandth of a share of a newly-designated series of preferred stock, Series A Junior Participating Preferred Stock, par value $0.001 per share, of the Company. Subject to various exceptions, the Rights become exercisable in the event any person (excluding certain exempted or grandfathered persons) becomes the beneficial owner of ten percent (10%) or more of the Company’s common stock without the approval of the Board. On October 30, 2025, we entered into Amendment No. 5 to the Rights Agreement and extended the expiration of such agreement to October 29, 2026. We have evaluated the rights agreement and determined that it does not represent a derivative or a liability.</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2018 Stock Incentive Plan</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July 24, 2025, at the 2025 annual meeting of the stockholders, our stockholders approved the Third Amended and Restated 2018 SIP (the “Third Amended 2018 SIP”) to increase the number of shares authorized for issuance under the 2018 Stock Incentive Plan, as amended and restated by 13,888 shares of common stock (adjusted for 1-for-18 reverse stock split effective as of December 29, 2025). As of March 31, 2026, there are 7,360 shares available to be granted under the Third Amended 2018 SIP.</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Stock options and RSUs under the Third Amended 2018 SIP generally vest pro rata over a one-year or three-year period. Stock options terminate ten years from the grant date, though the specific terms of each grant are determined individually. The Company’s executive officers, members of our board of directors, and certain other employees and consultants may be awarded options and/or RSUs with different vesting criteria, and awards granted to non-employee directors will vest over a one-year period. Option exercise and RSU grant prices for new awards granted by the Company equal the closing price of the Company’s common stock on the Nasdaq Capital Market on the date of grant.</w:t>
      </w:r>
    </w:p>
    <w:p>
      <w:pPr>
        <w:spacing w:after="0" w:line="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includes amortization of stock options and RSUs granted to employees and non-employees and has been reported in our unaudited condensed consolidated statements of operations as $0.1 million and $0.2 million for the three months ended March 31, 2026 and 2025, respectively.</w:t>
      </w: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 All assumptions used to calculate the grant date fair value of non-employee equity awards are generally consistent with the assumptions used for equity awards granted to employees. In the event the Company terminates any of its consulting agreements, the unvested equity underlying the agreements would also be forfeited.</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we had $0 unrecognized compensation expense. The Company did not issue options and had no outstanding options during the three months ended March 31, 2026 and 2025.</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we have 6,542 shares of RSUs with a weighted average fair value of $40.24 per unit outstanding and expected to vest. There was $0.11 million unrecognized stock-based compensation expense related to unvested RSUs expected to vest over the weighted-average period of 0.4 years.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fair value of each RSU has been determined to be the closing trading price of the Company’s common stock on the date of grant as quoted on the Nasdaq Capital Market.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9. Segment Information</w:t>
      </w:r>
    </w:p>
    <w:p>
      <w:pPr>
        <w:spacing w:after="0" w:line="121" w:lineRule="exact"/>
        <w:rPr>
          <w:sz w:val="20"/>
          <w:szCs w:val="20"/>
          <w:color w:val="auto"/>
        </w:rPr>
      </w:pPr>
    </w:p>
    <w:p>
      <w:pPr>
        <w:jc w:val="both"/>
        <w:ind w:right="40" w:firstLine="509"/>
        <w:spacing w:after="0" w:line="255" w:lineRule="auto"/>
        <w:rPr>
          <w:sz w:val="20"/>
          <w:szCs w:val="20"/>
          <w:color w:val="auto"/>
        </w:rPr>
      </w:pPr>
      <w:r>
        <w:rPr>
          <w:rFonts w:ascii="Times New Roman" w:cs="Times New Roman" w:eastAsia="Times New Roman" w:hAnsi="Times New Roman"/>
          <w:sz w:val="18"/>
          <w:szCs w:val="18"/>
          <w:color w:val="auto"/>
        </w:rPr>
        <w:t>Operating segments are identified as components of an entity about which separate discrete financial information is available for evaluation by the chief operating decision maker ("CODM"), or decision-making group, in making decisions on how to allocate resources and assess performance. The Company's CODM, the Chief Executive Officer, views the Company's operations as one operating segment, which is discovery and development of novel oncology therapeutics. The discovery and development of novel oncology therapeutics segment develops novel immunotherapy candidates for the treatment of different forms of cancer. Our clinical and preclinical candidates were developed using two versatile and enabling platform technologies, ADAPTIR™Ò and ADAPTIR-FLEX™Ò. The Company does not have revenue in the current comparative period, incurs expenses primarily in North America and manages the business activities on a consolidated basis.</w:t>
      </w:r>
    </w:p>
    <w:p>
      <w:pPr>
        <w:spacing w:after="0" w:line="81"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The accounting policies of the novel oncology therapeutics segment are the same as those described in the summary of significant accounting policies.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CODM assesses performance for the novel oncology therapeutics segment and decides how to allocate resources based on net loss that also is reported on the income statement as consolidated net loss. The measure of segment assets is reported on the balance sheet as cash and cash equivalents.</w:t>
      </w:r>
    </w:p>
    <w:p>
      <w:pPr>
        <w:spacing w:after="0" w:line="54"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has not generated any product revenue in the current period and expects to continue to incur significant expenses and operating losses for the foreseeable future as we advance our product candidates through all stages of development and clinical trials.</w:t>
      </w:r>
    </w:p>
    <w:p>
      <w:pPr>
        <w:spacing w:after="0" w:line="5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As such, the CODM uses cash forecast models in deciding how to invest into the novel oncology therapeutics segment. Such cash forecast models are reviewed to assess the entity-wide operating results and performance. Net loss is used to monitor budget versus actual results. Monitoring budgeted versus actual results, net cash used in operating activities for the period and cash on hand are used in assessing performance of the segment.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summarizes the significant expense categories regularly reviewed by the CODM for the three months ended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0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99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100" w:type="dxa"/>
            <w:vAlign w:val="bottom"/>
          </w:tcPr>
          <w:p>
            <w:pPr>
              <w:spacing w:after="0"/>
              <w:rPr>
                <w:sz w:val="12"/>
                <w:szCs w:val="12"/>
                <w:color w:val="auto"/>
              </w:rPr>
            </w:pPr>
          </w:p>
        </w:tc>
      </w:tr>
      <w:tr>
        <w:trPr>
          <w:trHeight w:val="21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80" w:type="dxa"/>
            <w:vAlign w:val="bottom"/>
            <w:gridSpan w:val="2"/>
          </w:tcPr>
          <w:p>
            <w:pPr>
              <w:jc w:val="right"/>
              <w:ind w:right="1159"/>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(3,924)</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(3,633)</w:t>
            </w:r>
          </w:p>
        </w:tc>
      </w:tr>
      <w:tr>
        <w:trPr>
          <w:trHeight w:val="216"/>
        </w:trPr>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(2,913)</w:t>
            </w:r>
          </w:p>
        </w:tc>
        <w:tc>
          <w:tcPr>
            <w:tcW w:w="10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(2,847)</w:t>
            </w:r>
          </w:p>
        </w:tc>
      </w:tr>
      <w:tr>
        <w:trPr>
          <w:trHeight w:val="216"/>
        </w:trPr>
        <w:tc>
          <w:tcPr>
            <w:tcW w:w="4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4"/>
                <w:szCs w:val="24"/>
                <w:color w:val="auto"/>
                <w:vertAlign w:val="superscript"/>
              </w:rPr>
              <w:t>(a)</w:t>
            </w:r>
          </w:p>
        </w:tc>
        <w:tc>
          <w:tcPr>
            <w:tcW w:w="19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r>
      <w:tr>
        <w:trPr>
          <w:trHeight w:val="229"/>
        </w:trPr>
        <w:tc>
          <w:tcPr>
            <w:tcW w:w="40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Net loss </w:t>
            </w:r>
            <w:r>
              <w:rPr>
                <w:rFonts w:ascii="Times New Roman" w:cs="Times New Roman" w:eastAsia="Times New Roman" w:hAnsi="Times New Roman"/>
                <w:sz w:val="24"/>
                <w:szCs w:val="24"/>
                <w:color w:val="auto"/>
                <w:vertAlign w:val="superscript"/>
              </w:rPr>
              <w:t>(b)</w:t>
            </w:r>
          </w:p>
        </w:tc>
        <w:tc>
          <w:tcPr>
            <w:tcW w:w="19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159"/>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(6,697)</w:t>
            </w: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(6,408)</w:t>
            </w: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200" w:hanging="192"/>
        <w:spacing w:after="0"/>
        <w:tabs>
          <w:tab w:leader="none" w:pos="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included in segment loss includes interest income, interest expense, rental income and foreign exchange gain/loss.</w:t>
      </w:r>
    </w:p>
    <w:p>
      <w:pPr>
        <w:spacing w:after="0" w:line="4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a single operating segment and therefore the measure of segment net loss is the same as consolidated net loss and does not require reconciliation.</w:t>
      </w:r>
    </w:p>
    <w:p>
      <w:pPr>
        <w:spacing w:after="0" w:line="10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net cash used in operating activities was $8.0 million and $6.6 million, respectively. The table below summarizes the significant asset categories regularly reviewed by the CODM as of March 31, 2026 and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5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40" w:type="dxa"/>
            <w:vAlign w:val="bottom"/>
          </w:tcPr>
          <w:p>
            <w:pPr>
              <w:jc w:val="right"/>
              <w:ind w:right="9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40" w:type="dxa"/>
            <w:vAlign w:val="bottom"/>
          </w:tcPr>
          <w:p>
            <w:pPr>
              <w:jc w:val="right"/>
              <w:ind w:right="9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r>
      <w:tr>
        <w:trPr>
          <w:trHeight w:val="216"/>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5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14,525</w:t>
            </w: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sold 0.04 million shares of our common stock under SEPAs at an average price of $4.86 per share and raised $0.2 million in net proceeds during the subsequent events period.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includes "forward-looking statements" within the meaning of Section 27A of the Securities Act of 1933, as amended, and Section 21E of the Securities Exchange Act of 1934, as amended (the Exchange Act). All statements in this Quarterly Report on Form 10-Q other than statements of historical facts, including statements regarding our strategy, future operations, future financial position, future revenues, the achievement of milestones and receipt of future payments, projected costs, prospects, plans, intentions, expectations, clinical trial results, compliance with listing requirements, future macroeconomic conditions and objectives could be forward-looking statements. The words "anticipates," "believes," "could," "designed," "estimates," "expects," "goal," "intends," "may," "plans," "projects," "should," "will," "would" and similar expressions (including the negatives thereof) are intended to identify forward-looking statements, although not all forward-looking statements contain these identifying words.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We have based these forward-looking statements largely on our current assumptions, expectations, projections, intentions, objectives and/or beliefs about future events or occurrences and these forward-looking statements are subject to a number of risks, uncertainties and assumptions, including, but not limited to, those described in Part II, Item 1A, "Risk Factors" in this Quarterly Report on Form 10-Q and our other filings with the Securities and Exchange Commission.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The timing of certain events and circumstances and known and unknown risks and uncertainties could cause actual results to differ materially from those anticipated or implied in the forward-looking statements that we make. Therefore, you should not place undue reliance on our forward-looking statements. Our forward-looking statements in this Quarterly Report on Form 10-Q are based on current information and we do not assume any obligation to update any forward-looking statements except as required by the federal securities laws.</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Management’s Discussion and Analysis of Financial Condition and Results of Operations (this “MD&amp;A”) together with the unaudited condensed consolidated financial statements and the related notes thereto included in this Quarterly Report on Form 10-Q. This MD&amp;A contains forward-looking statements that are subject to risks and uncertainties, such as those set forth in the sections of this Quarterly Report on Form 10-Q, "Risk Factors" and elsewhere. As a result, our actual results may differ materially from those anticipated in these forward-looking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2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We are a clinical-stage, research and development biotechnology company focused on developing novel immunotherapy candidates for the treatment of different forms of cancer. We have developed two versatile and enabling platform technologies for rational design of precision immune modulatory drugs and have two clinical candidates and six preclinical candidates currently in development. Clinical candidate mipletamig is a CD123xCD3 T cell engager currently being clinically evaluated in the RAINIER trial, part one of a Phase 1b/2 program initiated in August 2024 for the treatment of frontline acute myelogenous leukemia (AML) in combination with standard of care venetoclax + azacitidine. Clinical candidate ALG.APV-527 targets 4-1BB (co-stimulatory receptor) and 5T4 (tumor antigen). The compound is designed to reactivate antigen-primed T cells to specifically kill tumor cells and is currently being evaluated for the treatment of multiple solid tumor types.</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Along with our clinical candidates, the preclinical candidates, APVO603 and APVO711, were also developed using our ADAPTIR® protein technology platform. Our preclinical candidates APVO442, APVO455, APVO451 and APVO452 were developed using our ADAPTIR-FLEX® protein technology platform. We wholly own both platforms which enable us to efficiently design and create new molecules, supporting our pipeline growth. Based on the safety and tolerability results from mipletamig, which utilizes a unique CRIS-7 binding domain, the Company has built out its CD3 engaging portfolio to five molecules with a low cytokine release profile.</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Our ADAPTIR and ADAPTIR-FLEX platforms are designed to generate monospecific and multi-specific antibody candidates capable of enhancing the human immune system against cancer cells. Both are modular platforms, which give us the flexibility to potentially generate immunotherapeutic candidates with a variety of mechanisms of action. This flexibility in design allows us to generate novel therapeutic candidates that may provide effective strategies against difficult to treat, as well as advanced forms of cancer. We have successfully designed and constructed numerous clinical-stage product candidates based on our ADAPTIR platform, which is designed to generate monospecific and bispecific immunotherapeutic proteins that specifically bind to one or more targets. This allows for the development of therapeutic molecules which may have structural and functional advantages over monoclonal antibodies. We have also developed a preclinical candidate based on the ADAPTIR-FLEX platform which is advancing in our pipeline. The structural differences of ADAPTIR and ADAPTIR FLEX molecules over monoclonal antibodies allow for the development of immunotherapies that are designed to engage immune effector cells and disease targets to produce signaling responses that modulate the immune system to kill tumor cells. We believe we are skilled at candidate generation, validation, and subsequent preclinical and clinical development.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RAINIER trial on track for completion and Phase 2 dose selection by year end.</w:t>
      </w:r>
    </w:p>
    <w:p>
      <w:pPr>
        <w:spacing w:after="0" w:line="121" w:lineRule="exact"/>
        <w:rPr>
          <w:rFonts w:ascii="Times New Roman" w:cs="Times New Roman" w:eastAsia="Times New Roman" w:hAnsi="Times New Roman"/>
          <w:sz w:val="18"/>
          <w:szCs w:val="18"/>
          <w:color w:val="auto"/>
        </w:rPr>
      </w:pPr>
    </w:p>
    <w:p>
      <w:pPr>
        <w:ind w:left="154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oMipletamig continues to generate strong data in frontline acute myeloid leukemia (AML) in combination with venetoclax + azacitidine. Across 31 evaluable patients (includes data through RAINIER Cohort 5, plus 4 patients from the previously completed dose expansion trial), the data has demonstrated continued efficacy, including:</w:t>
      </w:r>
    </w:p>
    <w:p>
      <w:pPr>
        <w:spacing w:after="0" w:line="70"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b w:val="1"/>
          <w:bCs w:val="1"/>
          <w:color w:val="auto"/>
        </w:rPr>
        <w:t>87% clinical benefit rate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demonstrates broad anti-leukemia activity and blast reduction across response categories</w:t>
      </w:r>
    </w:p>
    <w:p>
      <w:pPr>
        <w:spacing w:after="0" w:line="90"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b w:val="1"/>
          <w:bCs w:val="1"/>
          <w:color w:val="auto"/>
        </w:rPr>
        <w:t xml:space="preserve">81% CR or CRi (remission), </w:t>
      </w:r>
      <w:r>
        <w:rPr>
          <w:rFonts w:ascii="Times New Roman" w:cs="Times New Roman" w:eastAsia="Times New Roman" w:hAnsi="Times New Roman"/>
          <w:sz w:val="17"/>
          <w:szCs w:val="17"/>
          <w:color w:val="auto"/>
        </w:rPr>
        <w:t>compared to 66.4% in the Phase 3 VIALE-A trial</w:t>
      </w:r>
      <w:r>
        <w:rPr>
          <w:rFonts w:ascii="Times New Roman" w:cs="Times New Roman" w:eastAsia="Times New Roman" w:hAnsi="Times New Roman"/>
          <w:sz w:val="23"/>
          <w:szCs w:val="23"/>
          <w:color w:val="auto"/>
          <w:vertAlign w:val="superscript"/>
        </w:rPr>
        <w:t>**</w:t>
      </w:r>
    </w:p>
    <w:p>
      <w:pPr>
        <w:spacing w:after="0" w:line="8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b w:val="1"/>
          <w:bCs w:val="1"/>
          <w:color w:val="auto"/>
        </w:rPr>
        <w:t xml:space="preserve">65% achieved CR (complete remission), </w:t>
      </w:r>
      <w:r>
        <w:rPr>
          <w:rFonts w:ascii="Times New Roman" w:cs="Times New Roman" w:eastAsia="Times New Roman" w:hAnsi="Times New Roman"/>
          <w:sz w:val="17"/>
          <w:szCs w:val="17"/>
          <w:color w:val="auto"/>
        </w:rPr>
        <w:t>compared to 37% in the Phase 3 VIALE-A trial</w:t>
      </w:r>
      <w:r>
        <w:rPr>
          <w:rFonts w:ascii="Times New Roman" w:cs="Times New Roman" w:eastAsia="Times New Roman" w:hAnsi="Times New Roman"/>
          <w:sz w:val="23"/>
          <w:szCs w:val="23"/>
          <w:color w:val="auto"/>
          <w:vertAlign w:val="superscript"/>
        </w:rPr>
        <w:t>**</w:t>
      </w:r>
    </w:p>
    <w:p>
      <w:pPr>
        <w:spacing w:after="0" w:line="79"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oNo cytokine release syndrome (CRS), a common and often dose-limiting toxicity associated with similar therapies, has been observed in frontline patients to date</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data also show that 52% of patients who achieved CR/CRi had blast reductions that reached the important measurable residual disease-negative level, a result that is typically associated with stronger, more durable responses.</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the dataset continues to expand, efficacy and safety outcomes continue to deliver favorable results, further supporting mipletamig’s potential in the frontline setting.</w:t>
      </w:r>
    </w:p>
    <w:p>
      <w:pPr>
        <w:spacing w:after="0" w:line="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Clinical benefit rate: complete remission (</w:t>
      </w:r>
      <w:r>
        <w:rPr>
          <w:rFonts w:ascii="Times New Roman" w:cs="Times New Roman" w:eastAsia="Times New Roman" w:hAnsi="Times New Roman"/>
          <w:sz w:val="18"/>
          <w:szCs w:val="18"/>
          <w:b w:val="1"/>
          <w:bCs w:val="1"/>
          <w:color w:val="auto"/>
        </w:rPr>
        <w:t>CR</w:t>
      </w:r>
      <w:r>
        <w:rPr>
          <w:rFonts w:ascii="Times New Roman" w:cs="Times New Roman" w:eastAsia="Times New Roman" w:hAnsi="Times New Roman"/>
          <w:sz w:val="18"/>
          <w:szCs w:val="18"/>
          <w:color w:val="auto"/>
        </w:rPr>
        <w:t>), complete remission with incomplete hematologic recovery (</w:t>
      </w:r>
      <w:r>
        <w:rPr>
          <w:rFonts w:ascii="Times New Roman" w:cs="Times New Roman" w:eastAsia="Times New Roman" w:hAnsi="Times New Roman"/>
          <w:sz w:val="18"/>
          <w:szCs w:val="18"/>
          <w:b w:val="1"/>
          <w:bCs w:val="1"/>
          <w:color w:val="auto"/>
        </w:rPr>
        <w:t>CRi</w:t>
      </w:r>
      <w:r>
        <w:rPr>
          <w:rFonts w:ascii="Times New Roman" w:cs="Times New Roman" w:eastAsia="Times New Roman" w:hAnsi="Times New Roman"/>
          <w:sz w:val="18"/>
          <w:szCs w:val="18"/>
          <w:color w:val="auto"/>
        </w:rPr>
        <w:t>), and partial remission (</w:t>
      </w:r>
      <w:r>
        <w:rPr>
          <w:rFonts w:ascii="Times New Roman" w:cs="Times New Roman" w:eastAsia="Times New Roman" w:hAnsi="Times New Roman"/>
          <w:sz w:val="18"/>
          <w:szCs w:val="18"/>
          <w:b w:val="1"/>
          <w:bCs w:val="1"/>
          <w:color w:val="auto"/>
        </w:rPr>
        <w:t>PR</w:t>
      </w:r>
      <w:r>
        <w:rPr>
          <w:rFonts w:ascii="Times New Roman" w:cs="Times New Roman" w:eastAsia="Times New Roman" w:hAnsi="Times New Roman"/>
          <w:sz w:val="18"/>
          <w:szCs w:val="18"/>
          <w:color w:val="auto"/>
        </w:rPr>
        <w:t>).</w:t>
      </w:r>
    </w:p>
    <w:p>
      <w:pPr>
        <w:ind w:firstLine="509"/>
        <w:spacing w:after="0" w:line="221" w:lineRule="auto"/>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Phase 3 VIALE-A trial evaluating venetoclax plus azacitidine in frontline intent-to-treat AML patients who were ineligible for intensive induction chemotherapy, the reported composite CR/CRi rate was 66.4%, and the CR rate was 37% (DiNardo et al., New England Journal of Medicine, 2020).</w:t>
      </w:r>
    </w:p>
    <w:p>
      <w:pPr>
        <w:spacing w:after="0" w:line="86" w:lineRule="exact"/>
        <w:rPr>
          <w:sz w:val="20"/>
          <w:szCs w:val="20"/>
          <w:color w:val="auto"/>
        </w:rPr>
      </w:pPr>
    </w:p>
    <w:p>
      <w:pPr>
        <w:jc w:val="both"/>
        <w:ind w:left="1020" w:hanging="503"/>
        <w:spacing w:after="0" w:line="26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Completed Leadership Transitions; Company poised for a Defining Year: </w:t>
      </w:r>
      <w:r>
        <w:rPr>
          <w:rFonts w:ascii="Times New Roman" w:cs="Times New Roman" w:eastAsia="Times New Roman" w:hAnsi="Times New Roman"/>
          <w:sz w:val="18"/>
          <w:szCs w:val="18"/>
          <w:color w:val="auto"/>
        </w:rPr>
        <w:t>Aptevo entered 2026 with purposeful momentum, highlighted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planned executive leadership transition designed to support the Company’s next phase of growth. Jeff Lamothe was appointed President and Chief Executive Officer, while Marvin White transitioned to Executive Chair. The move reflects continuity in strategy while positioning the organization for focused execution across clinical development, capital strategy, and long-term value creation.</w:t>
      </w:r>
    </w:p>
    <w:p>
      <w:pPr>
        <w:spacing w:after="0" w:line="68"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Q1 2026 Cash Position: </w:t>
      </w:r>
      <w:r>
        <w:rPr>
          <w:rFonts w:ascii="Times New Roman" w:cs="Times New Roman" w:eastAsia="Times New Roman" w:hAnsi="Times New Roman"/>
          <w:sz w:val="18"/>
          <w:szCs w:val="18"/>
          <w:color w:val="auto"/>
        </w:rPr>
        <w:t>Aptevo had cash and cash equivalents totaling $14.5 million as of March 31, 2026. During the first quarter of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raised $0.9 million, net, under the company’s Standby Equity Purchase Agreements (SEPAs) with Yorkville.</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6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Enhanced Financial Flexibility Supports Upcoming Catalysts: </w:t>
      </w:r>
      <w:r>
        <w:rPr>
          <w:rFonts w:ascii="Times New Roman" w:cs="Times New Roman" w:eastAsia="Times New Roman" w:hAnsi="Times New Roman"/>
          <w:sz w:val="18"/>
          <w:szCs w:val="18"/>
          <w:color w:val="auto"/>
        </w:rPr>
        <w:t>During the quarter, Aptevo secured a $60 million SEPA,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meaningful access to capital and extending financial flexibility as the company advances toward planned milestones. Management believes the facility better positions Aptevo to execute strategically, support ongoing development programs, and approach future opportunities from a position of greater strength.</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and 2025</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as incurred. These expenses relate primarily to conducting non-clinical studies and clinical trials, fees to professional service providers for analytical testing, consulting costs,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 Our research and development expenses include:</w:t>
      </w:r>
    </w:p>
    <w:p>
      <w:pPr>
        <w:spacing w:after="0" w:line="72" w:lineRule="exact"/>
        <w:rPr>
          <w:sz w:val="20"/>
          <w:szCs w:val="20"/>
          <w:color w:val="auto"/>
        </w:rPr>
      </w:pPr>
    </w:p>
    <w:p>
      <w:pPr>
        <w:ind w:left="1800" w:hanging="384"/>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salaries and related expenses, including stock-based compensation and benefits for our employees involved in our drug discovery and development activities;</w:t>
      </w:r>
    </w:p>
    <w:p>
      <w:pPr>
        <w:spacing w:after="0" w:line="53" w:lineRule="exact"/>
        <w:rPr>
          <w:rFonts w:ascii="Times New Roman" w:cs="Times New Roman" w:eastAsia="Times New Roman" w:hAnsi="Times New Roman"/>
          <w:sz w:val="18"/>
          <w:szCs w:val="18"/>
          <w:color w:val="auto"/>
        </w:rPr>
      </w:pPr>
    </w:p>
    <w:p>
      <w:pPr>
        <w:ind w:left="1800" w:hanging="384"/>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costs related to our clinical and preclinical programs;</w:t>
      </w:r>
    </w:p>
    <w:p>
      <w:pPr>
        <w:spacing w:after="0" w:line="117" w:lineRule="exact"/>
        <w:rPr>
          <w:rFonts w:ascii="Times New Roman" w:cs="Times New Roman" w:eastAsia="Times New Roman" w:hAnsi="Times New Roman"/>
          <w:sz w:val="18"/>
          <w:szCs w:val="18"/>
          <w:color w:val="auto"/>
        </w:rPr>
      </w:pPr>
    </w:p>
    <w:p>
      <w:pPr>
        <w:ind w:left="1800" w:right="20" w:hanging="384"/>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 incurred under agreements with third-party contract research organizations (“CROs”) and investigative sites;</w:t>
      </w:r>
    </w:p>
    <w:p>
      <w:pPr>
        <w:spacing w:after="0" w:line="53" w:lineRule="exact"/>
        <w:rPr>
          <w:rFonts w:ascii="Times New Roman" w:cs="Times New Roman" w:eastAsia="Times New Roman" w:hAnsi="Times New Roman"/>
          <w:sz w:val="18"/>
          <w:szCs w:val="18"/>
          <w:color w:val="auto"/>
        </w:rPr>
      </w:pPr>
    </w:p>
    <w:p>
      <w:pPr>
        <w:ind w:left="1800" w:hanging="384"/>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shared costs incurred under the Collaboration Agreement with Alligator;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ind w:left="1800" w:hanging="384"/>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material expense for third-party manufacturing; and</w:t>
      </w:r>
    </w:p>
    <w:p>
      <w:pPr>
        <w:spacing w:after="0" w:line="117" w:lineRule="exact"/>
        <w:rPr>
          <w:rFonts w:ascii="Times New Roman" w:cs="Times New Roman" w:eastAsia="Times New Roman" w:hAnsi="Times New Roman"/>
          <w:sz w:val="18"/>
          <w:szCs w:val="18"/>
          <w:color w:val="auto"/>
        </w:rPr>
      </w:pPr>
    </w:p>
    <w:p>
      <w:pPr>
        <w:ind w:left="1800" w:hanging="384"/>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overhead costs such as rent, utilities and depreciation.</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We may experience interruption of key clinical trial activities, such as site initiation, patient enrollment and clinical trial site monitoring, and key non-clinical activities. While a number of our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research and development expenses by program for the three months ended March 31, 2026 and 2025 are shown in the following table:</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7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6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programs:</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Mipletamig</w:t>
            </w:r>
          </w:p>
        </w:tc>
        <w:tc>
          <w:tcPr>
            <w:tcW w:w="5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7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ALG.APV-527</w:t>
            </w: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clinical programs</w:t>
            </w:r>
          </w:p>
        </w:tc>
        <w:tc>
          <w:tcPr>
            <w:tcW w:w="5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7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Preclinical program, general research and discovery</w:t>
            </w:r>
          </w:p>
        </w:tc>
        <w:tc>
          <w:tcPr>
            <w:tcW w:w="18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-590550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-590550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-24765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-7620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$0.3 million, from $3.6 million for the three months ended March 31, 2025 to $3.9 million for the three months ended March 31, 2026. The increase was primarily due to increased mipletamig and employee costs. This was offset by lower expenses for ALG.APV-527 as we concluded the dose escalation trial.</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General and administrative expenses was $2.8 million for each of the three months ended March 31, 2026 and 2025.</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Other Income, Net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income from our cash equivalents and short term rental income. Other income, net was $0.1 million for each of the three months ended March 31, 2026 and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our unaudited condensed consolidated financial statements in conformity with accounting principles generally accepted in the United States (“GAAP”) requires management to make estimates and assumptions that affect the amounts reported in the financial statements and accompanying notes. We base our estimates on historical experience and on various other factors. Although we believe that our judgments and estimates are appropriate, actual results may differ materially from our estimates and changes in these estimates are recorded when known. An accounting policy is considered critical if it is important to a company’s financial condition and results of operations and if it requires the exercise of significant judgment and the use of estimates on the part of management in its application.</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1 for discussion of our accounting policies, significant judgments, and estimates.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three months ended March 31, 2026 and 2025</w:t>
      </w:r>
      <w:r>
        <w:rPr>
          <w:rFonts w:ascii="Times New Roman" w:cs="Times New Roman" w:eastAsia="Times New Roman" w:hAnsi="Times New Roman"/>
          <w:sz w:val="18"/>
          <w:szCs w:val="18"/>
          <w:color w:val="231F20"/>
        </w:rPr>
        <w:t>:</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68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(7,965)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(6,575)</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(7,094)</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(6,575)</w:t>
            </w:r>
          </w:p>
        </w:tc>
        <w:tc>
          <w:tcPr>
            <w:tcW w:w="0" w:type="dxa"/>
            <w:vAlign w:val="bottom"/>
          </w:tcPr>
          <w:p>
            <w:pPr>
              <w:spacing w:after="0"/>
              <w:rPr>
                <w:sz w:val="1"/>
                <w:szCs w:val="1"/>
                <w:color w:val="auto"/>
              </w:rPr>
            </w:pPr>
          </w:p>
        </w:tc>
      </w:tr>
      <w:tr>
        <w:trPr>
          <w:trHeight w:val="20"/>
        </w:trPr>
        <w:tc>
          <w:tcPr>
            <w:tcW w:w="68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$8.0 million for the three months ended March 31, 2026 was primarily due to our net loss of $6.7 million for the period and changes in working capital accounts. Net cash used in operating activities of $6.6 million for the three months ended March 31, 2025 was primarily due to our net loss of $6.4 million for the period and changes in working capital accounts.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$0.9 million for the three months ended March 31, 2026 was primarily due to the issuance of common stock pursuant to the SEPAs. Net cash provided by financing activities was $0 million for the three months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Standby Equity Purchase Agreement</w:t>
      </w:r>
    </w:p>
    <w:p>
      <w:pPr>
        <w:spacing w:after="0" w:line="335" w:lineRule="exact"/>
        <w:rPr>
          <w:sz w:val="20"/>
          <w:szCs w:val="20"/>
          <w:color w:val="auto"/>
        </w:rPr>
      </w:pPr>
    </w:p>
    <w:p>
      <w:pPr>
        <w:jc w:val="both"/>
        <w:ind w:firstLine="821"/>
        <w:spacing w:after="0" w:line="253" w:lineRule="auto"/>
        <w:rPr>
          <w:sz w:val="20"/>
          <w:szCs w:val="20"/>
          <w:color w:val="auto"/>
        </w:rPr>
      </w:pPr>
      <w:r>
        <w:rPr>
          <w:rFonts w:ascii="Times New Roman" w:cs="Times New Roman" w:eastAsia="Times New Roman" w:hAnsi="Times New Roman"/>
          <w:sz w:val="18"/>
          <w:szCs w:val="18"/>
          <w:color w:val="auto"/>
        </w:rPr>
        <w:t>On June 16, 2025, we entered into the First SEPA with Yorkville. Pursuant to the First SEPA, the Company has the right, but not the obligation, to issue and sell to Yorkville from time to time up to $25.0 million of the Company’s common stock during the 36 months following the execution of the First SEPA, subject to the restrictions and satisfaction of the conditions in the First SEPA. As consideration for Yorkville’s irrevocable commitment to purchase the shares of common stock up to the First Commitment Amount, the Company paid a structuring fee in the amount of $25,000 to Yorkville, and the Company has agreed to pay a commitment fee to Yorkville in an amount equal to 2.00% of the First Commitment Amount in five equal installments. Pursuant to the First SEPA, we will not sell shares of our common stock to Yorkville that would result in the beneficial ownership of Yorkville and its affiliates (on an aggregated basis) exceeding 9.99% of our then outstanding common stock. For the three months ended March 31, 2026, the Company issued 0.1 million shares of common stock to Yorkville under the First SEPA for aggregate gross proceeds of $0.7 million. As March 31, 2026, the remaining availability under the First SEPA was $7.9 million. We filed a Registration Statement on Form S-1 for 6.9 million shares under the First SEPA on October 1, 2025. A subsequent Form S-1 may be needed to access additional shares under First SEPA.</w:t>
      </w:r>
    </w:p>
    <w:p>
      <w:pPr>
        <w:spacing w:after="0" w:line="11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January 8, 2026, we entered into the Second SEPA with Yorkville, pursuant to which the Company has the right, but not the obligation, to issue and sell to Yorkville from time to time up to $60.0 million of our common stock during the 36 months following the execution of the Second SEPA, subject to the restrictions and satisfaction of the conditions in the Second SEPA. The Company paid a structuring fee in the amount of $25,000 to Yorkville, and the Company has agreed to pay a commitment fee to Yorkville in an amount equal to 2.00% of the Second Commitment Amount in five equal installments. The Company has the option to pay the fourth and fifth installments in either cash or shares of common stock. Pursuant to the Second SEPA, we will not sell shares of our common stock to Yorkville that would result in the beneficial ownership of Yorkville and its affiliates (on an aggregated basis) exceeding 9.99% of our then outstanding common stock. For the three months ended March 31, 2026, the Company issued 0.1 million shares of common stock to Yorkville under the Second SEPA for aggregate gross proceeds of $0.6 million. As of March 31, 2026, the remaining availability under the Second SEPA was $59.4 million. We filed a Registration Statement on Form S-1 for 7.1 million shares under the Second SEPA agreement on January 28, 2026, which represents approximately $34.3 million based on the closing price as of May 11, 2026.</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At The Market Offering Agreement</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April 28, 2025, we entered the ATM Agreement with Roth, pursuant to which the Company may offer and sell up to $50 million of its common stock from time to time through Roth. The compensation to Roth for the shares sold pursuant to the ATM Agreement will be an amount equal to 3.0% of the gross sales price of the shares sold under the ATM Agreement. The sale of such shares of common stock by Roth will be effected under the Company’s existing shelf Registration Statement on Form S-3, which was declared effective on February 26, 2025. We did not sell any shares under the ATM Agreement during the three months ended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March 31, 2026. There is currently no remaining availability under the ATM Agreement due to the limitations of General Instruction I.B.6. Additional capacity is expected to become available after October 2026.</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Registration Statement</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February 14, 2025, we filed a Registration Statement on Form S-3 covering the offering, issuance, and sale up to $100 million in common stock, preferred stock, and various series of debt securities and/or warrants to purchase any of such securities, which included the unsold securities from the prior registration statement. On June 20, 2025, we filed the latest amendment to the prospectus supplement to the Registration Statement on Form S-3 filed on February 14, 2025 pursuant to General Instruction I.B.6 of Form S-3, which updates the amount of shares that we are eligible to sell under the ATM Agreement to $8.0 million. So long as the aggregate market value of our common stock held by non-affiliates is less than $75 million, we will not sell shares under the ATM Agreement with a value of more than one-third of the aggregate market value of our common stock held by non-affiliates in any 12-month period due to the limitations of General Instruction I.B.6 of Form S-3 and the current public float of our common stock. If our public float increases such that we may sell additional amounts under the ATM Agreement and the prospectus, we will file another amendment to the prospectus supplement prior to making additional sales. The limitations of General Instruction I.B.6 do not apply to sales of our shares under the SEPAs with Yorkville as the sales of such shares were registered under a separate registration statement on Form S-1.</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Common Warrants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an aggregate of 676,968 common warrants outstanding with exercise prices ranging from $11.70 to $363,369.60 per share. For additional information on our currently outstanding warrants, see the table below.</w:t>
      </w:r>
    </w:p>
    <w:p>
      <w:pPr>
        <w:spacing w:after="0" w:line="200" w:lineRule="exact"/>
        <w:rPr>
          <w:sz w:val="20"/>
          <w:szCs w:val="20"/>
          <w:color w:val="auto"/>
        </w:rPr>
      </w:pPr>
    </w:p>
    <w:p>
      <w:pPr>
        <w:spacing w:after="0" w:line="34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2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00" w:type="dxa"/>
            <w:vAlign w:val="bottom"/>
          </w:tcPr>
          <w:p>
            <w:pPr>
              <w:spacing w:after="0"/>
              <w:rPr>
                <w:sz w:val="13"/>
                <w:szCs w:val="13"/>
                <w:color w:val="auto"/>
              </w:rPr>
            </w:pPr>
          </w:p>
        </w:tc>
        <w:tc>
          <w:tcPr>
            <w:tcW w:w="2240" w:type="dxa"/>
            <w:vAlign w:val="bottom"/>
            <w:vMerge w:val="restart"/>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Proceeds if Exercised</w:t>
            </w:r>
          </w:p>
        </w:tc>
        <w:tc>
          <w:tcPr>
            <w:tcW w:w="0" w:type="dxa"/>
            <w:vAlign w:val="bottom"/>
          </w:tcPr>
          <w:p>
            <w:pPr>
              <w:spacing w:after="0"/>
              <w:rPr>
                <w:sz w:val="1"/>
                <w:szCs w:val="1"/>
                <w:color w:val="auto"/>
              </w:rPr>
            </w:pPr>
          </w:p>
        </w:tc>
      </w:tr>
      <w:tr>
        <w:trPr>
          <w:trHeight w:val="173"/>
        </w:trPr>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Common Warrants</w:t>
            </w:r>
          </w:p>
        </w:tc>
        <w:tc>
          <w:tcPr>
            <w:tcW w:w="12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5"/>
                <w:szCs w:val="15"/>
                <w:color w:val="auto"/>
              </w:rPr>
            </w:pPr>
          </w:p>
        </w:tc>
        <w:tc>
          <w:tcPr>
            <w:tcW w:w="2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380" w:type="dxa"/>
            <w:vAlign w:val="bottom"/>
            <w:vMerge w:val="continue"/>
          </w:tcPr>
          <w:p>
            <w:pPr>
              <w:spacing w:after="0"/>
              <w:rPr>
                <w:sz w:val="18"/>
                <w:szCs w:val="18"/>
                <w:color w:val="auto"/>
              </w:rPr>
            </w:pPr>
          </w:p>
        </w:tc>
        <w:tc>
          <w:tcPr>
            <w:tcW w:w="4000" w:type="dxa"/>
            <w:vAlign w:val="bottom"/>
            <w:vMerge w:val="continue"/>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$136,555.20 - 363,369.60</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2024</w:t>
            </w:r>
          </w:p>
        </w:tc>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2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428.40 - 17,982.00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2025</w:t>
            </w: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Common Warrants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9,812</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2025</w:t>
            </w:r>
          </w:p>
        </w:tc>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June Common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662,508</w:t>
            </w:r>
          </w:p>
        </w:tc>
        <w:tc>
          <w:tcPr>
            <w:tcW w:w="2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IXINITY Milestone Payments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February 28, 2020, Aptevo entered into the LLC Purchase Agreement with Medexus, pursuant to which we sold all of the issued and outstanding limited liability company interests of Aptevo BioTherapeutics LLC, a wholly owned subsidiary of Aptevo. On March 29, 2023, we entered into and closed a Purchase Agreement with XOMA pursuant to which we sold to XOMA our right, title, and interest to all future deferred payments from Medexus and a portion of potential milestones. As consideration, we received $9.6 million at closing from XOMA and an additional $0.05 million post-closing payment. Aptevo continues to be eligible to receive up to $5.8 million in milestone payments from Medexus upon achievement of certain regulatory and IXINITY net sales threshold. These milestone payment opportunities must be achieved by February 2035, after which any unachieved milestones will expire.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financed our operations to date primarily through royalty and purchase agreements with various partners, sale of business products and segments, public offerings of our common stock, loan proceeds, milestone payments, research and development funding from strategic partners, revenue generated from our previously owned commercial products, and funds received at the date of our spin-off from Emergent. We had cash and cash equivalents of $14.5 million and an accumulated deficit of $281.9 million as of March 31, 2026.</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months ended March 31, 2026, net cash used in our operating activities was $8.0 million.</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future success is dependent on our ability to fund and develop our product candidates. We anticipate that we will continue to incur significant operating losses for the next several years as we incur expenses to continue to execute on our development strategy to advance our preclinical and clinical stage assets. We will not generate revenues from our development stage product candidates unless and/or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to complete the development activities required for regulatory approval of such product candidates. We will require substantial additional funds to continue our development programs and to fulfill our planned operating goals.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experience delays in opportunities to partner our product candidates, due to financial and other impacts on potential partners. Additionally, we may experience potential impacts on our future milestones from Medexus due to effects of macroeconomic impacts, including, but not limited to, bank failure, and the rising and fluctuating inflation, which may impact Medexus’ ability to continue to successfully commercialize the IXINITY businesses.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are numerous risks and uncertainties associated with research, development, and commercialization of pharmaceutical products. Accordingly, our future funding requirements may vary from our current expectations and will depend on many factors, including, but not limited to:</w:t>
      </w:r>
    </w:p>
    <w:p>
      <w:pPr>
        <w:spacing w:after="0" w:line="54" w:lineRule="exact"/>
        <w:rPr>
          <w:sz w:val="20"/>
          <w:szCs w:val="20"/>
          <w:color w:val="auto"/>
        </w:rPr>
      </w:pPr>
    </w:p>
    <w:p>
      <w:pPr>
        <w:ind w:left="1260" w:hanging="368"/>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when needed or on acceptable terms;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profitability given our historical losses;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Nasdaq’s continued listing requirements;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key personnel;</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completing our clinical trials, and obtaining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clearance to commence clinical trials for product candidates;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17" w:lineRule="exact"/>
        <w:rPr>
          <w:rFonts w:ascii="Times New Roman" w:cs="Times New Roman" w:eastAsia="Times New Roman" w:hAnsi="Times New Roman"/>
          <w:sz w:val="18"/>
          <w:szCs w:val="18"/>
          <w:color w:val="auto"/>
        </w:rPr>
      </w:pPr>
    </w:p>
    <w:p>
      <w:pPr>
        <w:jc w:val="both"/>
        <w:ind w:left="1260" w:hanging="368"/>
        <w:spacing w:after="0" w:line="266" w:lineRule="auto"/>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conditions, including rising and fluctuating inflation and supply chain constraints as well as political events such as the U.S. federal government shutdown, evolving healthcare policies, ongoing conflicts in Europe and the Middle East and military actions;</w:t>
      </w:r>
    </w:p>
    <w:p>
      <w:pPr>
        <w:spacing w:after="0" w:line="6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our ADAPTIR or ADAPTIR-FLEX platforms;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current and planned preclinical studies and clinical trials;</w:t>
      </w:r>
    </w:p>
    <w:p>
      <w:pPr>
        <w:spacing w:after="0" w:line="117"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and of conducting preclinical and clinical trials, including whether clinical trial results will be consistent with the past data;</w:t>
      </w:r>
    </w:p>
    <w:p>
      <w:pPr>
        <w:spacing w:after="0" w:line="53"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effectively conduct our clinical and non-clinical trials, and to effectively carry out their contractual duties, comply with regulatory requirements or meet expected deadlines;</w:t>
      </w:r>
    </w:p>
    <w:p>
      <w:pPr>
        <w:spacing w:after="0" w:line="53"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our product candidates are approved for sale, including marketing, sales, and distribution costs; and</w:t>
      </w:r>
    </w:p>
    <w:p>
      <w:pPr>
        <w:spacing w:after="0" w:line="5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any milestone payments from Medexus with respect to IXINITY; and</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are unable to raise substantial additional capital in the next year, whether on terms that are acceptable to us or at all, then we may be required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99" w:lineRule="exact"/>
        <w:rPr>
          <w:sz w:val="20"/>
          <w:szCs w:val="20"/>
          <w:color w:val="auto"/>
        </w:rPr>
      </w:pPr>
    </w:p>
    <w:p>
      <w:pPr>
        <w:ind w:left="1260" w:hanging="368"/>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clinical trials or other development activities for one or more of our product candidates; and/or,</w:t>
      </w:r>
    </w:p>
    <w:p>
      <w:pPr>
        <w:spacing w:after="0" w:line="117" w:lineRule="exact"/>
        <w:rPr>
          <w:rFonts w:ascii="Times New Roman" w:cs="Times New Roman" w:eastAsia="Times New Roman" w:hAnsi="Times New Roman"/>
          <w:sz w:val="18"/>
          <w:szCs w:val="18"/>
          <w:color w:val="auto"/>
        </w:rPr>
      </w:pPr>
    </w:p>
    <w:p>
      <w:pPr>
        <w:ind w:left="1260" w:right="20" w:hanging="368"/>
        <w:spacing w:after="0" w:line="282" w:lineRule="auto"/>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establishment of other activities that may be necessary to commercialize our product candidates, if approved.</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sale of additional equity or convertible debt securities may result in additional dilution to our stockholders. If we raise additional funds through the issuance of debt securities or preferred stock or through credit facilities, these securities and/or the loans under credit facilities could provide for rights senior to those of our common stock and could contain covenants that would restrict our operations. Additional funds may not be available when we need them, on terms that are acceptable to us, or at all. We also expect to seek additional funds through arrangements with collaborators, licensees or other third parties. These arrangements would generally require us to relinquish or encumber rights to some of our technologies or drug candidates, and we may not be able to enter into such arrangements on acceptable terms, if at all. Due to the macroeconomic factors, we may experience delays in clinical trials and non-clinical work, and opportunities to partner our product candidates, due to financial and other impacts on potential partners.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an operating lease related to our office and laboratory space in Seattle, Washington. This lease was amended in March 2019 to extend the term of the amended lease through April 2030 and provided two options to extend the lease term, each by five years, as well as a one-time option to terminate the lease in April 2023, with nine months’ notice, or by July 2022. On May 26, 2022, we further amended our office and laboratory lease to remove the one-time termination option in April 2023. In exchange for removing the termination option, we received six months of free rent. As a result, we recorded an additional $4.4 million of lease liability and right-of-use asset on the consolidated balance sheet in May 2022.</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a non-exclusive Commercial Platform License Agreement with OMT ("OMT License Agreement") for certain transgenic rodents of OMT's OmniAb platform. Our OMT License Agreement obligates us to make milestone and royalty payments upon achievement of certain regulatory approvals and commercialization of our product candidates. Mipletamig and APVO603 are the product candidates currently subject to this agreement. Pursuant to our agreement, we are required to make a $2.0 million milestone payment upon dosing the first patient in a Phase 2 clinical trial of mipletamig.</w:t>
      </w:r>
    </w:p>
    <w:p>
      <w:pPr>
        <w:spacing w:after="0" w:line="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principal commitments include obligations under vendor contracts to purchase research services and other purchase commitments with our vendors. 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the services to be provided.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there were no material changes to the information provided under Item 7A, Quantitative and Qualitative Disclosures About Market Risk in our Annual Report on Form 10-K for the year ended December 31, 2025 filed on March 26,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March 31, 2026,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as of March 31, 2026,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from time to time be named as a party to legal claims, actions and complaints, including matters involving employment claims, our intellectual property or other third-party claims. Our management believes that there are currently no claims or actions pending against us, the ultimate disposition of which could have a material adverse effect on our results of operations, financial condition or cash flows.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We are subject to significant risks and uncertainties that could impact the Company’s businesses, results of operations and financial condition, including by causing our actual results to differ materially from those projected in any forward-looking statements. Additional risks and uncertainties that are not currently known to the Company or management or that are not currently believed by the Company or management to be material may also harm the Company’s business, financial condition and results of operation. You should carefully consider the following risks and other information in this Quarterly Report on Form 10-Q in evaluating us and our common stock. These disclosures reflect our beliefs and opinions as to factors that could materially and adversely affect us and our securities in the future. References to past events are provided by way of example only and are not intended to be a complete listing or a representation as to whether or not such factors have occurred in the past or their likelihood of occurring in the future.</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material risks to our business, operations, and ownership of our common stock:</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may not be profitable in the future.</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and board of directors have concluded that a substantial doubt is deemed to exist concerning our ability to continue as a going concern.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and may be unable to raise capital when needed or on acceptable terms.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is dependent on our continued ability to attract, motivate and retain key personnel, and any failure to attract or retain key personnel may negatively affect our business.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commencement, site initiation, enrollment of patients or completion of our clinical trials, the time to reach critical trial data and receipt of any necessary regulatory approvals could be delayed.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success depends, in part, upon our ability to develop, receive regulatory approval for and commercialize our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establishing and maintaining collaborations that leverage our capabilities in pursuit of developing and commercializing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and will continue to face substantial competition and our failure to effectively compete may prevent us from achieving significant market penetration for our product candidates, if approved.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affected by macroeconomic conditions, including rising and fluctuating inflation, market volatility, bank failure, economic uncertainty, such as the impact from changing economic policies, tariffs and supply chain constraints as well as political events such as potential U.S. federal government shutdown, evolving healthcare policies, ongoing conflicts in Europe and the Middle East and military actions.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and further develop our ADAPTIR or ADAPTIR-FLEX platforms.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proprietary rights, our business could be harmed.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activist stockholders against us have been and could be disruptive and costly and may cause uncertainty about the strategic direction of our business.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current and planned preclinical studies and clinical trials may not satisfy the requirements of the FDA or non-U.S. regulatory authorities. Results from early-preclinical studies and clinical trials may not be predictive of results from later-stage or other trials and interim or top line data may be subject to change or qualification based on the complete analysis of data.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and may continue to be volatile.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periodic litigation, which could result in losses or unexpected expenditure of time and resources.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income will depend, in part, on the ability of Medexus to successfully further develop, market and commercialize IXINITY, resulting in milestone payments to the Company by Medexus.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be profitable in the future.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experienced significant operating losses in the past and may not be profitable in the future. For the three months ended March 31, 2026, we had net loss of $6.7 million compared to $6.4 million for the same period in 2025. As of March 31, 2026, we had an accumulated deficit of $281.9 million. We expect to continue to incur annual net operating losses for the foreseeable future, and will require substantial resources over the next several years as we expand our efforts to discover, develop and commercialize immunotherapeutic candidates. Our future success and ability to attain profitability will depend upon our ability to develop and commercialize our product candidates.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and board of directors have concluded that a substantial doubt is deemed to exist concerning our ability to continue as a going concern</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Accounting Standards Update (ASU 2014-15) requires management to assess our ability to continue as a going concern for one year after the date the financial statements are issued. As further discussed in Note 1, Nature of Business and Significant Accounting Policies to our consolidated financial statements in this Form 10-Q, substantial doubt is deemed to exist about our ability to continue as a going concern for the one-year period from the date of issuance of these financial statements. Our financial statements do not include any adjustment relating to the recoverability and classification of recorded asset amounts or the amounts and classification of liabilities that might be necessary should we be unable to continue as a going concern. Our future ability to continue as a going concern will require us to generate positive cash flow from operations, obtain additional financing, enter into strategic alliances and/or sell assets in addition to our existing cash and cash equivalents and the funding provided by our Purchase Agreement with XOMA, potential future milestone payments from Medexus under our LLC Purchase Agreement (the LLC Purchase Agreement) and exercise of warrants. The reaction of investors to our conclusion of our potential inability to continue as a going concern in future may adversely affect our share price and our ability to raise new capital and enter into strategic alliances. If we become unable to continue as a going concern in the future, we may have to liquidate our assets and the values we receive for our assets in liquidation or dissolution could be significantly lower than the values reflected in our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and may be unable to raise capital when needed or on acceptable terms.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March 31, 2026, we had cash and cash equivalents in the amount of $14.5 million. We will require additional funding to continue our business including to support the ongoing clinical development of mipletamig and ALG.APV-527, develop additional products, support commercial marketing activities or otherwise provide additional financial flexibility we will require additional funding. In addition, on June 16, 2025, we entered into the First SEPA with Yorkville, pursuant to which we have the right, but not the obligation, to issue and sell to Yorkville from time to time up to $25.0 million during the 36 months following the execution of the First SEPA. On January 8, 2026, we entered into the Second SEPA with Yorkville, pursuant to which we have the right, but not the obligation, to issue and sell to Yorkville from time to time up to $60.0 million during the 36 months following the execution of the Second SEPA. We currently have an aggregate of $67.2 million capacity remaining under the SEPAs. If we are not able to secure adequate additional funding, we may need to make reductions in spending. This may include extending payment terms with suppliers, liquidating assets, and suspending or curtailing planned programs. We may also have to delay, reduce the scope of, suspend or eliminate one or more research and development programs. We may also be forced to grant rights to develop and market our product candidates that we would otherwise prefer to develop or market ourselves or we may be unable to take advantage of future business opportunities. A failure to raise the additional funding or to effectively implement cost reductions would harm our business, results of operations and future prospects. Our future capital requirements will depend on many factors, including:</w:t>
      </w:r>
    </w:p>
    <w:p>
      <w:pPr>
        <w:spacing w:after="0" w:line="82"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attract, motivate and retain key personnel;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invest in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satisfy the payment obligations and covenants under any future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partnerships and/or collaborations that generate additional cash;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improvements to our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costs, timing, and other requirements to initiate and complete our Phase 1b/2 clinical trial for mipletamig and Phase 1 clinical trial of ALG.APV-527, as well as future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preparing, filing and prosecuting patent applications, obtaining, maintaining, enforcing and protecting our intellectual property rights and defending intellectual property-related claims;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the impact of inflation, cost of capital and the impact from the changes in economic policies and regulations, such as tariffs as well as political events such as a U.S. government shutdown, evolving healthcare policies, ongoing conflicts in Europe and the Middle East and military actions;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timing and receipt of any milestone payments under our agreements with Medexus with respect to the sales of IXINITY.</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changing circumstances, some of which may be beyond our control, such as macroeconomic conditions, could cause us to consume capital significantly faster than we currently anticipate, and we may need to seek additional funds sooner than planned.</w:t>
      </w:r>
    </w:p>
    <w:p>
      <w:pPr>
        <w:spacing w:after="0" w:line="5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cannot guarantee that future financing will be available in sufficient amounts, or on commercially reasonable terms, or at all. If our capital resources are insufficient to meet our future capital requirements, we will need to finance our cash needs through bank loans, public or private equity or debt offerings, collaboration and licensing arrangements, or other strategic transactions. Our ability to raise future capital on acceptable terms or at all will be impacted by the macroeconomic environment, including fluctuating interest rates, economic uncertainty and volatility in the capital market, changing economic policies such as tariffs, geopolitical tensions and political events, including the ongoing war between Ukraine and Russia, United States and Iran and any other military event that could evolve out of the current conflicts, reoccurrences of COVID-19 or other pandemics, or other future widespread public health epidemics, a U.S. federal government shutdown, evolving healthcare policies, or other factors that could also adversely impact our ability to access capital as and when needed or increase our costs in order to raise capital. Current capital market conditions, including the impact of inflation, have increased borrowing rates and can be expected to significantly increase our cost of capital as compared to prior periods. Public or bank debt financing, if available, may involve agreements that include covenants limiting or restricting our ability to take specific actions, such as incurring additional debt, making capital expenditures, pursuing acquisition opportunities, declaring dividends and limiting or restricting our ability to acquire, sell or license intellectual property rights and other operating restrictions that could adversely impact our ability to conduct our business.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 If financing is unavailable or lost, our business, results of operations, financial condition and financial prospects would be adversely affected and we could be forced to delay, reduce the scope of or eliminate many of our planned activities.</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Further, SEC regulations limit the amount of funds we can raise during any 12-month period pursuant to our shelf registration statement on Form S-</w:t>
      </w:r>
    </w:p>
    <w:p>
      <w:pPr>
        <w:spacing w:after="0" w:line="27" w:lineRule="exact"/>
        <w:rPr>
          <w:sz w:val="20"/>
          <w:szCs w:val="20"/>
          <w:color w:val="auto"/>
        </w:rPr>
      </w:pPr>
    </w:p>
    <w:p>
      <w:pPr>
        <w:jc w:val="both"/>
        <w:ind w:firstLine="8"/>
        <w:spacing w:after="0" w:line="252" w:lineRule="auto"/>
        <w:tabs>
          <w:tab w:leader="none" w:pos="2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20, 2025, we filed the latest amendment to the prospectus related to the Registration Statement on Form S-3 filed on February 14, 2025, pursuant to General Instruction I.B.6 of Form S-3, which updates the amount of shares that we are eligible to sell the ATM Agreement with Roth. So long as the aggregate market value of our common stock held by non-affiliates is less than $75 million, we will not sell shares under the ATM Agreement with a value of more than one-third of the aggregate market value of our common stock held by non-affiliates in any 12-month period due to the limitations of General Instruction I.B.6 of Form S-3 and the current public float of our common stock. There is currently no remaining availability under the ATM Agreement due to limitations of General Instruction I.B.6. Additional capacity is expected to become available after October 2026. If we are required to file a new registration statement on another form, we may incur additional costs and be subject to delays in raising capital due to review by the SEC staff.</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affected by macroeconomic conditions, including fluctuating inflation rates, interest rates, market volatility, economic uncertainty, and supply chain constraints as well as political events such as a U.S. federal government shutdown, evolving healthcare policies, ongoing conflicts in Europe and the Middle East and military actions.</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Various macroeconomic factors and political events have in the past and could adversely affect in the future our business and the results of our operations and financial condition, including changes in inflation, interest rates and overall economic conditions and uncertainties such as those resulting from the current and future conditions in the global financial markets. Recently, for instance, the current administration imposed and/or announced (and in some cases postponed) tariffs on imports from various countries and on certain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8"/>
          <w:szCs w:val="18"/>
          <w:color w:val="auto"/>
        </w:rPr>
        <w:t>products, which may lead to unpredictable economic consequences including inflation or trade wars. For example, inflation has negatively impacted the Company by increasing our labor costs through higher wages and operating costs. Supply chain constraints have led to higher inflation, which if sustained could have a negative impact on the Company's product development and operations. If inflation or other factors were to significantly increase our business costs, our ability to develop our current pipeline and new therapeutic products may be negatively affected. In addition, a potential U.S. federal government shutdown, evolving healthcare policies, ongoing conflicts in Europe and the Middle East and military actions may affect our ability to advance our clinical programs and to raise capital on favorable terms or at all. Interest rates, the liquidity of the credit markets and the volatility of the capital markets could also affect the operation of our business and our ability to raise capital on favorable terms, or at all, in order to fund our operations.</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susceptible to changes in the U.S. economy. The U.S. economy has been affected from time to time by economic downturns or recessions, supply chain constraints, rising and fluctuating inflation and interest rates, restricted credit, poor liquidity, reduced corporate profitability, volatility in credit, equity and foreign exchange markets, bankruptcies and overall uncertainty with respect to the economy.</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any further deterioration in the U.S. economy would likely affect the operation of our business and ability to raise capital. In addition, U.S. debt ceiling and budget deficit concerns have increased the possibility of additional credit-rating downgrades and economic slowdowns, or a recession in the United States. Although U.S. lawmakers passed legislation to raise the federal debt ceiling on multiple occasions, ratings agencies have lowered or threatened to lower the long-term sovereign credit rating on the United States. The impact of this or any further downgrades to the U.S. government’s sovereign credit rating or its perceived creditworthiness could adversely affect the U.S. and global financial markets and economic conditions. Similarly, these macroeconomic factors could affect the ability of our third-party suppliers and manufacturers to manufacture clinical trial materials for our product candidates.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of activist stockholders against us have been and could be disruptive and costly and may cause uncertainty about the strategic direction of our business.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Stockholders have in the past and may, from time to time, engage in proxy solicitations or advance stockholder proposals, or otherwise attempt to effect changes and assert influence on our Board and management. Activist campaigns that contest or conflict with our strategic direction or seek changes in the composition of our Board or management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and management, diverting their attention from the pursuit of our business strategy. Any perceived uncertainties as to our future direction and control, our ability to execute on our strategy, or changes to the composition of our Board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with a specific agenda, it may adversely affect our ability to effectively implement our business strategy and create value for our stockholders. We may choose to initiate, or may become subject to, litigation as a result of a proxy contest or matters arising from the proxy contest, which would serve as a further distraction to our Board and management and would require us to incur significant additional costs. In addition, actions such as those described above could cause significant fluctuations in our stock price based upon temporary or speculative market perceptions or other factors that do not necessarily reflect the underlying fundamentals and prospects of our business.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income will depend, in part, on the ability of Medexus to successfully further develop, market and commercialize IXINITY, resulting in milestone payments to the Company by Medexus.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February 28, 2020, we entered into the LLC Purchase Agreement with Medexus, pursuant to which we sold all of the issued and outstanding limited liability company interests of Aptevo BioTherapeutics, a subsidiary of Aptevo that wholly owns the IXINITY and related Hemophilia B business. We are entitled to receive future potential payments to the extent of the achievement of certain regulatory and commercial milestones and through deferred payments based on net sales of IXINITY. We no longer control the development, marketing, and commercialization of IXINITY and are dependent on Medexus to successfully do so. Although Medexus has agreed to use commercially reasonable efforts to commercialize IXINITY in the ordinary course of business in good faith, Medexus may not commit adequate resources to the further development, marketing, and commercialization of IXINITY, may experience financial difficulties, may face competition, or may prioritize other products or initiatives. Medexus’ ability to continue to successfully commercialize the IXINITY business may be affected, and we may experience potential impacts on our future milestone payments from Medexus due to the macroeconomic and geopolitical environment. The failure of Medexus to successfully market and commercialize IXINITY, including because of factors outside of Medexus’ control, could result in lower than expected milestone payments to us and negatively impact our future financial and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as a result of a variety of factors, including: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timing of any milestone payments with respect to sales of IXINITY by Medexus;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research and development and clinical activities as well as expenditures we may incur to acquire or develop additional technologies, products and product candidates.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Due to the macroeconomic and geopolitical environment, we may experience delays in opportunities to partner our product candidates, due to financial and other impacts on potential partners. Additionally, we may experience potential impacts on our future milestone payments from Medexus, which may impact Medexus' ability to continue to successfully commercialize the IXINITY businesses. These and other factors may have a material adverse effect on our business, results of operations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nature of our business exposes us to potential liability inherent in pharmaceutical products, including with respect to the testing of our product candidates in clinical trials and any product candidates that we successfully develop. Product liability claims might be made by patients in clinical trials, consumers, health care providers or pharmaceutical companies or others that sell any products that we successfully develop. These claims may be made even with respect to those products that are manufactured in licensed and regulated facilities or otherwise receive regulatory approval for study or commercial sale. We cannot predict the frequency, outcome or cost to defend any such claims.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cannot successfully defend ourselves against future claims that our product candidates caused injuries, we may incur substantial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merit or eventual outcome, product liability claims may result in:</w:t>
      </w:r>
    </w:p>
    <w:p>
      <w:pPr>
        <w:spacing w:after="0" w:line="99"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and/or 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or withdrawal of an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products that we may develop.</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 liability litigation or other proceeding, even if resolved in our favor, could be substantial. Uncertainties resulting from the initiation and continuation of product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any product candidates we successfully develop, withdrawal of clinical trial participants and potential termination of clinical trial sites or entire clinical programs, and could cause our stock price to fall.</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Jeffrey G. Lamothe, our Chief Medical Officer, Dr. Dirk Huebner, our Chief Financial Officer, Daphne Taylor, our General Counsel, SoYoung Kwon, or other key employees, our ability to implement our business strategy could be materially harmed.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Effective as of April 1, 2026, Marvin L. White transitioned to the role of Executive Chair of the Board, and Jeff Lamothe, previously the Company’s Chief Operating Officer, assumed the role of President and Chief Executive Officer of the Company. Our success will depend, in part, on the effectiveness of this transition. If we do not successfully manage this transition, it could be viewed negatively by our customers, employees, investors, and other third-party partners and could have an adverse impact on our business, results of operations, or our stock price.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face intense competition for qualified employees from biotechnology and 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If we cannot offer a competitive compensation package or otherwise attract and retain the qualified personnel necessary for the continued development of our business, we may not be able to maintain our operations or grow our business.</w:t>
      </w:r>
    </w:p>
    <w:p>
      <w:pPr>
        <w:spacing w:after="0" w:line="71"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completed a Section 382 study and have concluded that we experienced an "ownership change" as defined in Section 382 of the U.S. Internal Revenue Code of 1986, as amended (the “Code”), and thus the tax benefits of our pre-"ownership change" net operating loss carryforwards and certain other tax attributes will be subject to an annual limitation under Sections 382 and 383 of the Code.</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general, a corporation undergoes an "ownership change" under Section 382 of the Code if, among other things, the stockholders who own, directly or indirectly, 5% or more of the corporation’s stock (by value), or are otherwise treated as "5% stockholders" under Section 382 of the Code and the Treasury regulations promulgated thereunder, increase their aggregate percentage ownership (by value) of the corporation’s stock by more than 50 percentage points over the lowest percentage of stock owned by the 5% stockholders at any time during the applicable testing period, which is generally the rolling three-year period preceding the date of the potential ownership change testing event. Such potential ownership change testing events include changes involving a stockholder becoming a 5% stockholder or arising from a new issuance of capital stock or share repurchases by the corporation, subject to certain exceptions.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event of an "ownership change," Sections 382 and 383 of the Code impose an annual limitation on the amount of taxable income a corporation may offset with pre-change net operating loss carryforwards and certain other tax attributes. The annual limitation is generally equal to the value of the outstanding stock of the corporation immediately before the ownership change (excluding certain capital contributions), multiplied by the long-term tax-exempt rate as published by the IRS for the month in which the ownership change occurs (the long-term tax-exempt rate for June 2025 is 3.61%). Any unused annual limitation may generally be carried over to subsequent years until the pre-ownership change net operating loss carryforwards and certain other tax attributes expire or are fully utilized by the corporation. Similar provisions of state tax law may also apply to limit the use of state net operating loss carryforwards and certain other tax attributes.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Section 382 of the Code includes special rules that apply to a corporation with a significant amount of net unrealized built-in gains or net unrealized built-in losses in its assets immediately prior to ownership change under Section 382 of the Code. In general, certain built-in gains recognized during the five-year period beginning on the date of the ownership change increases the corporation’s annual limitation under Sections 382 and 383 of the Code in the taxable year that such built-in gains are recognized or deemed recognized (but only up to the amount of the net unrealized built-in gain), while certain built-in losses recognized during such five-year period are subject to the annual limitation under Section 382 of the Code (but only up to the amount of the net unrealized built-in loss).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2025, we had approximately $207.9 million and $70.8 million of federal and state net operating loss carryforwards, respectively, available to reduce future taxable income that will begin to expire in 2037 for federal income tax purposes. We have completed an IRC Section 382/383 study through December 31, 2025 on our federal and state tax attributes. Based on the study, historical ownership changes have been identified, including an ownership change in June 2025. As a result of the June 2025 ownership change, there may be an additional permanent limitation on our ability to use approximately $0.8 million tax credits solely due to the IRC 382/383 limitations, assuming sufficient future taxable income. We may experience ownership changes in the future as a result of subsequent shifts in our stock ownership, some of which may be outside of our control. If an ownership change occurs in the future, our ability to use our net operating loss carryforwards and credits could be further limited.</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cannot predict or control the occurrence or timing of another ownership change under Section 382 of the Code in the future. In addition, it is possible that any offering of securities by us could result in an ownership change. If another ownership change were to occur, future limitations could apply to our net operating losses and certain other tax attributes, which could result in a material amount of our net operating loss carryforwards and certain other tax attributes becoming unavailable to offset future income tax liabilities.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realization of all or a portion of our deferred income tax assets (including net operating loss carryforwards) is dependent upon the generation of future income during the statutory carryforward periods. Our inability to utilize our limited pre-ownership change net operating loss carryforwards and certain other tax attributes, or the occurrence of a future ownership change and resulting additional limitations to these tax attributes, could have a material adverse effect on our financial condition, results of operations and cash flows.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changes may affect the deductibility of our research and development expenditures.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(the “Act”) was signed into law. The Act makes permanent key elements of the Tax Cuts and Jobs Act, including 100 percent bonus depreciation, domestic research cost expensing, addback of depreciation for Section 163(j) calculation, and other modifications to the international tax framework. We do not expect a material impact of the Act on the Company’s income tax expense given its history of losses and full valuation allowance. We will continue to evaluate the impact of the Act's provisions that take effect in future years.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investments are subject to market and credit risks that could diminish their value and these risks could be greater during periods of extreme volatility or disruption in the financial and credit markets, which could adversely impact our business, financial condition, results of operations, liquidity and cash flows.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investments are subject to risks of credit defaults and changes in market values. Periods of macroeconomic weakness or recession, heightened volatility or disruption in the financial and credit markets, such as the current macroeconomic environment, increase these risks, potentially resulting in other-than-temporary impairment of assets in our investment portfolio. The impact of geopolitical tension or political events, such as a U.S. federal government shutdown, evolving healthcare policies, changing economic policies, including tariffs, a deterioration in the bilateral relationship between the U.S. and China, the rising conflict in the Middle East, the current war between Russia and Ukraine and the U.S. and Iran, including any additional sanctions, export controls or other restrictive actions that may be imposed by the United States and/or other countries against governmental or other entities in, for example, Russia, also could lead to disruption, instability and volatility in the global markets, which may have an impact on our investments across negatively impacted sectors or geographies. Severe global economic and societal disruptions and uncertainties, such as reoccurrences of COVID-19 or other pandemics, or other future widespread public health epidemics may cause disruptions that could severely impact our business, such as delays or difficulties to the financing environment and raising capital due to economic uncertainty or volatility.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Development Risks</w:t>
      </w:r>
    </w:p>
    <w:p>
      <w:pPr>
        <w:spacing w:after="0" w:line="13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of our current and planned preclinical studies and clinical trials may not satisfy the requirements of the FDA or non-U.S. regulatory authorities. Results from early preclinical studies and clinical trials may not be predictive of results from later-stage or other trials and interim or top line data may be subject to change or qualification based on the complete analysis of data.</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completed our Phase 1b dose expansion clinical trial with mipletamig in 2023 and initiated a dose optimization Phase 1b/2 study in August of 2024 to assess safety and efficacy of mipletamig and to determine an optimal dose in front line patients. Additionally, we initiated a first-in-human Phase 1 clinical study of ALG.APV-527 in the first quarter of 2023. None of our other product candidates have entered clinical development. Clinical failure can occur at any stage of preclinical or clinical development. Preclinical studies and clinical trials may produce inconsistent, negative or inconclusive results. The FDA or a non-US regulatory authority may require us to conduct additional clinical or preclinical testing. Success in early preliminary data, preclinical studies and clinical trials does not mean that future larger registration clinical trials will be successful and interim results of a clinical trial do not necessarily predict final results. Product candidates in later-stage clinical trials may fail to demonstrate sufficient safety and efficacy to the satisfaction of the FDA and non-U.S. regulatory authorities despite having progressed through initial clinical trials.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adherence to the dosing regimen and other clinical trial protocols and the rate of dropout among clinical trial participants. In addition, preclinical and clinical data are often susceptible to various interpretations and analyses, and many companies whose product candidates performed satisfactorily in preclinical studies and clinical trials have nonetheless failed to obtain marketing approval. Product candidates in later stages of clinical trials may fail to show the desired safety and efficacy profile despite having progressed through preclinical studies and initial clinical trials. A number of companies in the pharmaceutical and biopharmaceutical industry have suffered significant setbacks in advanced clinical trials due to lack of efficacy or adverse safety profiles, notwithstanding promising results in earlier studies, and we cannot be certain that we will not face similar setbacks. Even if early-stage clinical trials are promising, we may need to conduct additional clinical trials of our product candidates in additional patient populations or under different treatment conditions before we are able to seek approvals from the FDA and regulatory authorities outside the United States to market and sell these product candidates. Any of these events could limit the commercial potential of our product candidates and have a material adverse effect on our business, prospects, financial condition and results of operations.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our mipletamig clinical trial is an open-label study and is conducted at a limited number of clinical sites on a limited number of patients. An "open-label" clinical trial is one where both the patient and investigator know whether the patient is receiving the investigational product candidate or an existing approved drug. Most typically, open-label clinical trials test only the investigational product candidate and sometimes may do so at different dose levels or in combination with other drugs.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these clinical trials may not be predictive of future clinical trial results with mipletamig or other product candidates. In addition, although the FDA issued a "may proceed" notification which allowed us and Alligator to initiate our Phase 1 clinical trial of ALG.APV-527, and the interim data from the dose escalation phase are positive, we cannot guarantee that this trial or future trials of ALG.APV-527 will show the desired safety and efficacy.</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The top line or interim results that we report may differ from future results of the same studies, or different conclusions or considerations may qualify such results once additional data have been received and fully evaluated. Even in situations where a clinical stage candidate appears to be benefiting a patient that benefit may not be of a permanent nature.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future clinical trials may not be successful. Moreover, should there be a flaw in a clinical trial, it may not become apparent until the clinical trial is well advanced. We may also experience numerous unforeseen events during, or as a result of, clinical trials that could delay or prevent our ability to receive marketing approval or commercialize our product candidates, including:</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may not authorize us or our investigators to commence or continue a clinical trial, conduct a clinical trial at a prospective trial site, or amend trial protocols, or regulators or IRBs may require that we modify or amend our clinical trial protocols;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 our CROs;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require us to perform additional or unanticipated clinical trials to obtain approval or we may be subject to additional post-marketing testing, surveillance, or Risk Evaluation and Mitigation Strategy (“REMS”) requirements to maintain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or our studies may fail to reach the necessary level of statistical significance;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marketing approval policies, laws, regulations, or the regulatory review process during the development period rendering our data insufficient to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to pay the substantial user fees required by the FDA upon the filing of a marketing application;</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reach an agreement with regulators or IRBs regarding the scope,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or disagreements regarding interpretations of data and results, or new information may emerge regarding our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study design, including endpoints, or our interpretation of data from non-clinical studies and clinical trials or find that a product candidate’s benefits do not outweigh its safety risks;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regulatory authorities may disagree with our intended indications;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contract manufacturer’s manufacturing facility for clinical and future commercial supplies;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Further, our product candidates may not be approved even if they achieve their primary endpoints in Phase 3 clinical trials or registration trials. Regardless of any advisory committee recommendation, the FDA may decline to approve the biologics license application (“BLA”) for a number of reasons including, if the clinical benefit, safety profile or effectiveness of the drug is not deemed by the FDA to warrant approval. The FDA or other non-U.S. regulatory authorities may disagree with our trial design, and our interpretation of data from non-clinical studies and clinical trials. In particular, the FDA may not view our data as being clinically meaningful or statistically persuasive. The regulatory authorities and policies governing the development of our product candidates may also change at any time. In addition, any of these regulatory authorities may change requirements for the approval of a product candidate even after reviewing and providing comments or advice on a protocol for a pivotal Phase 3 clinical trial.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file investigational new drugs (“INDs”), or IND amendments to commence additional clinical trials on the timelines we expect, and even if we are able to, the FDA may not permit us to proceed.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submitted INDs and received approvals to proceed into clinical trials for multiple product candidates, including ALG.APV-527 and mipletamig, however, we may not be able to file future INDs for our product candidates on the timelines we expect. For example, we may experience manufacturing delays or other delays with IND-enabling studies. Moreover, we cannot be sure that submission of future INDs will result in the FDA allowing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commencement, site initiation, enrollment of patients or completion of our clinical trials, the time to reach critical trial data and receipt of any necessary regulatory approvals could be delayed.</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enroll and maintain a sufficient number of eligible patients to participate in these trials as required by the FDA or similar regulatory authorities outside the United States.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Furthermore, mipletamig has received orphan drug designation for acute myelogenous leukemia and thus has a relatively small patient population. Also, the eligibility criteria of our clinical trials may further limit the pool of available study participants as we require that patients have specific characteristics that we can measure to assure their disease is either severe enough or not too advanced to include them in a study.</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 including the patient eligibility criteria for the study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payments for conducting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preliminary results of any of our clinical trial sites;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clinical trials could result in significant delays and could require us to abandon one or more clinical trials altogether. Site initiation and enrollment delays in our clinical trials may result in increased development costs for our product candidates, delays in the availability of preliminary or final results, and delays to commercially launching our product candidates, if approved, which may cause the value of our company to decline and limit our ability to obtain additional financing.</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Serious adverse events or undesirable side effects caused by, or other unexpected properties of any of our product candidates, either when used alone or in combination with other approved or investigational therapies, could cause us or regulatory authorities to interrupt, delay or halt our development activities and manufacturing and distribution operations and could result in a more restrictive label, the imposition of a clinical hold, suspension,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we continue developing our product candidates and conduct clinical trials of our product candidates, serious adverse events, or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Undesirable side effects, or other unexpected adverse events or properties of any of our product candidates, could arise or become known either during clinical development or, if approved, after the approved product has been marketed. If such an event occurs during development, the FDA or comparable foreign regulatory authorities could suspend or terminate a clinical trial or deny approval of our product candidates. Furthermore, we are currently and may in the future evaluate our product candidates in combination with approved and/or experimental therapies. These combinations may have additional or more severe side effects than caused by our product candidate as monotherapies. The uncertainty resulting from the use of our product candidate in combination with other therapies may make it difficult to accurately predict side effects or efficacy in potential future clinical trials. If our product candidates receive marketing approval and we or others later identify undesirable side effects caused by such products, a number of potentially significant negative consequences may result, including:</w:t>
      </w:r>
    </w:p>
    <w:p>
      <w:pPr>
        <w:spacing w:after="0" w:line="8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conduct additional clinical trials or abandon our research efforts for our other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impose distribution or use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one or more post-market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implementation of a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approval and acceptance of the affected product candidate, or could substantially increase commercialization costs and expenses, which could delay or prevent us from generating revenue from the sale of our products and materially harm our business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do not have the ability to independently conduct the clinical and preclinical trials required to obtain regulatory approval for our product candidates. We depend on third parties, such as independent clinical investigators, research sites, CROs and other third-party service providers to conduct the clinical and preclinical trials of our product candidates, and we expect to continue to do so.</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we have agreements governing the activities of third parties, we have limited influence and control over their actual performance and activities. For instance, our third-party service providers are not our employees, and except for remedies available to us under our agreements with such third parties we cannot control whether or not they devote sufficient time and resources to our ongoing clinical, and non-clinical programs. Our third-party service providers may also have relationships with other entities, some of which may be our competitors, for whom they may also be conducting trials or other therapeutic development activities that could harm our competitive position. If these third parties do not successfully carry out their contractual duties, meet expected deadlines or conduct our non-clinical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reliance on third-party service providers does not relieve us of our regulatory responsibilities, including ensuring that our trials are conducted in accordance with the FDA-approved good clinical practices (“GCPs”) and the plans and protocols contained in the relevant regulatory application. In addition, these organizations and individuals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and/or costly and result in a delay of our trials. In addition, business disruptions arising from circumstances out of our control, could negatively affect the ability of some of the independent clinical investigators, contract research organizations and other third-party service providers that conduct our clinical and preclinical trials of our product candidates. Any delay in or inability to complete our trials could delay or prevent the development, approval, and commercialization of our product candidates.</w:t>
      </w:r>
    </w:p>
    <w:p>
      <w:pPr>
        <w:spacing w:after="0" w:line="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CROs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or they may also face regulatory enforcement action. We cannot assure you that, upon inspection, the FDA or non-U.S. regulatory agencies will determine that any of our clinical trials comply with GCP. In addition, our clinical trials must be conducted with product produced under GMP and similar regulations outside of the United States. Our failure, or the failure of our product candidate manufacturers, to comply with these regulations may require us to repeat or redesign clinical trials, or conduct additional trials, which would increase our development costs and delay or impact the conduct of our preclinical studies, clinical trials, and the likelihood of regulatory approval.</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Agreements with third parties conducting or otherwise assisting with our clinical or non-clinical studies might terminate for a variety of reasons, including a failure to perform by the third parties. 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third-party commences work. As a result, if we need to enter into alternative arrangements, it could delay our product development activities and adversely affect our business. Though we carefully manage our relationships with our third parties, there can be no assurance that we will not encounter challenges or delays in the future or that these delays or challenges will not have a material adverse impact on our business, financial condition and prospects, and results of operations.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any of these events occur, we may not be able to obtain regulatory approval of our product candidates or succeed in our efforts to create approved line extensions for certain of our existing products or generate additional useful clinical data in support of these products. Moreover, 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2" w:name="page33"/>
    <w:bookmarkEnd w:id="3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Manufacture of our product candidates, especially in large quantities, is complex and time consuming. The loss of any of our third-party manufacturers, or delays or problems in the manufacture of our product candidates, could result in product shortages and/or delays in clinical development.</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do not have manufacturing capabilities and do not plan to develop such capacity in the foreseeable future. We depend on a limited number of third-party suppliers for the production of our product candidates. Accordingly, our ability to develop and deliver product candidates in a timely and competitive manner and to enable us to conduct our development programs depends on our third-party manufacturers being able to continue to meet our ongoing clinical trial needs and perform their contractual obligations. In order to successfully develop and commercialize our product candidates in a timely manner, we and our third-party manufacturers must be able to develop and execute on manufacturing processes and reach agreement on contract terms.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any product that we develop may adversely affect our future profit margins and our ability to commercialize any products that receive marketing approval on a timely and competitive basis. In addition, any performance failure on the part of our existing or future manufacturers could delay clinical development or marketing approval.</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these third-party manufacturers do not successfully carry out their contractual duties, meet expected deadlines or manufacture and/or store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produce, or may be delayed in producing sufficient product candidates to meet our supply requirements. Any delays in obtaining adequate supplies with respect to our product candidates and components may delay the development or commercialization of our product candidates.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not succeed in our efforts to establish manufacturing relationships or other alternative arrangements for any of our product candidates, components,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our existing third-party manufacturers, or the third parties that we engage in the future to manufacture a product or component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These third-party facilities may also be affected by natural disasters, such as floods or fire, or such facilities could face manufacturing issues, such as contamination or regulatory findings following a regulatory inspection of such facility. In such instances, we may need to locate an appropriate replacement third-party relationship, which may not be readily available or on acceptable terms, which would cause additional delay and increased expense. In some cases, the technical skills required to manufacture our products or product candidates may be unique or proprietary to the original manufacturer and we may have difficulty, or there may be contractual restrictions prohibiting us from, transferring such skills to an alternate supplier in a timely fashion if at all. The addition of a new or alternative manufacturer may also require FDA approvals and may have a material adverse effect on our business.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for any reason we are unable to obtain adequate supplies of our product candidates or the components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therapeutic substances necessary to produce our product candidates in the quantities needed for our clinical trials or, if our product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We may also not be able to obtain such materials on favorable terms as a result of global trade policies. Our third-party manufacturers’ failure to obtain the raw materials, therapeutic substances, or active pharmaceutical ingredients necessary to manufacture sufficient quantities of our product candidates may have a material adverse effect on our business.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All of our current product candidates are biologics.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 product candidates and market and sell our products outside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18"/>
          <w:szCs w:val="18"/>
          <w:color w:val="auto"/>
        </w:rPr>
        <w:t>of the United States and maintain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our product candidates in development, our results of operations and prospects would be materially and adversely affected.</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loss of a third-party manufacturer, any delays, or problems in the manufacture of our products, or termination of any arrangements for development and commercialization of our products could have a material adverse effect on our business, operations, results of operations and financial condition. We may be required to replace our manufacturer and if this were to occur, we may incur added costs and delays in identifying and qualifying any such replacements. We may also not be able to enter into such arrangements on favorable commercial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formulation or stability may result in additional costs or delay.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late-stage clinical trials toward approval and commercialization, it is common that various aspects of the development program, such as manufacturing methods, manufacturing sites, formulation and stability, are altered along the way in an effort to optimize processes and results. Any of these changes could cause our product candidates to perform differently and affect the results of planned clinical trials or other future clinical trials conducted with the altered materials. Such changes may also require additional testing, clinical trials, FDA notification, or FDA approval. Any of the foregoing could limit our future revenues and growth.</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rely on third parties to manufacture all clinical trial materials for our product candidates, and we will rely on third parties to manufacture commercial supplies, if any such product candidates are ultimately approved for commercial sale. Manufacturers of our product candidates and therapeutic substances must comply with GMP requirements enforced by the FDA that are applicable to both finished products and their active components used both for clinical and commercial supply. The FDA enforces these requirements through its facilities inspection program. Our product candidates, including mipletamig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If this were to occur, we may also never receive marketing approval, we may need to repeat clinical trials, we may need to undertake costly corrective actions, including product recalls, we may risk harm to subjects or patients, and we may face enforcement actions.</w:t>
      </w:r>
    </w:p>
    <w:p>
      <w:pPr>
        <w:spacing w:after="0" w:line="8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and maintain regulatory approval for or market our product candidates, if approved. Additionally, we may be unable to contract with alternative manufacturers on favorable or reasonable terms. Any new manufacturers would need to either obtain or develop the necessary manufacturing know-how, and obtain the necessary equipment and materials, which may take substantial time and investment.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any 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produce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We must also receive FDA approval for the use of any new manufacturers for commercial supply.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If we are unable to develop manufacturing processes for our clinical product candidates that satisfy these requirements, we will not be able to supply sufficient quantities of test material to conduct our clinical trials in a timely or cost-effective manner, and as a result, our development programs will be delayed, our financial performance will be adversely impacted and we will be unable to meet our long-term goals.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One of our product candidates has received orphan drug designation from the FDA. However, there is no guarantee that we will be able to maintain this designation, receive this designation for any of our other product candidates, or receive or maintain any corresponding benefits, including periods of exclusivity.</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One of our product candidates has received orphan drug designation. We may also seek orphan drug designation for our other product candidates, as appropriate. While orphan drug designation does provide us with certain advantages, it neither shortens the development time or regulatory review time of a product candidate nor gives the product candidate any advantage in the regulatory review or approval process.</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Generally, if a product candidate with orphan drug designation subsequently receives marketing approval before another product considered by the FDA to be the same for the same orphan indication, the product is entitled to a period of marketing exclusivity, which precludes the FDA from approving another marketing application for the same drug or biologic for the same indication for a period of seven years in the United States.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not be able to obtain any future orphan drug designations that we apply for. Orphan drug designations do not guarantee that we will be able to successfully develop our product candidates, and there is no guarantee that we will be able to maintain any orphan drug designations that we receive. For instance, orphan drug designations may be revoked if the FDA finds that the request for designation contained an untrue statement of material fact or omitted material information, or if the FDA finds that the product candidate was not eligible for designation at the time of the submission of the request.</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even if we are able to receive and maintain orphan drug designations, we may ultimately not receive any period of regulatory exclusivity if our product candidates are approved. For instance, we may not receive orphan product regulatory exclusivity if the indication for which we receive FDA approval is broader than the orphan drug designation. Orphan exclusivity may also be lost for the same reasons that orphan drug designation may be lost. Orphan exclusivity may further be lost if we are unable to assure a sufficient quantity of the product to meet the needs of patients with the rare disease or condition.</w:t>
      </w:r>
    </w:p>
    <w:p>
      <w:pPr>
        <w:spacing w:after="0" w:line="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Even if we obtain orphan exclusivity for any of our current or future product candidates, that exclusivity may not effectively protect the product from competition as different products can be approved for the same condition or products that are the same as ours can be approved for different conditions. Even after an orphan product is approved, the FDA can also subsequently approve a product containing the same principal molecular features for the same condition if the FDA concludes that the later product is clinically superior. The FDA may further grant orphan drug designation to multiple sponsors for the same compound or active molecule and for the same indication. If another sponsor receives FDA approval for such product before we do, we would be prevented from launching our product in the United States for the orphan indication for a period of at least seven years, unless we can demonstrate clinical superiority. Moreover, third-party payors may reimburse for products off-label even if not indicated for the orphan condition.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by the FDA for a product candidate that we develop, and we may be unsuccessful. If we are successful, the designation may not lead to a faster development or regulatory review or approval process, and it does not increase the likelihood that our product candidates will receive marketing approval.</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the product candidates we develop qualify as breakthrough therapies, the FDA may later decide that the drugs no longer meet the conditions for qualification and rescind the designation.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designation for our ADAPTIR and ADAPTIR-FLEX platform technologies as a designated platform technology, but we might not receive such designation, and even if we do, such designation may not lead to a faster development, regulatory review or approval process.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seek designation for our ADAPTIR and ADAPTIR-FLEX platform technologies as a designated platform technology. Under the FDORA, a platform technology incorporated within or utilized by a biologic is eligible for designation as a designated platform technology if (1) the platform technology is incorporated in, or utilized by, a product approved under a BLA; (2) preliminary evidence submitted by the sponsor of the approved or licensed product, or a sponsor that has been granted a right of reference to data submitted in the application for such product, demonstrates that the platform technology has the potential to be incorporated in, or utilized by, more than one product without an adverse effect on quality, manufacturing, or safety; and</w:t>
      </w:r>
    </w:p>
    <w:p>
      <w:pPr>
        <w:spacing w:after="0" w:line="3" w:lineRule="exact"/>
        <w:rPr>
          <w:sz w:val="20"/>
          <w:szCs w:val="20"/>
          <w:color w:val="auto"/>
        </w:rPr>
      </w:pPr>
    </w:p>
    <w:p>
      <w:pPr>
        <w:jc w:val="both"/>
        <w:ind w:firstLine="8"/>
        <w:spacing w:after="0" w:line="251" w:lineRule="auto"/>
        <w:tabs>
          <w:tab w:leader="none" w:pos="25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product that incorporates or utilizes the platform technology that is the subject of the request. If so designated, the FDA may expedite the development and review of any subsequent original BLA for a product that uses or incorporates the platform technology. Even if we believe our platform technology meets the criteria for such designation, the FDA may disagree and instead determine not to grant such designation. In addition, the receipt of such designation for a platform technology does not ensure that a product will be developed more quickly or receive a faster FDA review process or ultimate FDA approval. Moreover, the FDA may revoke a designation if the FDA determines that a designated platform technology no longer meets the criteria for such designation.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conduct clinical trials for our product candidates outside the United States, and the FDA or non-U.S.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authorities may not accept data from such trials in the development or approval of our product candidates in those jurisdictions.</w:t>
      </w:r>
    </w:p>
    <w:p>
      <w:pPr>
        <w:spacing w:after="0" w:line="9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in the past and may in the future conduct clinical trials outside the U.S. and the FDA and foreign regulatory authorities may not accept those data in support of the further development or approval of our product candidates. The acceptance of trial data from clinical trials conducted outside the United States by the FDA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such foreign trials will be subject to the applicable local laws of the foreign jurisdictions where the trials are conducted. There can be no assurance that the FDA or any applicable foreign regulatory authority will accept data from trials conducted outside of the United States. If the FDA or any applicable foreign regulatory authority does not accept such data, it would result in the need to conduct additional trials beyond those we have planned, which would be costly and time-consuming and delay aspects of our business plan, and which may result in our product candidates not receiving marketing approval for commercialization in the applicable jurisdiction.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Commercialization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grow revenues and execute on our long-term strategy depends heavily on our ability to discover, develop, and obtain marketing approval for our product candidates.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currently have no products approved for commercial distribution. We have invested a significant portion of our efforts and financial resources in the development of our product candidates. Our business depends on the successful development and commercialization of our product candidates, which will require additional clinical and preclinical development, regulatory approval, commercial manufacturing arrangements, establishment of a commercial organization, significant marketing efforts, and further investment, which may never occur. Our ability to generate revenues is substantially dependent on our ability to develop, obtain regulatory approval for, and then successfully commercialize our product candidates. Except for the revenues from previously sold products, we currently generate no revenues from sales of any products, and we may never be able to develop or commercialize a marketable product.</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We currently have two clinical-stage candidates, mipletamig and ALG.APV-527, which were built on the ADAPTIR platform. Drug discovery and development is a complex, time-consuming and expensive process that is fraught with risk and a high rate of failure. Our product candidates are susceptible to the risks of failure inherent at any stage of product development, including the appearance 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6" w:name="page37"/>
    <w:bookmarkEnd w:id="36"/>
    <w:p>
      <w:pPr>
        <w:jc w:val="both"/>
        <w:spacing w:after="0" w:line="254" w:lineRule="auto"/>
        <w:rPr>
          <w:sz w:val="20"/>
          <w:szCs w:val="20"/>
          <w:color w:val="auto"/>
        </w:rPr>
      </w:pPr>
      <w:r>
        <w:rPr>
          <w:rFonts w:ascii="Times New Roman" w:cs="Times New Roman" w:eastAsia="Times New Roman" w:hAnsi="Times New Roman"/>
          <w:sz w:val="18"/>
          <w:szCs w:val="18"/>
          <w:color w:val="auto"/>
        </w:rPr>
        <w:t>unexpected or unacceptable adverse events or failure to demonstrate efficacy in clinical trials. Failure to successfully discover and/or develop, obtain marketing approval for and commercialize additional products and product candidates would likely have a material adverse effect on our ability to grow revenues and improve our financial condition. If we are required to conduct additional clinical trials or other testing of our product candidates that we develop beyond those that we currently expect, if we are unable to successfully complete clinical trials of our product candidates or other testing, if the results of these trials or tests are not positive or are only modestly positive, or if there are safety concerns, we may be delayed in obtaining marketing approval for our product candidates, not obtain marketing approval at all, obtain approval for limited indications or patient populations, with a label without claims necessary for us to successfully market our products, or with significant labeled warnings. We may also be subject to additional post-marketing testing requirements, surveillance requirements, or REMS. To the extent any of the foregoing should occur, our business may be materially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further develop our ADAPTIR or ADAPTIR-FLEX platforms.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 key element of our strategy is to expand our product pipeline of immuno-oncology candidates based on our ADAPTIR and ADAPTIR-FLEX platform technologies. We plan to select and create product candidates for early development, potentially with other collaborative partners. We expect to continue to develop the platform to address unmet medical needs through directed immune stimulatory and/or blockades in oncology and other therapeutic areas. Our goal is to leverage our technology to make targeted investment in monospecific, bispecific, and multi-specific ADAPTIR and ADAPTIR-FLEX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and ADAPTIR-FLEX platform technologies, our ability to obtain product revenues in future periods may be adversely affected, which likely would result in harm to our financial position and our financial prospects, and adversely affect our stock price.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and will continue to face substantial competition and our failure to effectively compete may prevent us from achieving significant market penetration for our product candidates, if approved.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biotechnology products is highly competitive and subject to rapid technological advances. We may face future competition with respect to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may have greater resources and may devote greater resources to research and develop their products, research and development capabilities, adapt more quickly to new technologies, scientific advances or patient preferences and needs, initiate or withstand substantial price competition or macroeconomic impacts more successfully, or more effectively negotiate third-party licensing and collaborative arrangements.</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believe that our most significant competitors in the oncology market include: AbbVie Inc., Affimed, ALX Oncology Holdings Inc., Amgen Inc., Arcellx, AstraZeneca, AvenCell Therapeutics, Inc., BioNTech, Bio-Path, Bristol Myers Squibb, Cellectis, Creative Biolabs, Faron Pharma, F-star Therapeutics, Genentech Inc. (a subsidiary of F. Hoffmann-La Roche Ltd.), Genmab A/S, Gilead Sciences, Inc., GlaxoSmithKline plc, ImmunoGen, Inc., Johnson &amp; Johnson, Lava Therapeutics, Macrogenics, Inc., Menarini Group, Molecular Partners, Novartis, Pfizer Inc., Pieris Pharmaceuticals, Inc., Regeneron Pharma, Sanofi-Aventis US LLC, Shattuck Labs, Syros Pharmaceuticals, Inc., Servier Laboratories, Xencor, Inc., and Zymeworks Biopharmaceuticals, Inc. Our competitors also include Chinese biotech companies with bispecific technologies and programs. We expect to compete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any products we successfully develop, switch from our products to new products or choose to use our products only in limited circumstances, which could adversely affect our business,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of our product candidates, if approved, may become subject to unfavorable pricing regulations or third-party coverage and reimbursement policies, which would harm our business</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success of our product candidates, if approved, will depend upon, among other things, their acceptance by physicians, patients, third-party payors, and other members of the medical community as a therapeutic and cost-effective alternative to competing products and treatments. If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distribution support; publicity concerning our products or competing products and treatments; and the sufficiency of coverage or reimbursement by third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healthcare reform measures may have a material adverse effect on our business and results of operations.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Patient Protection and Affordable Care Act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to repeal, replace delay, circumvent, or loosen certain aspects of the ACA or mandates required thereby. Additionally,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 increasing the point-of-sale discount that is owed by pharmaceutical manufacturers who participate in Medicare Part D. On June 17, 2021, the U.S. Supreme Court dismissed the most recent judicial challenge to the ACA brought by several states without specifically ruling on the constitutionality of the ACA. It is unclear how other healthcare reform measures of the current administration or other efforts, if any, to challenge, repeal or replace the ACA will impact our business. In addition, other legislative changes have been proposed and adopted in the United States since the ACA was enacted:</w:t>
      </w:r>
    </w:p>
    <w:p>
      <w:pPr>
        <w:spacing w:after="0" w:line="82" w:lineRule="exact"/>
        <w:rPr>
          <w:sz w:val="20"/>
          <w:szCs w:val="20"/>
          <w:color w:val="auto"/>
        </w:rPr>
      </w:pPr>
    </w:p>
    <w:p>
      <w:pPr>
        <w:jc w:val="both"/>
        <w:ind w:left="1020" w:hanging="503"/>
        <w:spacing w:after="0" w:line="258"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occurred beginning April 1, 2022 through June 30, 2022, and the 2% payment reduction resumed on July 1, 2022.</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2030 unless additional Congressional action is taken.</w:t>
      </w:r>
    </w:p>
    <w:p>
      <w:pPr>
        <w:spacing w:after="0" w:line="7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including by tying reimbursement to the price of products in other developed countries. For example, proposals have been made to increase drug manufacturer competition, increase the negotiating power of certain federal healthcare programs, incentivize manufacturers to lower the list price of their products, and reduce the out-of-pocket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Legislative and regulatory agendas, as they relate to the healthcare and pharmaceutical industries and the economy as a whole, of the current administration and the U.S. Congress currently remain uncertain. Any new laws and initiatives may result in additional reductions in Medicare and other healthcare funding, such as the proposed cap on CRO indirect cost reimbursements by the National Institute of Health (“NIH”), or impose additional regulatory requirements on drug development or approval, which could have a material adverse effect on our clinical trial sites that rely on collaborations with university hospitals and research institutions funded in whole or in part by NIH grants, our future customers and accordingly, our financial operations.</w:t>
      </w:r>
    </w:p>
    <w:p>
      <w:pPr>
        <w:spacing w:after="0" w:line="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successfully develop or additional pricing pressures.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and Compliance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long-term success depends, in part, upon our ability to develop, receive regulatory approval for and commercialize our product candidates.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FDA and other comparable regulatory agencies in foreign countries impose substantial and rigorous requirements for the development, production, marketing authorization and commercial introduction of drug products. These requirements include non-clinical,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to obtain approval from the FDA to market any of our future biologic products, we will be required to submit a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Developing and obtaining regulatory approval for product candidates is a lengthy process, often taking a number of years, is uncertain and expensive. All of the product candidates that we are developing, or may develop in the future, require research and development, non-clinical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non-clinical tests or clinical trials above what we currently have planned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to bring products to market before we do. This may prevent us from receiving marketing approvals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If any of this occurs, our business, financial condition, results of operations, and prospects will be materially harmed.</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9" w:name="page40"/>
    <w:bookmarkEnd w:id="39"/>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Some of our product candidates previously in development experienced regulatory and/or clinical setbacks. Clinical development has been discontinued for product candidates otlertuzumab, APVO414, and APVO210. Both APVO414 and APVO210 were discontinued after patients developed ADA. Most recently, in 2019, we elected to discontinue the APVO210 development program following the review of data from the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The cause of the ADA is uncertain; however, we believe that appearance of ADA is related to the mechanism of action of APVO210, and not due to the structure, or sequences characteristic of the ADAPTIR platform. Although we have re-designed certain components of the ADAPTIR platform based on what we have learned in prior clinical trials, there is no guarantee that the occurrence of ADA or other clinical setbacks will not occur in the development of our existing and future ADAPTIR product candidates.</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Failure to obtain regulatory approval in one jurisdiction, however, may impact the decision of other jurisdictions. We may not be able to file for regulatory approvals and may not receive necessary approvals to commercialize our products and products in development in any market on a timely basis, if at all.</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 evolving healthcare policies,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in the future,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and will continue to be subject to ongoing obligations and continued regulatory review, which may result in significant additional expense. We may be subject to penalties if we fail to comply with regulatory requirements or experience unanticipated problems with our products.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and our product candidates are subject to extensive and ongoing requirements of and review by the FDA and other regulatory authorities, including requirements related to the conduct of clinical and non-clinical studies, manufacturing processes, post-approval clinical data, labeling, packaging, distribution, adverse event reporting, storage, recordkeeping, export, import, advertising, marketing, and promotional activities for such products. These requirements further include submissions of safety and other post-marketing information, including manufacturing deviations and reports, registration and listing requirements, the payment of annual fees, continued compliance with GMP-requirements relating to manufacturing, quality control, quality assurance, and corresponding maintenance of records and documents, and requirements regarding the distribution of samples to physicians. Manufacturers and manufacturers’ facilities are required to comply with extensive FDA, and comparable foreign regulatory authority requirements, including ensuring that quality control and manufacturing procedures conform to GMP requirements and applicable product tracking and tracing requirements.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among other actions,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and any of our collaborators could be subject to periodic unannounced inspections by the FDA to monitor and ensure compliance with GMPs and other FDA regulatory requirements. Application holders must further notify the FDA, and depending on the nature of the change, obtain FDA pre-approval for product and manufacturing changes. In addition, later discovery of previously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spacing w:after="0" w:line="282" w:lineRule="auto"/>
        <w:rPr>
          <w:sz w:val="20"/>
          <w:szCs w:val="20"/>
          <w:color w:val="auto"/>
        </w:rPr>
      </w:pPr>
      <w:r>
        <w:rPr>
          <w:rFonts w:ascii="Times New Roman" w:cs="Times New Roman" w:eastAsia="Times New Roman" w:hAnsi="Times New Roman"/>
          <w:sz w:val="18"/>
          <w:szCs w:val="18"/>
          <w:color w:val="auto"/>
        </w:rPr>
        <w:t>unknown adverse events or that the product is less effective than previously thought or other problems with our products, manufacturers or manufacturing processes, or failure to comply with regulatory requirements both before and after approval, may yield various results, including:</w:t>
      </w:r>
    </w:p>
    <w:p>
      <w:pPr>
        <w:spacing w:after="0" w:line="5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or distribution, or marketing of such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 and product labels;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corrective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other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establish or modify a REMS or a similar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way the product is administered;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becoming less competitive;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untitled, or cyber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marketing or withdrawal of the products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product approval and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FDA’s policies may change and additional government laws and regulations may be enacted that could prevent, limit, or delay regulatory approval of our product candidates, that could limit the marketability of our product candidates, or that could impose additional regulatory obligations on us. For example, the current administration may implement new or revised laws, regulatory requirements, and associated compliance obligations, as well as postponed or frozen regulatory requirements. Changes in medical practice and standard of care may also impact the marketability of our product candidates. 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Should any of the above actions take place, they could adversely affect our ability to achieve or sustain profitability. Further, the cost of compliance with post-approval regulations may have a negative effect on our operating results and financial condition.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72" w:lineRule="exact"/>
        <w:rPr>
          <w:sz w:val="20"/>
          <w:szCs w:val="20"/>
          <w:color w:val="auto"/>
        </w:rPr>
      </w:pPr>
    </w:p>
    <w:p>
      <w:pPr>
        <w:jc w:val="both"/>
        <w:ind w:left="1040" w:hanging="508"/>
        <w:spacing w:after="0" w:line="256" w:lineRule="auto"/>
        <w:tabs>
          <w:tab w:leader="none" w:pos="10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79" w:lineRule="exact"/>
        <w:rPr>
          <w:rFonts w:ascii="Times New Roman" w:cs="Times New Roman" w:eastAsia="Times New Roman" w:hAnsi="Times New Roman"/>
          <w:sz w:val="18"/>
          <w:szCs w:val="18"/>
          <w:color w:val="auto"/>
        </w:rPr>
      </w:pPr>
    </w:p>
    <w:p>
      <w:pPr>
        <w:jc w:val="both"/>
        <w:ind w:left="1040" w:hanging="508"/>
        <w:spacing w:after="0" w:line="258" w:lineRule="auto"/>
        <w:tabs>
          <w:tab w:leader="none" w:pos="10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75" w:lineRule="exact"/>
        <w:rPr>
          <w:rFonts w:ascii="Times New Roman" w:cs="Times New Roman" w:eastAsia="Times New Roman" w:hAnsi="Times New Roman"/>
          <w:sz w:val="18"/>
          <w:szCs w:val="18"/>
          <w:color w:val="auto"/>
        </w:rPr>
      </w:pPr>
    </w:p>
    <w:p>
      <w:pPr>
        <w:jc w:val="both"/>
        <w:ind w:left="1040" w:hanging="508"/>
        <w:spacing w:after="0" w:line="255" w:lineRule="auto"/>
        <w:tabs>
          <w:tab w:leader="none" w:pos="10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as amended,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jc w:val="both"/>
        <w:ind w:left="1040" w:hanging="508"/>
        <w:spacing w:after="0" w:line="255" w:lineRule="auto"/>
        <w:tabs>
          <w:tab w:leader="none" w:pos="10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80"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Effective January 1, 2022, applicable manufacturers are required to report information regarding payments and transfers of value provided to physician assistants, nurse practitioners, clinical nurse specialists, certified nurse anesthetists, and certified nurse-midwives; and,</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and industry codes that require drug manufacturers to report information related to payments and other transfers of value to healthcare providers or entities, or marketing expenditures.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assert that a claim including items or services resulting from a violation of the federal Anti-Kickback Statute constitutes a false or fraudulent claim for purposes of the False Claims Act.</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manufacturers, investigators, or CROs could include intentional, reckless, negligent, or unintentional failures to comply with FDA regulations or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Further, due to the risk that a judgment in a False Claims Act case could result in exclusion from federal health programs or debarment from government contracts, whistleblower cases often result in large settlements.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51"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such as the California Consumer Privacy Act of 2018, which has been characterized as the first "GDPR-like" privacy statute to be enacted in the United States. Additionally, California voters approved another privacy law, the California Privacy Rights Act (the CPRA), in the November 2020 election. Effective starting on January 1, 2023, the CPRA significantly modified the CCPA, including by expanding consumers' rights with respect to certain sensitive personal information. In addition, private right of action claims and litigation related to website privacy are evolving under existing laws in California such as the California Invasion of Privacy Act. There are many other state-based data privacy and security laws and regulations that may impact our business, including Montana Consumer Data Privacy Act, Oregon Consumer Privacy Act, and the Texas Data Privacy and Security Act that became effective in 2025. We cannot determine the impact such future laws, regulations and standards may have on our business.</w:t>
      </w:r>
    </w:p>
    <w:p>
      <w:pPr>
        <w:spacing w:after="0" w:line="20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breaches of data security, including due to a cybersecurity incident, our business could be adversely affected.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subject to a variety of prevalent and evolving threats, including but not limited to social-engineering attacks (including through deep fakes and the use of Artificial Intelligence (AI), which may be increasingly more difficult to identify as fake, and phishing attacks), malware, personnel misconduct or error, ransomware attacks, supply-chain attacks, attacks enhanced or facilitated by AI, and other similar threats. The use of AI by us or our vendors may also introduce additional risks, such as inadvertent disclosure of confidential information through generative AI tools or compromise of AI models and data, including manipulation and poisoning, which could further increase cybersecurity and data integrity risks. Remote work poses increased risks to our information technology systems and data, as our employees utilize network connections, computers and devices outside our premises or network.</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also face the challenge of promptly detecting and remediating any cybersecurity breaches. Our information technology systems security measures are focused on the prevention, detection and remediation of damage from computer viruses, unauthorized access, cyber-attack and other similar disruptions. However, our information technology systems protection measures may not be successful in preventing unauthorized access, intrusion and damage. Threats to our systems can derive from human error, fraud or malice on the part of employees or third parties, including computer hackers, encryption by ransomware, or may result from technological failure.</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were to experience a prolonged system disruption in our information technology systems or those of certain of our vendors, it could delay or negatively impact our development and commercialization of our product candidates, which could adversely impact our business. If operations at our facilities were disrupted, it may cause a material disruption in our business if we are not capable of restoring function on an acceptable timeframe.</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as discussed above, our information technology systems are potentially vulnerable to data security breaches—whether by employees or others, intentionally or unintentionally—which may expose sensitive or personal data to unauthorized persons. Such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data security breaches could lead to the loss of trade secrets or other intellectual property, or could lead to the public exposure of personal information (including sensitive personal information) of our employees, vendors and others, any of which could have a material adverse effect on our business, financial condition and results of operations.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and the California Consumer Privacy Act of 2018, which could disrupt our business, result in increased costs or loss, and/or result in significant legal and financial exposure. In addition, a data security breach could result in loss of clinical trial data or damage to the integrity of that data.</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a breach of our information technology systems or those of our key third-party vendors occurs, we may incur additional costs related to repairing or rebuilding our internal systems, complying with breach notification laws, defending legal claims or proceedings, responding to regulatory actions, incurring penalties, and paying damages. Moreover, it may be determined that as a result of such a breach there was a material weakness or significant deficiency in our internal controls or other failure of our control environment. If such a breach occurs, it may have a material adverse effect on our business, results of operations, and financial condition, and it may also negatively impact our reputation.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proprietary rights, our business could be harmed.</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such as the use and application of our CD3 binding domain, a key component of our growing of CD3 engaging portfolio, and those that we have rights through licenses from third parties, will adequately protect our intellectual property. Our success in protecting our intellectual property depends significantly on our ability to:</w:t>
      </w:r>
    </w:p>
    <w:p>
      <w:pPr>
        <w:spacing w:after="0" w:line="79"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U.S. and foreign patents, that are meaningful to our products, including defending those patents against adverse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patent term extension for the patents covering our approved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trade secrets;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proprietary rights of others;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others from infringing our proprietary rights.</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not be able to obtain issued patents relating to our technology or product candidates. Even if issued, patents may inadvertently lapse or be challenged, narrowed, invalidated, or circumvented, which could limit our ability to stop competitors from marketing similar products or limit the duration of patent protection we may have for our product candidates.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patent litigation, we may be a party to adversarial proceedings before the Patent Trial and Appeal Board (“PTAB”) of the USPTO, or the Opposition Divisions of the European Patent Office (“EPO”). Potential proceedings before the PTAB include inter parties review proceedings, post-grant review proceedings and interference proceedings. Depending on our level of success at the PTAB and Opposition Divisions of the EPO, these proceedings could adversely impact our intellectual property rights with respect to our products and technology.</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also will rely on current and future trademarks to establish and maintain recognized brands, including APTEVO THERAPEUTICS, APTEVO BIOTHERAPEUTICS, APTEVO RESEARCH AND DEVELOPMENT, the Aptevo logo, ADAPTIR, and ADAPTIR-FLEX in relevant jurisdictions. If we fail to acquire and protect such trademarks, our ability to market and sell our products, if approved for marketing, will be harmed. In addition, our current and future trademarks may be challenged, infringed, circumvented, declared generic, lapsed or determined to be infringing on or dilutive of other marks and we may not be able to protect our rights in these trademarks, which we need in order to build name recognition. Any of the foregoing could have a material and adverse effect on our business, financial condition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approved, our products regulated as biologics may face competition from biosimilars approved through an abbreviated regulatory pathway.</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There is a similar abbreviated pathway for the approval of biosimilar products in the EU. Reference products in the EU benefit from an eight-year data exclusivity period during which the data included in the dossier for the reference product may not be referenced for the purposes of an abbreviated biosimilar application. Following the expiration of the data exclusivity period, there is an additional two-year period of market exclusivity during which a biosimilar marketing authorization application can be submitted, and the innovator’s data may be referenced, but no product can be placed on the market until the expiration of such period. The overall 10-year period can be extended to a maximum of 11 years in certain circumstances. As in the U.S., there is no guarantee that a product will qualify for the prescribed period of exclusivity and, even if a product does qualify, another company may market a competing version of the reference product if such company obtained a marketing authorization with a complete independent data package of pharmaceutical tests, preclinical tests and clinical trials.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Moreover, the extent to which a biosimilar, once licensed, will be substituted for any one of our reference products in a way that is similar to traditional generic substitution for non-biological products, and will depend on a number of marketplace and regulatory factors that are still developing. If competitors are able to obtain marketing approval for biosimilars referencing any of our products, if approved, our products may become subject to competition from such biosimilars, which would impair our ability to successfully commercialize and generate revenues from sales of such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choose to file patent infringement claims against us.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a result of patent infringement or other similar claims, or to avoid potential claims, we may choose or be required to seek a license from the third-party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Patent Trial Appeals Board and opposition proceedings in the European Patent Office, regarding intellectual property rights that could impact our products and technology.</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Aptevo trademarks may be opposed which could have a material and adverse effect on our business.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an application pending that covers the APTEVO THERAPEUTICS trademark and received a notice of allowance in September 2022 from the USPTO for the APTEVO BIOTHERAPEUTICS and APTEVO RESEARCH AND DEVELOPMENT trademarks. We refer to these trademarks as our house marks. If a third-party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jc w:val="both"/>
        <w:spacing w:after="0" w:line="282" w:lineRule="auto"/>
        <w:rPr>
          <w:sz w:val="20"/>
          <w:szCs w:val="20"/>
          <w:color w:val="auto"/>
        </w:rPr>
      </w:pPr>
      <w:r>
        <w:rPr>
          <w:rFonts w:ascii="Times New Roman" w:cs="Times New Roman" w:eastAsia="Times New Roman" w:hAnsi="Times New Roman"/>
          <w:sz w:val="18"/>
          <w:szCs w:val="18"/>
          <w:color w:val="auto"/>
        </w:rPr>
        <w:t>employers. Litigation may be necessary to defend against these claims. Even if we are successful in defending against these claims, litigation could result in substantial costs and be a distraction to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our obligations in our intellectual property licenses with third parties, could result in loss of license rights or other damages.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the value of our technology and product candidates could be adversely affected.</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Collaborations and Other Transactions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and maintaining collaborations and entering into other transactions that leverage our capabilities in pursuit of developing and commercializing our product candidates and any such collaborations and transactions, if any, could result in financial results that differ from market expectations.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pursuant to which Aptevo R&amp;D and Alligator have been collaboratively developing ALG.APV-527, a first-in-class bispecific antibody candidate simultaneously targeting 4-1BB (CD137), a member of the TNFR superfamily of a co-stimulatory receptor found on activated T cells, and 5T4, a tumor antigen widely overexpressed in a number of different types of cancer. We intend to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risks that we are subject to in any of our collaborations include, among others:</w:t>
      </w:r>
    </w:p>
    <w:p>
      <w:pPr>
        <w:spacing w:after="0" w:line="117" w:lineRule="exact"/>
        <w:rPr>
          <w:sz w:val="20"/>
          <w:szCs w:val="20"/>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not commit adequate resources to the development, marketing and distribution of any collaboration products, limiting our potential revenues from these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experience financial difficulties and may therefore be unable to meet their commitments to us;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pursue a competing product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opt out of or terminate our relationship.</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 Due to the macroeconomic factors, we may experience delays in opportunities to develop our product candidates, due to financial and other impacts on potential partners.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in the normal course of business, the Company engages in discussions with third parties regarding possible strategic alliances, joint ventures, acquisitions, divestitures and business combinations to further develop or commercialize our product candidates. As a result of such transactions, our financial results may differ from our own or the investment community's expectations in a given fiscal quarter or over the long term. Furthermore, efforts to engage in such transactions require varying levels of management resources, which may divert the Company’s attention from other business operations. Any transactions we engage in could result in our financial results differing materially from market expectations.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 and General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and may continue to be volatile.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stock price has fluctuated in the past and is likely to be volatile in the future. The stock market in general, and the market for biotechnology companies in particular, have experienced extreme volatility that has often been unrelated to the operating performance of particular companies. In particular, the stock market has experienced extreme volatility in recent months as a result of the geopolitical tension or political events, including the impact from the results of the war in Ukraine and Iran, the conflict in the Middle East and potential U.S. federal government shutdown, and macroeconomic conditions, including rising and fluctuating inflation, reduced consumer confidence, evolving healthcare policies and changing economic policies, such as tariffs. The market price of our common stock may fluctuate significantly due to a number of factors, some of which may be beyond our control or unrelated to our operations, including, among others:</w:t>
      </w:r>
    </w:p>
    <w:p>
      <w:pPr>
        <w:spacing w:after="0" w:line="89"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investor perceptions or negative announcements by our competitors, suppliers, or partners regarding their own performance;</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success of competitive products or technologies;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timing, expenses, and results of clinical and preclinical trials of our product candidates;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announcements regarding clinical trial results and product introductions by us or our competitors;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announcements of acquisitions, collaborations, financings or other transactions by us or our competitors;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public concern as to the safety of our product candidates;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termination or delay of a development program;</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recruitment or departure of key personnel;</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actual or anticipated variations in our cash flows or results of operations;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operating and stock price performance of comparable companies;</w:t>
      </w:r>
    </w:p>
    <w:p>
      <w:pPr>
        <w:spacing w:after="0" w:line="116" w:lineRule="exact"/>
        <w:rPr>
          <w:rFonts w:ascii="Times New Roman" w:cs="Times New Roman" w:eastAsia="Times New Roman" w:hAnsi="Times New Roman"/>
          <w:sz w:val="22"/>
          <w:szCs w:val="22"/>
          <w:color w:val="auto"/>
        </w:rPr>
      </w:pPr>
    </w:p>
    <w:p>
      <w:pPr>
        <w:jc w:val="both"/>
        <w:ind w:left="1020" w:hanging="503"/>
        <w:spacing w:after="0" w:line="239" w:lineRule="auto"/>
        <w:tabs>
          <w:tab w:leader="none" w:pos="10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general industry and macroeconomic conditions, including domestic and global financial, economic, and geopolitical instability as well as political events such as a U.S. federal government shutdown, evolving healthcare policies, ongoing conflicts in Europe and the Middle East and military actions;</w:t>
      </w:r>
    </w:p>
    <w:p>
      <w:pPr>
        <w:spacing w:after="0" w:line="100"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earnings estimated by securities analysts or management, or our ability to meet those estimates;</w:t>
      </w:r>
    </w:p>
    <w:p>
      <w:pPr>
        <w:spacing w:after="0" w:line="116" w:lineRule="exact"/>
        <w:rPr>
          <w:rFonts w:ascii="Times New Roman" w:cs="Times New Roman" w:eastAsia="Times New Roman" w:hAnsi="Times New Roman"/>
          <w:sz w:val="22"/>
          <w:szCs w:val="22"/>
          <w:color w:val="auto"/>
        </w:rPr>
      </w:pPr>
    </w:p>
    <w:p>
      <w:pPr>
        <w:jc w:val="both"/>
        <w:ind w:left="1020" w:hanging="503"/>
        <w:spacing w:after="0" w:line="239" w:lineRule="auto"/>
        <w:tabs>
          <w:tab w:leader="none" w:pos="10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and the amount and status of short interest in our common stock;</w:t>
      </w:r>
    </w:p>
    <w:p>
      <w:pPr>
        <w:spacing w:after="0" w:line="100"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continue as a going concern;</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estimated or actual sales of IXINITY by Medexus; and</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other factors described in this "Risk Factors" section.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be subject to short selling strategies that may drive down the market price of our common stock.</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Short sellers have in the past and may attempt in the future to drive down the market price of our common stock. Short selling is the practice of selling securities that the seller does not own but may have borrowed with the intention of buying identical securities back at a later date. The short seller hopes to profit from a decline in the value of the securities between the time the securities are borrowed and the time they are replaced. As it is in the short seller’s best interests for the price of the stock to decline, many short sellers (sometimes known as “disclosed shorts”) publish, or arrange for the publication of, negative opinions regarding the relevant issuer and its business prospects to create negative market momentum. Although traditionally these disclosed shorts were limited in their ability to access mainstream business media or to otherwise create negative market rumors, the rise of the Internet and technological advancements regarding document creation, videotaping and publication by weblog (blogging) have allowed many disclosed shorts to publicly attack a company’s credibility, strategy and veracity by means of so-called “research reports” that mimic the type of investment analysis performed by large Wall Street firms and independent research analysts. These short attacks have, in the past, led to selling of shares in the market. Further, these short seller publications are not regulated by any governmental, self-regulatory organization or other official authority in the U.S. and they are not subject to certification requirements imposed by the SEC. Accordingly, the opinions they express may be based on distortions, omissions or fabrications. Companies that are subject to unfavorable allegations, even if untrue, may have to expend a significant amount of resources to investigate such allegations and/or defend themselves, including shareholder suits against the company that may be prompted by such allegations. We may in the future be the subject of shareholder suits that we believe were prompted by allegations made by short sellers.</w:t>
      </w:r>
    </w:p>
    <w:p>
      <w:pPr>
        <w:spacing w:after="0" w:line="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event that coverage under our directors’ and officers’ liability insurance is reduced or terminated as a result of an ownership change or otherwise, our indemnification obligations and limitations of our directors’ and officers’ liability insurance may have a material adverse effect on our financial condition, results of operations and cash flows.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Delaware law, our certificate of incorporation, and our by-laws and certain indemnification agreements to which we are a party, we have an obligation to indemnify, or we have otherwise agreed to indemnify, certain of our current and former directors and officers with respect to past, current, and future investigations and litigation. In order to reduce the risk of expense of these obligations, we maintain directors’ and officers’ liability insurance. A significant change in the Company’s risk profile could increase the cost to us of our directors’ and officers’ liability insurance coverage or the coverage thereunder may be reduced or terminated in full. In the event that the coverage under our directors’ and officers’ liability insurance is reduced or terminated, we will be required to pay the expenses of indemnifying our current and former directors and officers in their defense of current and future investigations and litigation, which expenses may be significant. The increased costs to us of our directors’ and officers’ liability insurance coverage, or our indemnification obligations if our directors’ and officers’ liability insurance coverage is reduced or terminated, could result in the diversion of our financial resources, and may have a material adverse effect on our financial condition, results of operations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maintain effective internal controls, we may not be able to accurately report our financial results and our business could be harmed.</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In the past, we were an emerging growth company and we currently are a non-accelerated filer and have availed ourselves of the exemption from the requirement that our independent registered public accounting firm attest to the effectiveness of our internal control over financial reporting under Section 404. If we cease to be a non-accelerated filer and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public announcement of data from clinical trials or news of any developments related to our product pipeline may cause significant volatility in our stock price.</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announcement of data from clinical trials by us or our collaborative partners or news of any developments related to our key pipeline product candidates has in the past caused and may in the future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LLC (“Nasdaq”) and on May 11, 2026, the sale price of our common stock on Nasdaq was $4.845 per share. On May 22, 2025, we received a letter from the Listing Qualifications Staff (the Staff) of Nasdaq indicating that, for the quarter ended March 31, 2025, we were not in compliance with Nasdaq Listing Rule 5550(b)(1) (the Stockholders’ Equity Rule), which requires the Company to maintain a minimum of $2,500,000 in stockholders’ equity for continued listing on Nasdaq. On July 1, 2025, we received a letter from the Staff confirming that we have regained compliance with the Stockholders’ Rule. Our compliance with the Stockholders’ Rule was evidenced by our Current Report on Form 8-K filed with the Securities and Exchange Commission on June 30, 2025, which reported that, during the quarterly period ended June 30, 2025, we raised approximately $15.9 million of additional equity capital. As of March 31, 2026, our stockholders' equity was $11.6 million as reported in this Quarterly Report on Form 10-Q and, as a result, we believe we are in compliance with the Stockholders’ Equity Rule.</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December 29, 2025, we effected a reverse stock split of our common stock at the reverse split ratio of 1-for-18. Nasdaq requires that we maintain a minimum closing bid price of $1.00 per share, among other requirements. If the sale price of our common stock remains below $1.00 per share for 30 consecutive business days, the minimum closing bid price required by the continued listing requirements of Nasdaq Listing Rule 5550(a)(2) (the Bid Price Requirement), we would not be eligible for a 180-day cure period from Nasdaq to regain compliance with such requirement because we have conducted a reverse stock split in the past year and thus we would be immediately delisted.</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Nasdaq has recently proposed a new rule change (the “Proposed Rule”) to adopt Nasdaq Listing Rules 5450(a)(3) and 5550(a)(6) that would permit the immediate suspension and delisting of a company listed on the Nasdaq Global Market and the Nasdaq Capital Market if its market value of listed securities remains below $5 million for 30 consecutive business days (the “Market Value Requirement”). We have in the past and may in the future fail to meet the Market Value Requirement. Unlike most Nasdaq continued listing deficiencies, the Proposed Rule would allow suspension and delisting to take effect without a prior hearing and without any automatic stay in the event we fail to meet the Market Value Requirement. Although we could seek review of a delisting determination and appeal to the Nasdaq Listing and Hearing Review Council, our common stock would remain suspended from Nasdaq trading during that process and would generally trade in the over-the-counter market.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of ownership in Aptevo may be diluted in the future.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future, your percentage ownership in Aptevo may be diluted because of equity issuances or securities convertible into equity for acquisitions, capital market transactions or otherwise, including, but not limited to, equity issuances under the ATM Agreement, the First SEPA, the Second SEPA, the Rights Agreement (as defined below) with Broadridge Corporate Issuer Solutions, Inc., upon the exercise of warrants issued in connection with our 2023, 2024 and 2025 registered offerings and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under Delaware law and in our restated certificate of incorporation, amended and restated by-laws and rights agreement may discourage acquisition proposals, delay a change in control or prevent transactions that stockholders may consider favorable.</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11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our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removal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filling vacancies on the board;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nominations of candidates for election to the Board of Directors and other proposals;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act by written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a new series of preferred stock without stockholder approval.</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we currently have a short-term stockholder Rights Agreement in effect. On October 30, 2025, we entered into amendment No. 5 to the Rights Agreement and extended the expiration of such agreement to October 29, 2026. This Rights Agreement could render more difficult, or discourage a merger, tender offer, or assumption of control of the Company that is not approved by our Board that some stockholders may consider favorable. The Rights Agreement, however, should not interfere with any merger, tender or exchange offer or other business combination approved by our Board. Nor does the Rights Agreement prevent our Board from considering any offer that it considers to be in the best interest of our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by-laws include a forum selection clause, which may impact your ability to bring actions against us.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Subject to certain limitations, our bylaws provide that, unless we consent in writing to the selection of an alternative forum, the Court of Chancery in the State of Delaware will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DGCL or our certificate of incorporation or by-laws; or (d) any action asserting a claim governed by the internal affairs doctrine. In addition, our bylaws provide that unless we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 These limitations on the forum in which stockholders may initiate action against us could create costs, inconvenience or otherwise adversely affect your ability to seek legal redress.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As a result, a court may decline to enforce these exclusive forum provisions with respect to suits brought to enforce any duty or liability created by the Securities Act or any other claim for which the federal and state courts have concurrent jurisdiction, and our stockholders may not be deemed to have waived our compliance with the federal securities laws and the rules and regulations thereunder. If a court were to find the exclusive forum provisions to be inapplicable or unenforceable in an action, we may incur additional costs associated with resolving such action in other jurisdictions.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periodic litigation, which could result in losses or unexpected expenditure of time and resources.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shares may be sold into the market at any time which could depress our stock price.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our stockholders sell a substantial number of shares of our common stock in the public market, our market price could decline. Any such sales or perception that such sales may occur could decrease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quarter ended March 31, 2026, none of the Company's directors or executive officers adopted, terminated or materially modified a plan for the purchase or sale of its securities intended to satisfy the affirmative defense conditions of Rule 10b5-1(c) or a non-Rule 10b5-1 trading arrangement for the purchase or sale of its securities, within the meaning of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20" w:type="dxa"/>
            <w:vAlign w:val="bottom"/>
            <w:gridSpan w:val="4"/>
          </w:tcPr>
          <w:p>
            <w:pPr>
              <w:ind w:left="30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24"/>
        </w:trPr>
        <w:tc>
          <w:tcPr>
            <w:tcW w:w="9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1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016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160" w:type="dxa"/>
            <w:vAlign w:val="bottom"/>
            <w:gridSpan w:val="6"/>
          </w:tcPr>
          <w:p>
            <w:pPr>
              <w:spacing w:after="0"/>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 xml:space="preserve">Standby Equity Purchase Agreement, dated January 8, 2026 by and between Aptevo Therapeutics Inc. and YA II PN, LTD. </w:t>
              </w:r>
            </w:hyperlink>
            <w:r>
              <w:rPr>
                <w:rFonts w:ascii="Times New Roman" w:cs="Times New Roman" w:eastAsia="Times New Roman" w:hAnsi="Times New Roman"/>
                <w:sz w:val="18"/>
                <w:szCs w:val="18"/>
                <w:color w:val="000000"/>
                <w:w w:val="99"/>
              </w:rPr>
              <w:t>(incorporated</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by</w:t>
            </w: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filed with the SEC on January 9, 2026).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6"/>
                <w:szCs w:val="16"/>
                <w:color w:val="auto"/>
              </w:rPr>
            </w:pPr>
          </w:p>
        </w:tc>
        <w:tc>
          <w:tcPr>
            <w:tcW w:w="10160" w:type="dxa"/>
            <w:vAlign w:val="bottom"/>
            <w:tcBorders>
              <w:bottom w:val="single" w:sz="8" w:color="0000FF"/>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 Oxley Act of 2002.</w:t>
            </w:r>
          </w:p>
        </w:tc>
        <w:tc>
          <w:tcPr>
            <w:tcW w:w="20" w:type="dxa"/>
            <w:vAlign w:val="bottom"/>
            <w:tcBorders>
              <w:bottom w:val="single" w:sz="8" w:color="0000EE"/>
            </w:tcBorders>
          </w:tcPr>
          <w:p>
            <w:pPr>
              <w:spacing w:after="0"/>
              <w:rPr>
                <w:sz w:val="17"/>
                <w:szCs w:val="17"/>
                <w:color w:val="auto"/>
              </w:rPr>
            </w:pPr>
          </w:p>
        </w:tc>
        <w:tc>
          <w:tcPr>
            <w:tcW w:w="5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1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 Oxley Act of 2002.</w:t>
            </w:r>
          </w:p>
        </w:tc>
        <w:tc>
          <w:tcPr>
            <w:tcW w:w="20" w:type="dxa"/>
            <w:vAlign w:val="bottom"/>
            <w:tcBorders>
              <w:bottom w:val="single" w:sz="8" w:color="0000EE"/>
            </w:tcBorders>
          </w:tcPr>
          <w:p>
            <w:pPr>
              <w:spacing w:after="0"/>
              <w:rPr>
                <w:sz w:val="17"/>
                <w:szCs w:val="17"/>
                <w:color w:val="auto"/>
              </w:rPr>
            </w:pPr>
          </w:p>
        </w:tc>
        <w:tc>
          <w:tcPr>
            <w:tcW w:w="5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1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2002.</w:t>
            </w:r>
          </w:p>
        </w:tc>
        <w:tc>
          <w:tcPr>
            <w:tcW w:w="20" w:type="dxa"/>
            <w:vAlign w:val="bottom"/>
            <w:tcBorders>
              <w:bottom w:val="single" w:sz="8" w:color="0000EE"/>
            </w:tcBorders>
          </w:tcPr>
          <w:p>
            <w:pPr>
              <w:spacing w:after="0"/>
              <w:rPr>
                <w:sz w:val="17"/>
                <w:szCs w:val="17"/>
                <w:color w:val="auto"/>
              </w:rPr>
            </w:pPr>
          </w:p>
        </w:tc>
        <w:tc>
          <w:tcPr>
            <w:tcW w:w="9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101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2002.</w:t>
            </w:r>
          </w:p>
        </w:tc>
        <w:tc>
          <w:tcPr>
            <w:tcW w:w="20" w:type="dxa"/>
            <w:vAlign w:val="bottom"/>
            <w:tcBorders>
              <w:bottom w:val="single" w:sz="8" w:color="0000EE"/>
            </w:tcBorders>
          </w:tcPr>
          <w:p>
            <w:pPr>
              <w:spacing w:after="0"/>
              <w:rPr>
                <w:sz w:val="17"/>
                <w:szCs w:val="17"/>
                <w:color w:val="auto"/>
              </w:rPr>
            </w:pPr>
          </w:p>
        </w:tc>
        <w:tc>
          <w:tcPr>
            <w:tcW w:w="9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APTEVO THERAPEUTICS INC.</w:t>
      </w:r>
    </w:p>
    <w:p>
      <w:pPr>
        <w:spacing w:after="0" w:line="252" w:lineRule="exact"/>
        <w:rPr>
          <w:sz w:val="20"/>
          <w:szCs w:val="20"/>
          <w:color w:val="auto"/>
        </w:rPr>
      </w:pPr>
    </w:p>
    <w:p>
      <w:pPr>
        <w:spacing w:after="0"/>
        <w:tabs>
          <w:tab w:leader="none" w:pos="6180" w:val="left"/>
          <w:tab w:leader="none" w:pos="808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G.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Jeffrey G. Lamothe</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4" w:lineRule="exact"/>
        <w:rPr>
          <w:sz w:val="20"/>
          <w:szCs w:val="20"/>
          <w:color w:val="auto"/>
        </w:rPr>
      </w:pPr>
    </w:p>
    <w:p>
      <w:pPr>
        <w:spacing w:after="0"/>
        <w:tabs>
          <w:tab w:leader="none" w:pos="6180" w:val="left"/>
          <w:tab w:leader="none" w:pos="826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Daphne Taylor</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Lamothe, certify that:</w:t>
      </w:r>
    </w:p>
    <w:p>
      <w:pPr>
        <w:spacing w:after="0" w:line="225"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Aptevo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 w:leader="none" w:pos="776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G.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1"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Jeffrey G. Lamothe</w:t>
      </w:r>
    </w:p>
    <w:p>
      <w:pPr>
        <w:spacing w:after="0" w:line="9"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Daphne Taylor, certify that:</w:t>
      </w:r>
    </w:p>
    <w:p>
      <w:pPr>
        <w:spacing w:after="0" w:line="225"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Aptevo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 w:leader="none" w:pos="792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1"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Daphne Taylor</w:t>
      </w:r>
    </w:p>
    <w:p>
      <w:pPr>
        <w:spacing w:after="0" w:line="9"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Aptevo Therapeutics Inc. on Form 10-Q for the period ending March 31, 2026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spacing w:after="0"/>
        <w:tabs>
          <w:tab w:leader="none" w:pos="6700" w:val="left"/>
          <w:tab w:leader="none" w:pos="832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G.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17145</wp:posOffset>
            </wp:positionV>
            <wp:extent cx="26574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1" w:lineRule="exact"/>
        <w:rPr>
          <w:sz w:val="20"/>
          <w:szCs w:val="20"/>
          <w:color w:val="auto"/>
        </w:rPr>
      </w:pPr>
    </w:p>
    <w:p>
      <w:pPr>
        <w:jc w:val="center"/>
        <w:ind w:left="7020"/>
        <w:spacing w:after="0"/>
        <w:rPr>
          <w:sz w:val="20"/>
          <w:szCs w:val="20"/>
          <w:color w:val="auto"/>
        </w:rPr>
      </w:pPr>
      <w:r>
        <w:rPr>
          <w:rFonts w:ascii="Times New Roman" w:cs="Times New Roman" w:eastAsia="Times New Roman" w:hAnsi="Times New Roman"/>
          <w:sz w:val="18"/>
          <w:szCs w:val="18"/>
          <w:b w:val="1"/>
          <w:bCs w:val="1"/>
          <w:color w:val="auto"/>
        </w:rPr>
        <w:t>Jeffrey G. Lamothe</w:t>
      </w:r>
    </w:p>
    <w:p>
      <w:pPr>
        <w:spacing w:after="0" w:line="9"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47" w:lineRule="exact"/>
        <w:rPr>
          <w:sz w:val="20"/>
          <w:szCs w:val="20"/>
          <w:color w:val="auto"/>
        </w:rPr>
      </w:pPr>
    </w:p>
    <w:p>
      <w:pPr>
        <w:jc w:val="both"/>
        <w:ind w:right="42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Aptevo Inc. on Form 10-Q for the period ending March 31, 2026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spacing w:after="0"/>
        <w:tabs>
          <w:tab w:leader="none" w:pos="6700" w:val="left"/>
          <w:tab w:leader="none" w:pos="848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17145</wp:posOffset>
            </wp:positionV>
            <wp:extent cx="265747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1" w:lineRule="exact"/>
        <w:rPr>
          <w:sz w:val="20"/>
          <w:szCs w:val="20"/>
          <w:color w:val="auto"/>
        </w:rPr>
      </w:pPr>
    </w:p>
    <w:p>
      <w:pPr>
        <w:jc w:val="center"/>
        <w:ind w:left="7020"/>
        <w:spacing w:after="0"/>
        <w:rPr>
          <w:sz w:val="20"/>
          <w:szCs w:val="20"/>
          <w:color w:val="auto"/>
        </w:rPr>
      </w:pPr>
      <w:r>
        <w:rPr>
          <w:rFonts w:ascii="Times New Roman" w:cs="Times New Roman" w:eastAsia="Times New Roman" w:hAnsi="Times New Roman"/>
          <w:sz w:val="18"/>
          <w:szCs w:val="18"/>
          <w:b w:val="1"/>
          <w:bCs w:val="1"/>
          <w:color w:val="auto"/>
        </w:rPr>
        <w:t>Daphne Taylor</w:t>
      </w:r>
    </w:p>
    <w:p>
      <w:pPr>
        <w:spacing w:after="0" w:line="9"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47" w:lineRule="exact"/>
        <w:rPr>
          <w:sz w:val="20"/>
          <w:szCs w:val="20"/>
          <w:color w:val="auto"/>
        </w:rPr>
      </w:pPr>
    </w:p>
    <w:p>
      <w:pPr>
        <w:jc w:val="both"/>
        <w:ind w:right="42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lowerLetter"/>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3"/>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decimal"/>
      <w:start w:val="3"/>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lvl w:ilvl="1">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79" Type="http://schemas.openxmlformats.org/officeDocument/2006/relationships/hyperlink" Target="https://www.sec.gov/Archives/edgar/data/1671584/000119312526008318/apvo-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2026-05-13T15:26:29Z</dcterms:created>
  <dcterms:modified xsi:type="dcterms:W3CDTF">2026-05-13T15:26:29Z</dcterms:modified>
</cp:coreProperties>
</file>