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-172085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-93345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4260" w:right="3880" w:hanging="4252"/>
        <w:spacing w:after="0" w:line="286" w:lineRule="auto"/>
        <w:tabs>
          <w:tab w:leader="none" w:pos="3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OR</w:t>
      </w:r>
    </w:p>
    <w:p>
      <w:pPr>
        <w:spacing w:after="0" w:line="54" w:lineRule="exact"/>
        <w:rPr>
          <w:sz w:val="24"/>
          <w:szCs w:val="24"/>
          <w:color w:val="auto"/>
        </w:rPr>
      </w:pPr>
    </w:p>
    <w:p>
      <w:pPr>
        <w:ind w:left="520" w:right="20" w:hanging="512"/>
        <w:spacing w:after="0" w:line="261" w:lineRule="auto"/>
        <w:tabs>
          <w:tab w:leader="none" w:pos="37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001-37746</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APTEVO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-230505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660" w:type="dxa"/>
            <w:vAlign w:val="bottom"/>
          </w:tcPr>
          <w:p>
            <w:pPr>
              <w:jc w:val="center"/>
              <w:ind w:left="189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Pr>
          <w:p>
            <w:pPr>
              <w:jc w:val="right"/>
              <w:ind w:right="2395"/>
              <w:spacing w:after="0"/>
              <w:rPr>
                <w:sz w:val="20"/>
                <w:szCs w:val="20"/>
                <w:color w:val="auto"/>
              </w:rPr>
            </w:pPr>
            <w:r>
              <w:rPr>
                <w:rFonts w:ascii="Times New Roman" w:cs="Times New Roman" w:eastAsia="Times New Roman" w:hAnsi="Times New Roman"/>
                <w:sz w:val="14"/>
                <w:szCs w:val="14"/>
                <w:b w:val="1"/>
                <w:bCs w:val="1"/>
                <w:color w:val="auto"/>
              </w:rPr>
              <w:t>81-1567056</w:t>
            </w:r>
          </w:p>
        </w:tc>
        <w:tc>
          <w:tcPr>
            <w:tcW w:w="0" w:type="dxa"/>
            <w:vAlign w:val="bottom"/>
          </w:tcPr>
          <w:p>
            <w:pPr>
              <w:spacing w:after="0"/>
              <w:rPr>
                <w:sz w:val="1"/>
                <w:szCs w:val="1"/>
                <w:color w:val="auto"/>
              </w:rPr>
            </w:pPr>
          </w:p>
        </w:tc>
      </w:tr>
      <w:tr>
        <w:trPr>
          <w:trHeight w:val="137"/>
        </w:trPr>
        <w:tc>
          <w:tcPr>
            <w:tcW w:w="3660" w:type="dxa"/>
            <w:vAlign w:val="bottom"/>
          </w:tcPr>
          <w:p>
            <w:pPr>
              <w:jc w:val="center"/>
              <w:ind w:left="1913"/>
              <w:spacing w:after="0" w:line="137" w:lineRule="exact"/>
              <w:rPr>
                <w:sz w:val="20"/>
                <w:szCs w:val="20"/>
                <w:color w:val="auto"/>
              </w:rPr>
            </w:pPr>
            <w:r>
              <w:rPr>
                <w:rFonts w:ascii="Times New Roman" w:cs="Times New Roman" w:eastAsia="Times New Roman" w:hAnsi="Times New Roman"/>
                <w:sz w:val="12"/>
                <w:szCs w:val="12"/>
                <w:color w:val="auto"/>
                <w:w w:val="97"/>
              </w:rPr>
              <w:t>(State or other jurisdiction 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40" w:type="dxa"/>
            <w:vAlign w:val="bottom"/>
          </w:tcPr>
          <w:p>
            <w:pPr>
              <w:jc w:val="center"/>
              <w:ind w:right="2095"/>
              <w:spacing w:after="0" w:line="137" w:lineRule="exact"/>
              <w:rPr>
                <w:sz w:val="20"/>
                <w:szCs w:val="20"/>
                <w:color w:val="auto"/>
              </w:rPr>
            </w:pPr>
            <w:r>
              <w:rPr>
                <w:rFonts w:ascii="Times New Roman" w:cs="Times New Roman" w:eastAsia="Times New Roman" w:hAnsi="Times New Roman"/>
                <w:sz w:val="12"/>
                <w:szCs w:val="12"/>
                <w:color w:val="auto"/>
                <w:w w:val="97"/>
              </w:rPr>
              <w:t>(I.R.S. Employer</w:t>
            </w:r>
          </w:p>
        </w:tc>
        <w:tc>
          <w:tcPr>
            <w:tcW w:w="0" w:type="dxa"/>
            <w:vAlign w:val="bottom"/>
          </w:tcPr>
          <w:p>
            <w:pPr>
              <w:spacing w:after="0"/>
              <w:rPr>
                <w:sz w:val="1"/>
                <w:szCs w:val="1"/>
                <w:color w:val="auto"/>
              </w:rPr>
            </w:pPr>
          </w:p>
        </w:tc>
      </w:tr>
      <w:tr>
        <w:trPr>
          <w:trHeight w:val="126"/>
        </w:trPr>
        <w:tc>
          <w:tcPr>
            <w:tcW w:w="3660" w:type="dxa"/>
            <w:vAlign w:val="bottom"/>
          </w:tcPr>
          <w:p>
            <w:pPr>
              <w:jc w:val="center"/>
              <w:ind w:left="1913"/>
              <w:spacing w:after="0" w:line="126" w:lineRule="exact"/>
              <w:rPr>
                <w:sz w:val="20"/>
                <w:szCs w:val="20"/>
                <w:color w:val="auto"/>
              </w:rPr>
            </w:pPr>
            <w:r>
              <w:rPr>
                <w:rFonts w:ascii="Times New Roman" w:cs="Times New Roman" w:eastAsia="Times New Roman" w:hAnsi="Times New Roman"/>
                <w:sz w:val="12"/>
                <w:szCs w:val="12"/>
                <w:color w:val="auto"/>
                <w:w w:val="96"/>
              </w:rPr>
              <w:t>incorporation or organization)</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40" w:type="dxa"/>
            <w:vAlign w:val="bottom"/>
          </w:tcPr>
          <w:p>
            <w:pPr>
              <w:jc w:val="center"/>
              <w:ind w:right="2115"/>
              <w:spacing w:after="0" w:line="126" w:lineRule="exact"/>
              <w:rPr>
                <w:sz w:val="20"/>
                <w:szCs w:val="20"/>
                <w:color w:val="auto"/>
              </w:rPr>
            </w:pPr>
            <w:r>
              <w:rPr>
                <w:rFonts w:ascii="Times New Roman" w:cs="Times New Roman" w:eastAsia="Times New Roman" w:hAnsi="Times New Roman"/>
                <w:sz w:val="12"/>
                <w:szCs w:val="12"/>
                <w:color w:val="auto"/>
                <w:w w:val="96"/>
              </w:rPr>
              <w:t>Identification No.)</w:t>
            </w:r>
          </w:p>
        </w:tc>
        <w:tc>
          <w:tcPr>
            <w:tcW w:w="0" w:type="dxa"/>
            <w:vAlign w:val="bottom"/>
          </w:tcPr>
          <w:p>
            <w:pPr>
              <w:spacing w:after="0"/>
              <w:rPr>
                <w:sz w:val="1"/>
                <w:szCs w:val="1"/>
                <w:color w:val="auto"/>
              </w:rPr>
            </w:pPr>
          </w:p>
        </w:tc>
      </w:tr>
      <w:tr>
        <w:trPr>
          <w:trHeight w:val="168"/>
        </w:trPr>
        <w:tc>
          <w:tcPr>
            <w:tcW w:w="3660" w:type="dxa"/>
            <w:vAlign w:val="bottom"/>
          </w:tcPr>
          <w:p>
            <w:pPr>
              <w:jc w:val="center"/>
              <w:ind w:left="1913"/>
              <w:spacing w:after="0" w:line="168" w:lineRule="exact"/>
              <w:rPr>
                <w:sz w:val="20"/>
                <w:szCs w:val="20"/>
                <w:color w:val="auto"/>
              </w:rPr>
            </w:pPr>
            <w:r>
              <w:rPr>
                <w:rFonts w:ascii="Times New Roman" w:cs="Times New Roman" w:eastAsia="Times New Roman" w:hAnsi="Times New Roman"/>
                <w:sz w:val="14"/>
                <w:szCs w:val="14"/>
                <w:b w:val="1"/>
                <w:bCs w:val="1"/>
                <w:color w:val="auto"/>
              </w:rPr>
              <w:t>2401 4</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4"/>
                <w:szCs w:val="14"/>
                <w:b w:val="1"/>
                <w:bCs w:val="1"/>
                <w:color w:val="auto"/>
              </w:rPr>
              <w:t xml:space="preserve"> Avenue, Suite 1050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40" w:type="dxa"/>
            <w:vAlign w:val="bottom"/>
            <w:vMerge w:val="restart"/>
          </w:tcPr>
          <w:p>
            <w:pPr>
              <w:jc w:val="right"/>
              <w:ind w:right="2555"/>
              <w:spacing w:after="0"/>
              <w:rPr>
                <w:sz w:val="20"/>
                <w:szCs w:val="20"/>
                <w:color w:val="auto"/>
              </w:rPr>
            </w:pPr>
            <w:r>
              <w:rPr>
                <w:rFonts w:ascii="Times New Roman" w:cs="Times New Roman" w:eastAsia="Times New Roman" w:hAnsi="Times New Roman"/>
                <w:sz w:val="14"/>
                <w:szCs w:val="14"/>
                <w:b w:val="1"/>
                <w:bCs w:val="1"/>
                <w:color w:val="auto"/>
              </w:rPr>
              <w:t>98121</w:t>
            </w:r>
          </w:p>
        </w:tc>
        <w:tc>
          <w:tcPr>
            <w:tcW w:w="0" w:type="dxa"/>
            <w:vAlign w:val="bottom"/>
          </w:tcPr>
          <w:p>
            <w:pPr>
              <w:spacing w:after="0"/>
              <w:rPr>
                <w:sz w:val="1"/>
                <w:szCs w:val="1"/>
                <w:color w:val="auto"/>
              </w:rPr>
            </w:pPr>
          </w:p>
        </w:tc>
      </w:tr>
      <w:tr>
        <w:trPr>
          <w:trHeight w:val="190"/>
        </w:trPr>
        <w:tc>
          <w:tcPr>
            <w:tcW w:w="3660" w:type="dxa"/>
            <w:vAlign w:val="bottom"/>
          </w:tcPr>
          <w:p>
            <w:pPr>
              <w:jc w:val="center"/>
              <w:ind w:left="1893"/>
              <w:spacing w:after="0"/>
              <w:rPr>
                <w:sz w:val="20"/>
                <w:szCs w:val="20"/>
                <w:color w:val="auto"/>
              </w:rPr>
            </w:pPr>
            <w:r>
              <w:rPr>
                <w:rFonts w:ascii="Times New Roman" w:cs="Times New Roman" w:eastAsia="Times New Roman" w:hAnsi="Times New Roman"/>
                <w:sz w:val="14"/>
                <w:szCs w:val="14"/>
                <w:b w:val="1"/>
                <w:bCs w:val="1"/>
                <w:color w:val="auto"/>
              </w:rPr>
              <w:t>Seattle, Washington</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0" w:type="dxa"/>
            <w:vAlign w:val="bottom"/>
            <w:gridSpan w:val="6"/>
          </w:tcPr>
          <w:p>
            <w:pPr>
              <w:jc w:val="center"/>
              <w:ind w:right="2180"/>
              <w:spacing w:after="0"/>
              <w:rPr>
                <w:sz w:val="20"/>
                <w:szCs w:val="20"/>
                <w:color w:val="auto"/>
              </w:rPr>
            </w:pPr>
            <w:r>
              <w:rPr>
                <w:rFonts w:ascii="Times New Roman" w:cs="Times New Roman" w:eastAsia="Times New Roman" w:hAnsi="Times New Roman"/>
                <w:sz w:val="12"/>
                <w:szCs w:val="12"/>
                <w:color w:val="auto"/>
                <w:w w:val="97"/>
              </w:rPr>
              <w:t>(Address of principal executive offices)</w:t>
            </w:r>
          </w:p>
        </w:tc>
        <w:tc>
          <w:tcPr>
            <w:tcW w:w="3440" w:type="dxa"/>
            <w:vAlign w:val="bottom"/>
          </w:tcPr>
          <w:p>
            <w:pPr>
              <w:jc w:val="center"/>
              <w:ind w:right="2095"/>
              <w:spacing w:after="0"/>
              <w:rPr>
                <w:sz w:val="20"/>
                <w:szCs w:val="20"/>
                <w:color w:val="auto"/>
              </w:rPr>
            </w:pPr>
            <w:r>
              <w:rPr>
                <w:rFonts w:ascii="Times New Roman" w:cs="Times New Roman" w:eastAsia="Times New Roman" w:hAnsi="Times New Roman"/>
                <w:sz w:val="12"/>
                <w:szCs w:val="12"/>
                <w:color w:val="auto"/>
                <w:w w:val="98"/>
              </w:rPr>
              <w:t>(Zip Code)</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4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(206) 838-0500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3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60" w:type="dxa"/>
            <w:vAlign w:val="bottom"/>
            <w:tcBorders>
              <w:left w:val="single" w:sz="8" w:color="auto"/>
              <w:bottom w:val="single" w:sz="8" w:color="auto"/>
            </w:tcBorders>
          </w:tcPr>
          <w:p>
            <w:pPr>
              <w:jc w:val="center"/>
              <w:ind w:left="793"/>
              <w:spacing w:after="0" w:line="136" w:lineRule="exact"/>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040" w:type="dxa"/>
            <w:vAlign w:val="bottom"/>
            <w:tcBorders>
              <w:bottom w:val="single" w:sz="8" w:color="auto"/>
            </w:tcBorders>
            <w:gridSpan w:val="2"/>
          </w:tcPr>
          <w:p>
            <w:pPr>
              <w:spacing w:after="0"/>
              <w:rPr>
                <w:sz w:val="13"/>
                <w:szCs w:val="13"/>
                <w:color w:val="auto"/>
              </w:rPr>
            </w:pPr>
          </w:p>
        </w:tc>
        <w:tc>
          <w:tcPr>
            <w:tcW w:w="3440" w:type="dxa"/>
            <w:vAlign w:val="bottom"/>
            <w:tcBorders>
              <w:bottom w:val="single" w:sz="8" w:color="auto"/>
              <w:right w:val="single" w:sz="8" w:color="auto"/>
            </w:tcBorders>
          </w:tcPr>
          <w:p>
            <w:pPr>
              <w:jc w:val="center"/>
              <w:ind w:right="975"/>
              <w:spacing w:after="0" w:line="136" w:lineRule="exact"/>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c>
          <w:tcPr>
            <w:tcW w:w="0" w:type="dxa"/>
            <w:vAlign w:val="bottom"/>
          </w:tcPr>
          <w:p>
            <w:pPr>
              <w:spacing w:after="0"/>
              <w:rPr>
                <w:sz w:val="1"/>
                <w:szCs w:val="1"/>
                <w:color w:val="auto"/>
              </w:rPr>
            </w:pPr>
          </w:p>
        </w:tc>
      </w:tr>
      <w:tr>
        <w:trPr>
          <w:trHeight w:val="114"/>
        </w:trPr>
        <w:tc>
          <w:tcPr>
            <w:tcW w:w="3660" w:type="dxa"/>
            <w:vAlign w:val="bottom"/>
            <w:tcBorders>
              <w:left w:val="single" w:sz="8" w:color="auto"/>
            </w:tcBorders>
          </w:tcPr>
          <w:p>
            <w:pPr>
              <w:jc w:val="center"/>
              <w:ind w:left="793"/>
              <w:spacing w:after="0" w:line="114" w:lineRule="exact"/>
              <w:rPr>
                <w:sz w:val="20"/>
                <w:szCs w:val="20"/>
                <w:color w:val="auto"/>
              </w:rPr>
            </w:pPr>
            <w:r>
              <w:rPr>
                <w:rFonts w:ascii="Times New Roman" w:cs="Times New Roman" w:eastAsia="Times New Roman" w:hAnsi="Times New Roman"/>
                <w:sz w:val="13"/>
                <w:szCs w:val="13"/>
                <w:b w:val="1"/>
                <w:bCs w:val="1"/>
                <w:color w:val="auto"/>
              </w:rPr>
              <w:t>Common Stock, $0.001 par value per share</w:t>
            </w:r>
          </w:p>
        </w:tc>
        <w:tc>
          <w:tcPr>
            <w:tcW w:w="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APVO</w:t>
            </w:r>
          </w:p>
        </w:tc>
        <w:tc>
          <w:tcPr>
            <w:tcW w:w="1040" w:type="dxa"/>
            <w:vAlign w:val="bottom"/>
            <w:gridSpan w:val="2"/>
          </w:tcPr>
          <w:p>
            <w:pPr>
              <w:spacing w:after="0"/>
              <w:rPr>
                <w:sz w:val="9"/>
                <w:szCs w:val="9"/>
                <w:color w:val="auto"/>
              </w:rPr>
            </w:pPr>
          </w:p>
        </w:tc>
        <w:tc>
          <w:tcPr>
            <w:tcW w:w="3440" w:type="dxa"/>
            <w:vAlign w:val="bottom"/>
            <w:tcBorders>
              <w:right w:val="single" w:sz="8" w:color="auto"/>
            </w:tcBorders>
          </w:tcPr>
          <w:p>
            <w:pPr>
              <w:jc w:val="center"/>
              <w:ind w:right="995"/>
              <w:spacing w:after="0" w:line="114"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87"/>
        </w:trPr>
        <w:tc>
          <w:tcPr>
            <w:tcW w:w="366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center"/>
              <w:ind w:right="995"/>
              <w:spacing w:after="0"/>
              <w:rPr>
                <w:sz w:val="20"/>
                <w:szCs w:val="20"/>
                <w:color w:val="auto"/>
              </w:rPr>
            </w:pPr>
            <w:r>
              <w:rPr>
                <w:rFonts w:ascii="Times New Roman" w:cs="Times New Roman" w:eastAsia="Times New Roman" w:hAnsi="Times New Roman"/>
                <w:sz w:val="14"/>
                <w:szCs w:val="14"/>
                <w:b w:val="1"/>
                <w:bCs w:val="1"/>
                <w:color w:val="auto"/>
              </w:rPr>
              <w:t>(The Nasdaq Capital Market)</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0" w:type="dxa"/>
            <w:vAlign w:val="bottom"/>
            <w:gridSpan w:val="6"/>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00" w:type="dxa"/>
            <w:vAlign w:val="bottom"/>
            <w:gridSpan w:val="6"/>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4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4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0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24"/>
        </w:trPr>
        <w:tc>
          <w:tcPr>
            <w:tcW w:w="1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0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6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1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tabs>
          <w:tab w:leader="none" w:pos="60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as of June 30, 2022, the last business day of the Registrant’s most recently completed second fiscal quarter, was $18 million, based upon the closing price of the Registrant’s common stock on the Nasdaq Stock Market LLC on June 30, 2022, the last trading day of the fiscal quarter.</w:t>
      </w:r>
    </w:p>
    <w:p>
      <w:pPr>
        <w:spacing w:after="0" w:line="1"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Excludes an aggregate of 51,342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30, 2023, the number of shares of Registrant’s common stock outstanding was 7,239,471.</w:t>
      </w:r>
    </w:p>
    <w:p>
      <w:pPr>
        <w:spacing w:after="0" w:line="9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 the Securities and Exchange Commission pursuant to Regulation 14A, not later than 120 days after the end of the fiscal year covered by this Annual Report on Form 10-K, relating to the Registrant’s 2023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Business</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Risk Factors</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Unresolved Staff Comments</w:t>
            </w:r>
          </w:p>
        </w:tc>
        <w:tc>
          <w:tcPr>
            <w:tcW w:w="6020" w:type="dxa"/>
            <w:vAlign w:val="bottom"/>
            <w:gridSpan w:val="11"/>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8"/>
              </w:rPr>
              <w:t>Properties</w:t>
            </w:r>
          </w:p>
        </w:tc>
        <w:tc>
          <w:tcPr>
            <w:tcW w:w="7340" w:type="dxa"/>
            <w:vAlign w:val="bottom"/>
            <w:gridSpan w:val="19"/>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740" w:type="dxa"/>
            <w:vAlign w:val="bottom"/>
            <w:gridSpan w:val="15"/>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Mine Safety Disclosures</w:t>
            </w:r>
          </w:p>
        </w:tc>
      </w:tr>
      <w:tr>
        <w:trPr>
          <w:trHeight w:val="371"/>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7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8"/>
              </w:rPr>
              <w:t>[Reserved]</w:t>
            </w:r>
          </w:p>
        </w:tc>
        <w:tc>
          <w:tcPr>
            <w:tcW w:w="7280" w:type="dxa"/>
            <w:vAlign w:val="bottom"/>
            <w:gridSpan w:val="18"/>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620" w:type="dxa"/>
            <w:vAlign w:val="bottom"/>
            <w:gridSpan w:val="3"/>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1020" w:type="dxa"/>
            <w:vAlign w:val="bottom"/>
            <w:tcBorders>
              <w:top w:val="single" w:sz="8" w:color="0000EE"/>
            </w:tcBorders>
            <w:gridSpan w:val="2"/>
          </w:tcPr>
          <w:p>
            <w:pPr>
              <w:spacing w:after="0"/>
              <w:rPr>
                <w:sz w:val="19"/>
                <w:szCs w:val="19"/>
                <w:color w:val="auto"/>
              </w:rPr>
            </w:pPr>
          </w:p>
        </w:tc>
        <w:tc>
          <w:tcPr>
            <w:tcW w:w="3720" w:type="dxa"/>
            <w:vAlign w:val="bottom"/>
            <w:gridSpan w:val="6"/>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4700" w:type="dxa"/>
            <w:vAlign w:val="bottom"/>
            <w:tcBorders>
              <w:top w:val="single" w:sz="8" w:color="0000EE"/>
            </w:tcBorders>
            <w:gridSpan w:val="11"/>
          </w:tcPr>
          <w:p>
            <w:pPr>
              <w:spacing w:after="0"/>
              <w:rPr>
                <w:sz w:val="19"/>
                <w:szCs w:val="19"/>
                <w:color w:val="auto"/>
              </w:rPr>
            </w:pPr>
          </w:p>
        </w:tc>
        <w:tc>
          <w:tcPr>
            <w:tcW w:w="1600" w:type="dxa"/>
            <w:vAlign w:val="bottom"/>
            <w:gridSpan w:val="2"/>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6760" w:type="dxa"/>
            <w:vAlign w:val="bottom"/>
            <w:gridSpan w:val="16"/>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r>
      <w:tr>
        <w:trPr>
          <w:trHeight w:val="371"/>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6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3980" w:type="dxa"/>
            <w:vAlign w:val="bottom"/>
            <w:gridSpan w:val="7"/>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Executive Compensation</w:t>
            </w:r>
          </w:p>
        </w:tc>
      </w:tr>
      <w:tr>
        <w:trPr>
          <w:trHeight w:val="20"/>
        </w:trPr>
        <w:tc>
          <w:tcPr>
            <w:tcW w:w="7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780" w:type="dxa"/>
            <w:vAlign w:val="bottom"/>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w w:val="99"/>
              </w:rPr>
              <w:t>Certain Relationships and Related Transactions, and Director Independence</w:t>
            </w:r>
          </w:p>
        </w:tc>
        <w:tc>
          <w:tcPr>
            <w:tcW w:w="2620" w:type="dxa"/>
            <w:vAlign w:val="bottom"/>
            <w:gridSpan w:val="4"/>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r>
      <w:tr>
        <w:trPr>
          <w:trHeight w:val="372"/>
        </w:trPr>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6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Exhibits, Financial Statement Schedules</w:t>
            </w: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w w:val="99"/>
              </w:rPr>
              <w:t>Form 10-K Summary</w:t>
            </w:r>
          </w:p>
        </w:tc>
        <w:tc>
          <w:tcPr>
            <w:tcW w:w="1340" w:type="dxa"/>
            <w:vAlign w:val="bottom"/>
            <w:tcBorders>
              <w:top w:val="single" w:sz="8" w:color="0000EE"/>
            </w:tcBorders>
            <w:gridSpan w:val="5"/>
          </w:tcPr>
          <w:p>
            <w:pPr>
              <w:spacing w:after="0"/>
              <w:rPr>
                <w:sz w:val="19"/>
                <w:szCs w:val="19"/>
                <w:color w:val="auto"/>
              </w:rPr>
            </w:pPr>
          </w:p>
        </w:tc>
        <w:tc>
          <w:tcPr>
            <w:tcW w:w="5180" w:type="dxa"/>
            <w:vAlign w:val="bottom"/>
            <w:gridSpan w:val="9"/>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16510</wp:posOffset>
            </wp:positionV>
            <wp:extent cx="351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2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0" w:lineRule="exact"/>
        <w:rPr>
          <w:sz w:val="20"/>
          <w:szCs w:val="20"/>
          <w:color w:val="auto"/>
        </w:rPr>
      </w:pPr>
    </w:p>
    <w:p>
      <w:pPr>
        <w:spacing w:after="0" w:line="2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63</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63</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64</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74</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75</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ectPr>
          <w:pgSz w:w="11900" w:h="16838" w:orient="portrait"/>
          <w:cols w:equalWidth="0" w:num="2">
            <w:col w:w="10100" w:space="720"/>
            <w:col w:w="420"/>
          </w:cols>
          <w:pgMar w:left="320" w:top="333" w:right="339" w:bottom="1440" w:gutter="0" w:footer="0" w:header="0"/>
          <w:type w:val="continuous"/>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3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within the meaning of Section 27A of the Securities Act of 1933, as amended, and Section 21E of the Securities Exchange Act of 1934, as amended (the Exchange Act). Statements in this Annual Report on Form 10-K, other than statements of historical facts, including statements regarding our strategy, future operations, including the timing of future clinical trials,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Any forward-looking statements are based upon management’s assumptions, expectations, projections, intentions, objectives and/or beliefs about future events or occurrences and are subject to a number of risks and uncertainties. The timing of certain events and circumstances and known and unknown risks and uncertainties could cause actual results to differ materially from the plans, intentions, expectations and objectives underlying or disclosed in the forward-looking statements that we make. Therefore, you should not place undue reliance on our forward-looking statements. Some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Annual Report on Form 10-K. Our forward-looking statements in this Annual Report on Form 10-K are based on current information and we do not assume any obligation to update any forward-looking statements except as required by the federal securities laws.</w:t>
      </w:r>
    </w:p>
    <w:p>
      <w:pPr>
        <w:spacing w:after="0" w:line="7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financial statements and the related notes to those statements included elsewhere in this Annual Report on Form 10-K.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Our lead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to produce signaling responses that modulate the immune system to kill tumor cells.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we are skilled at candidate generation, validation, and subsequent preclinical and clinical development using the ADAPTIR platform and the ADAPTIR-FLEX platform to generate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grow our business by, among other things:</w:t>
      </w:r>
    </w:p>
    <w:p>
      <w:pPr>
        <w:spacing w:after="0" w:line="11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our lead clinical stage candidate, APVO436, through clinical development to evaluate its therapeutic potential alone and in combination with other therapies. </w:t>
      </w:r>
      <w:r>
        <w:rPr>
          <w:rFonts w:ascii="Times New Roman" w:cs="Times New Roman" w:eastAsia="Times New Roman" w:hAnsi="Times New Roman"/>
          <w:sz w:val="18"/>
          <w:szCs w:val="18"/>
          <w:color w:val="auto"/>
        </w:rPr>
        <w:t>Based on the positive results from our Phase 1 dose escalation and dose expansion study, we plan to initiate a Phase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trial in the second half of 2023 to continue to assess efficacy of APVO436 in combination with Venetoclax and Azacitidine for the treatment of acute myelogenous leukemia (AML).</w:t>
      </w:r>
    </w:p>
    <w:p>
      <w:pPr>
        <w:spacing w:after="0" w:line="6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our solid tumor candidate, ALG.APV-527, developed in partnership with Alligator Bioscience AB (Alligator), further in the clinic. </w:t>
      </w:r>
      <w:r>
        <w:rPr>
          <w:rFonts w:ascii="Times New Roman" w:cs="Times New Roman" w:eastAsia="Times New Roman" w:hAnsi="Times New Roman"/>
          <w:sz w:val="18"/>
          <w:szCs w:val="18"/>
          <w:color w:val="auto"/>
        </w:rPr>
        <w:t>Aptevo and Alligator continue to investigate ALG.APV-527 for the treatment of multiple 5T4-tumor expressing antigens in multiple solid tumor indications in a first-in-human Phase I clinical study that started in the first quarter of 2023. We are currently enrolling new patients. ALG.APV-527 targets the 4-1BB co-stimulatory receptor (on T lymphocytes and NK cells) and 5T4 (solid tumor antigen) and is designed to promote anti-tumor immunity.</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Continued development and advancement our preclinical candidates, APVO603 (targeting 4-1BB (CD137) and OX40 (CD134), both members of the TNF-receptor family), APVO442 (targeting Prostate Specific Membrane Antigen (PSMA), a tumor antigen that is highly expressed on prostate cancer cells and CD3), and APVO711 (an anti-PD-L1 x anti-CD40 compound). </w:t>
      </w:r>
      <w:r>
        <w:rPr>
          <w:rFonts w:ascii="Times New Roman" w:cs="Times New Roman" w:eastAsia="Times New Roman" w:hAnsi="Times New Roman"/>
          <w:sz w:val="18"/>
          <w:szCs w:val="18"/>
          <w:color w:val="auto"/>
        </w:rPr>
        <w:t>We continue advance APVO603 and APVO442 through preclinical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IND-enabling studies. In January 2023, we filed a provisional patent with the U.S. Patent and Trademark Office (USPTO) pertaining to APVO711, with the potential to treat a range of solid malignancies such as head and neck cancer. APVO711 is a dual mechanism bispecific antibody candidate that is designed to provide synergistic stimulation of CD40 on antigen presenting cells while simultaneously blocking the PD-1/PD-L1 inhibitory pathway to potentially promote a robust anti-tumor response. Preclinical studies are planned to further evaluate the mechanism of action and efficacy of APVO711.</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of novel bispecific and multi-specific proteins for the treatment of cancer using our ADAPTIR and ADAPTIR-FLEX platforms. </w:t>
      </w:r>
      <w:r>
        <w:rPr>
          <w:rFonts w:ascii="Times New Roman" w:cs="Times New Roman" w:eastAsia="Times New Roman" w:hAnsi="Times New Roman"/>
          <w:sz w:val="18"/>
          <w:szCs w:val="18"/>
          <w:color w:val="auto"/>
        </w:rPr>
        <w:t>We have expertise in molecular and cellular biology, immunology, oncology, pharmacology, translational sciences, antibody engineering and the development of protein therapeutics. This includes target validation, preclinical proof of concept, cell line development, protein purification, bioassay and process development and analytical characterization. We focus on product development using our ADAPTIR and ADAPTIR-FLEX platforms. We plan to generate additional monospecific, bispecific, and multi-specific protein immunotherapies for development, potentially with other collaborative partners, to exploit the potential of the ADAPTIR and ADAPTIR-FLEX platforms. We will select novel candidates that have the potential to demonstrate proof of concept early in development. We expect to continue to expand the ADAPTIR and ADAPTIR-FLEX product pipelines to address areas of unmet medical need.</w:t>
      </w:r>
    </w:p>
    <w:p>
      <w:pPr>
        <w:spacing w:after="0" w:line="7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Establishing collaborative partnerships to broaden our pipeline and provide funding for research and development. </w:t>
      </w:r>
      <w:r>
        <w:rPr>
          <w:rFonts w:ascii="Times New Roman" w:cs="Times New Roman" w:eastAsia="Times New Roman" w:hAnsi="Times New Roman"/>
          <w:sz w:val="18"/>
          <w:szCs w:val="18"/>
          <w:color w:val="auto"/>
        </w:rPr>
        <w:t>We intend to pursue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collaborations with other biotechnology and pharmaceutical companies, academia, and non-governmental organizations to advance our product portfolio.</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PLATFORM TECHNOLOGY AND PRODUCT CANDIDATES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8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74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78"/>
        </w:trPr>
        <w:tc>
          <w:tcPr>
            <w:tcW w:w="3780" w:type="dxa"/>
            <w:vAlign w:val="bottom"/>
            <w:tcBorders>
              <w:left w:val="single" w:sz="8" w:color="auto"/>
              <w:right w:val="single" w:sz="8" w:color="auto"/>
            </w:tcBorders>
            <w:vMerge w:val="continue"/>
          </w:tcPr>
          <w:p>
            <w:pPr>
              <w:spacing w:after="0"/>
              <w:rPr>
                <w:sz w:val="6"/>
                <w:szCs w:val="6"/>
                <w:color w:val="auto"/>
              </w:rPr>
            </w:pPr>
          </w:p>
        </w:tc>
        <w:tc>
          <w:tcPr>
            <w:tcW w:w="3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ADAPTIR</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ADAPTIR-FLEX</w:t>
            </w:r>
          </w:p>
        </w:tc>
        <w:tc>
          <w:tcPr>
            <w:tcW w:w="0" w:type="dxa"/>
            <w:vAlign w:val="bottom"/>
          </w:tcPr>
          <w:p>
            <w:pPr>
              <w:spacing w:after="0"/>
              <w:rPr>
                <w:sz w:val="1"/>
                <w:szCs w:val="1"/>
                <w:color w:val="auto"/>
              </w:rPr>
            </w:pPr>
          </w:p>
        </w:tc>
      </w:tr>
      <w:tr>
        <w:trPr>
          <w:trHeight w:val="111"/>
        </w:trPr>
        <w:tc>
          <w:tcPr>
            <w:tcW w:w="3780" w:type="dxa"/>
            <w:vAlign w:val="bottom"/>
            <w:tcBorders>
              <w:left w:val="single" w:sz="8" w:color="auto"/>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vMerge w:val="continue"/>
          </w:tcPr>
          <w:p>
            <w:pPr>
              <w:spacing w:after="0"/>
              <w:rPr>
                <w:sz w:val="9"/>
                <w:szCs w:val="9"/>
                <w:color w:val="auto"/>
              </w:rPr>
            </w:pPr>
          </w:p>
        </w:tc>
        <w:tc>
          <w:tcPr>
            <w:tcW w:w="37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Drug Targeting</w:t>
            </w:r>
          </w:p>
        </w:tc>
        <w:tc>
          <w:tcPr>
            <w:tcW w:w="372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Bind up to two targets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Bind up to four targets</w:t>
            </w:r>
          </w:p>
        </w:tc>
        <w:tc>
          <w:tcPr>
            <w:tcW w:w="0" w:type="dxa"/>
            <w:vAlign w:val="bottom"/>
          </w:tcPr>
          <w:p>
            <w:pPr>
              <w:spacing w:after="0"/>
              <w:rPr>
                <w:sz w:val="1"/>
                <w:szCs w:val="1"/>
                <w:color w:val="auto"/>
              </w:rPr>
            </w:pPr>
          </w:p>
        </w:tc>
      </w:tr>
      <w:tr>
        <w:trPr>
          <w:trHeight w:val="116"/>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Genetic and Structural Format</w:t>
            </w:r>
          </w:p>
        </w:tc>
        <w:tc>
          <w:tcPr>
            <w:tcW w:w="3720" w:type="dxa"/>
            <w:vAlign w:val="bottom"/>
            <w:tcBorders>
              <w:right w:val="single" w:sz="8" w:color="auto"/>
            </w:tcBorders>
          </w:tcPr>
          <w:p>
            <w:pPr>
              <w:jc w:val="center"/>
              <w:ind w:right="8"/>
              <w:spacing w:after="0" w:line="116" w:lineRule="exact"/>
              <w:rPr>
                <w:sz w:val="20"/>
                <w:szCs w:val="20"/>
                <w:color w:val="auto"/>
              </w:rPr>
            </w:pPr>
            <w:r>
              <w:rPr>
                <w:rFonts w:ascii="Times New Roman" w:cs="Times New Roman" w:eastAsia="Times New Roman" w:hAnsi="Times New Roman"/>
                <w:sz w:val="13"/>
                <w:szCs w:val="13"/>
                <w:color w:val="auto"/>
              </w:rPr>
              <w:t>Single gene that assembles into a homodimer based on an</w:t>
            </w:r>
          </w:p>
        </w:tc>
        <w:tc>
          <w:tcPr>
            <w:tcW w:w="37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color w:val="auto"/>
              </w:rPr>
              <w:t>Two genes that assemble into a heterodimer based on a mutated</w:t>
            </w:r>
          </w:p>
        </w:tc>
        <w:tc>
          <w:tcPr>
            <w:tcW w:w="0" w:type="dxa"/>
            <w:vAlign w:val="bottom"/>
          </w:tcPr>
          <w:p>
            <w:pPr>
              <w:spacing w:after="0"/>
              <w:rPr>
                <w:sz w:val="1"/>
                <w:szCs w:val="1"/>
                <w:color w:val="auto"/>
              </w:rPr>
            </w:pPr>
          </w:p>
        </w:tc>
      </w:tr>
      <w:tr>
        <w:trPr>
          <w:trHeight w:val="107"/>
        </w:trPr>
        <w:tc>
          <w:tcPr>
            <w:tcW w:w="3780" w:type="dxa"/>
            <w:vAlign w:val="bottom"/>
            <w:tcBorders>
              <w:left w:val="single" w:sz="8" w:color="auto"/>
              <w:right w:val="single" w:sz="8" w:color="auto"/>
            </w:tcBorders>
            <w:vMerge w:val="continue"/>
          </w:tcPr>
          <w:p>
            <w:pPr>
              <w:spacing w:after="0"/>
              <w:rPr>
                <w:sz w:val="9"/>
                <w:szCs w:val="9"/>
                <w:color w:val="auto"/>
              </w:rPr>
            </w:pPr>
          </w:p>
        </w:tc>
        <w:tc>
          <w:tcPr>
            <w:tcW w:w="3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antibody backbone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antibody backbone</w:t>
            </w:r>
          </w:p>
        </w:tc>
        <w:tc>
          <w:tcPr>
            <w:tcW w:w="0" w:type="dxa"/>
            <w:vAlign w:val="bottom"/>
          </w:tcPr>
          <w:p>
            <w:pPr>
              <w:spacing w:after="0"/>
              <w:rPr>
                <w:sz w:val="1"/>
                <w:szCs w:val="1"/>
                <w:color w:val="auto"/>
              </w:rPr>
            </w:pPr>
          </w:p>
        </w:tc>
      </w:tr>
      <w:tr>
        <w:trPr>
          <w:trHeight w:val="78"/>
        </w:trPr>
        <w:tc>
          <w:tcPr>
            <w:tcW w:w="3780" w:type="dxa"/>
            <w:vAlign w:val="bottom"/>
            <w:tcBorders>
              <w:left w:val="single" w:sz="8" w:color="auto"/>
              <w:bottom w:val="single" w:sz="8" w:color="auto"/>
              <w:right w:val="single" w:sz="8" w:color="auto"/>
            </w:tcBorders>
          </w:tcPr>
          <w:p>
            <w:pPr>
              <w:spacing w:after="0"/>
              <w:rPr>
                <w:sz w:val="6"/>
                <w:szCs w:val="6"/>
                <w:color w:val="auto"/>
              </w:rPr>
            </w:pPr>
          </w:p>
        </w:tc>
        <w:tc>
          <w:tcPr>
            <w:tcW w:w="3720" w:type="dxa"/>
            <w:vAlign w:val="bottom"/>
            <w:tcBorders>
              <w:bottom w:val="single" w:sz="8" w:color="auto"/>
              <w:right w:val="single" w:sz="8" w:color="auto"/>
            </w:tcBorders>
            <w:vMerge w:val="continue"/>
          </w:tcPr>
          <w:p>
            <w:pPr>
              <w:spacing w:after="0"/>
              <w:rPr>
                <w:sz w:val="6"/>
                <w:szCs w:val="6"/>
                <w:color w:val="auto"/>
              </w:rPr>
            </w:pPr>
          </w:p>
        </w:tc>
        <w:tc>
          <w:tcPr>
            <w:tcW w:w="37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Half-life</w:t>
            </w:r>
          </w:p>
        </w:tc>
        <w:tc>
          <w:tcPr>
            <w:tcW w:w="7460" w:type="dxa"/>
            <w:vAlign w:val="bottom"/>
            <w:tcBorders>
              <w:right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Contains Immunoglobulin Gamma 1 Fc</w:t>
            </w:r>
          </w:p>
        </w:tc>
        <w:tc>
          <w:tcPr>
            <w:tcW w:w="0" w:type="dxa"/>
            <w:vAlign w:val="bottom"/>
          </w:tcPr>
          <w:p>
            <w:pPr>
              <w:spacing w:after="0"/>
              <w:rPr>
                <w:sz w:val="1"/>
                <w:szCs w:val="1"/>
                <w:color w:val="auto"/>
              </w:rPr>
            </w:pPr>
          </w:p>
        </w:tc>
      </w:tr>
      <w:tr>
        <w:trPr>
          <w:trHeight w:val="107"/>
        </w:trPr>
        <w:tc>
          <w:tcPr>
            <w:tcW w:w="3780" w:type="dxa"/>
            <w:vAlign w:val="bottom"/>
            <w:tcBorders>
              <w:left w:val="single" w:sz="8" w:color="auto"/>
              <w:right w:val="single" w:sz="8" w:color="auto"/>
            </w:tcBorders>
            <w:vMerge w:val="continue"/>
          </w:tcPr>
          <w:p>
            <w:pPr>
              <w:spacing w:after="0"/>
              <w:rPr>
                <w:sz w:val="9"/>
                <w:szCs w:val="9"/>
                <w:color w:val="auto"/>
              </w:rPr>
            </w:pPr>
          </w:p>
        </w:tc>
        <w:tc>
          <w:tcPr>
            <w:tcW w:w="74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Demonstrated antibody-like half-life in mice</w:t>
            </w:r>
          </w:p>
        </w:tc>
        <w:tc>
          <w:tcPr>
            <w:tcW w:w="0" w:type="dxa"/>
            <w:vAlign w:val="bottom"/>
          </w:tcPr>
          <w:p>
            <w:pPr>
              <w:spacing w:after="0"/>
              <w:rPr>
                <w:sz w:val="1"/>
                <w:szCs w:val="1"/>
                <w:color w:val="auto"/>
              </w:rPr>
            </w:pPr>
          </w:p>
        </w:tc>
      </w:tr>
      <w:tr>
        <w:trPr>
          <w:trHeight w:val="78"/>
        </w:trPr>
        <w:tc>
          <w:tcPr>
            <w:tcW w:w="3780" w:type="dxa"/>
            <w:vAlign w:val="bottom"/>
            <w:tcBorders>
              <w:left w:val="single" w:sz="8" w:color="auto"/>
              <w:bottom w:val="single" w:sz="8" w:color="auto"/>
              <w:right w:val="single" w:sz="8" w:color="auto"/>
            </w:tcBorders>
          </w:tcPr>
          <w:p>
            <w:pPr>
              <w:spacing w:after="0"/>
              <w:rPr>
                <w:sz w:val="6"/>
                <w:szCs w:val="6"/>
                <w:color w:val="auto"/>
              </w:rPr>
            </w:pPr>
          </w:p>
        </w:tc>
        <w:tc>
          <w:tcPr>
            <w:tcW w:w="746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Effector Function</w:t>
            </w:r>
          </w:p>
        </w:tc>
        <w:tc>
          <w:tcPr>
            <w:tcW w:w="7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Fc mutations may be utilized to eliminate binding to Fc Gamma Receptors or to enhance effector function</w:t>
            </w:r>
          </w:p>
        </w:tc>
        <w:tc>
          <w:tcPr>
            <w:tcW w:w="0" w:type="dxa"/>
            <w:vAlign w:val="bottom"/>
          </w:tcPr>
          <w:p>
            <w:pPr>
              <w:spacing w:after="0"/>
              <w:rPr>
                <w:sz w:val="1"/>
                <w:szCs w:val="1"/>
                <w:color w:val="auto"/>
              </w:rPr>
            </w:pPr>
          </w:p>
        </w:tc>
      </w:tr>
      <w:tr>
        <w:trPr>
          <w:trHeight w:val="16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Manufacturing</w:t>
            </w:r>
          </w:p>
        </w:tc>
        <w:tc>
          <w:tcPr>
            <w:tcW w:w="7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Antibody-like manufacturing processes</w:t>
            </w:r>
          </w:p>
        </w:tc>
        <w:tc>
          <w:tcPr>
            <w:tcW w:w="0" w:type="dxa"/>
            <w:vAlign w:val="bottom"/>
          </w:tcPr>
          <w:p>
            <w:pPr>
              <w:spacing w:after="0"/>
              <w:rPr>
                <w:sz w:val="1"/>
                <w:szCs w:val="1"/>
                <w:color w:val="auto"/>
              </w:rPr>
            </w:pPr>
          </w:p>
        </w:tc>
      </w:tr>
      <w:tr>
        <w:trPr>
          <w:trHeight w:val="133"/>
        </w:trPr>
        <w:tc>
          <w:tcPr>
            <w:tcW w:w="3780" w:type="dxa"/>
            <w:vAlign w:val="bottom"/>
            <w:tcBorders>
              <w:left w:val="single" w:sz="8" w:color="auto"/>
              <w:right w:val="single" w:sz="8" w:color="auto"/>
            </w:tcBorders>
          </w:tcPr>
          <w:p>
            <w:pPr>
              <w:spacing w:after="0"/>
              <w:rPr>
                <w:sz w:val="11"/>
                <w:szCs w:val="11"/>
                <w:color w:val="auto"/>
              </w:rPr>
            </w:pPr>
          </w:p>
        </w:tc>
        <w:tc>
          <w:tcPr>
            <w:tcW w:w="3720" w:type="dxa"/>
            <w:vAlign w:val="bottom"/>
            <w:tcBorders>
              <w:right w:val="single" w:sz="8" w:color="auto"/>
            </w:tcBorders>
          </w:tcPr>
          <w:p>
            <w:pPr>
              <w:ind w:left="1200"/>
              <w:spacing w:after="0" w:line="133" w:lineRule="exact"/>
              <w:rPr>
                <w:sz w:val="20"/>
                <w:szCs w:val="20"/>
                <w:color w:val="auto"/>
              </w:rPr>
            </w:pPr>
            <w:r>
              <w:rPr>
                <w:rFonts w:ascii="Times New Roman" w:cs="Times New Roman" w:eastAsia="Times New Roman" w:hAnsi="Times New Roman"/>
                <w:sz w:val="14"/>
                <w:szCs w:val="14"/>
                <w:color w:val="auto"/>
              </w:rPr>
              <w:t>APVO436 (CD123 x CD3)</w:t>
            </w:r>
          </w:p>
        </w:tc>
        <w:tc>
          <w:tcPr>
            <w:tcW w:w="3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Current Pipeline Candidates</w:t>
            </w:r>
          </w:p>
        </w:tc>
        <w:tc>
          <w:tcPr>
            <w:tcW w:w="3720" w:type="dxa"/>
            <w:vAlign w:val="bottom"/>
            <w:tcBorders>
              <w:right w:val="single" w:sz="8" w:color="auto"/>
            </w:tcBorders>
          </w:tcPr>
          <w:p>
            <w:pPr>
              <w:ind w:left="1140"/>
              <w:spacing w:after="0" w:line="149" w:lineRule="exact"/>
              <w:rPr>
                <w:sz w:val="20"/>
                <w:szCs w:val="20"/>
                <w:color w:val="auto"/>
              </w:rPr>
            </w:pPr>
            <w:r>
              <w:rPr>
                <w:rFonts w:ascii="Times New Roman" w:cs="Times New Roman" w:eastAsia="Times New Roman" w:hAnsi="Times New Roman"/>
                <w:sz w:val="14"/>
                <w:szCs w:val="14"/>
                <w:color w:val="auto"/>
              </w:rPr>
              <w:t>ALG.APV-527 (41BB x 5T4)</w:t>
            </w:r>
          </w:p>
        </w:tc>
        <w:tc>
          <w:tcPr>
            <w:tcW w:w="3740" w:type="dxa"/>
            <w:vAlign w:val="bottom"/>
            <w:tcBorders>
              <w:right w:val="single" w:sz="8" w:color="auto"/>
            </w:tcBorders>
            <w:vMerge w:val="restart"/>
          </w:tcPr>
          <w:p>
            <w:pPr>
              <w:ind w:left="1180"/>
              <w:spacing w:after="0"/>
              <w:rPr>
                <w:sz w:val="20"/>
                <w:szCs w:val="20"/>
                <w:color w:val="auto"/>
              </w:rPr>
            </w:pPr>
            <w:r>
              <w:rPr>
                <w:rFonts w:ascii="Times New Roman" w:cs="Times New Roman" w:eastAsia="Times New Roman" w:hAnsi="Times New Roman"/>
                <w:sz w:val="14"/>
                <w:szCs w:val="14"/>
                <w:color w:val="auto"/>
              </w:rPr>
              <w:t>APVO442 (PSMA x CD3)</w:t>
            </w:r>
          </w:p>
        </w:tc>
        <w:tc>
          <w:tcPr>
            <w:tcW w:w="0" w:type="dxa"/>
            <w:vAlign w:val="bottom"/>
          </w:tcPr>
          <w:p>
            <w:pPr>
              <w:spacing w:after="0"/>
              <w:rPr>
                <w:sz w:val="1"/>
                <w:szCs w:val="1"/>
                <w:color w:val="auto"/>
              </w:rPr>
            </w:pPr>
          </w:p>
        </w:tc>
      </w:tr>
      <w:tr>
        <w:trPr>
          <w:trHeight w:val="107"/>
        </w:trPr>
        <w:tc>
          <w:tcPr>
            <w:tcW w:w="3780" w:type="dxa"/>
            <w:vAlign w:val="bottom"/>
            <w:tcBorders>
              <w:left w:val="single" w:sz="8" w:color="auto"/>
              <w:right w:val="single" w:sz="8" w:color="auto"/>
            </w:tcBorders>
            <w:vMerge w:val="continue"/>
          </w:tcPr>
          <w:p>
            <w:pPr>
              <w:spacing w:after="0"/>
              <w:rPr>
                <w:sz w:val="9"/>
                <w:szCs w:val="9"/>
                <w:color w:val="auto"/>
              </w:rPr>
            </w:pPr>
          </w:p>
        </w:tc>
        <w:tc>
          <w:tcPr>
            <w:tcW w:w="3720" w:type="dxa"/>
            <w:vAlign w:val="bottom"/>
            <w:tcBorders>
              <w:right w:val="single" w:sz="8" w:color="auto"/>
            </w:tcBorders>
            <w:vMerge w:val="restart"/>
          </w:tcPr>
          <w:p>
            <w:pPr>
              <w:ind w:left="1200"/>
              <w:spacing w:after="0" w:line="149" w:lineRule="exact"/>
              <w:rPr>
                <w:sz w:val="20"/>
                <w:szCs w:val="20"/>
                <w:color w:val="auto"/>
              </w:rPr>
            </w:pPr>
            <w:r>
              <w:rPr>
                <w:rFonts w:ascii="Times New Roman" w:cs="Times New Roman" w:eastAsia="Times New Roman" w:hAnsi="Times New Roman"/>
                <w:sz w:val="14"/>
                <w:szCs w:val="14"/>
                <w:color w:val="auto"/>
              </w:rPr>
              <w:t>APVO603 (41BB x OX40)</w:t>
            </w:r>
          </w:p>
        </w:tc>
        <w:tc>
          <w:tcPr>
            <w:tcW w:w="3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780" w:type="dxa"/>
            <w:vAlign w:val="bottom"/>
            <w:tcBorders>
              <w:left w:val="single" w:sz="8" w:color="auto"/>
              <w:right w:val="single" w:sz="8" w:color="auto"/>
            </w:tcBorders>
          </w:tcPr>
          <w:p>
            <w:pPr>
              <w:spacing w:after="0"/>
              <w:rPr>
                <w:sz w:val="3"/>
                <w:szCs w:val="3"/>
                <w:color w:val="auto"/>
              </w:rPr>
            </w:pPr>
          </w:p>
        </w:tc>
        <w:tc>
          <w:tcPr>
            <w:tcW w:w="3720" w:type="dxa"/>
            <w:vAlign w:val="bottom"/>
            <w:tcBorders>
              <w:right w:val="single" w:sz="8" w:color="auto"/>
            </w:tcBorders>
            <w:vMerge w:val="continue"/>
          </w:tcPr>
          <w:p>
            <w:pPr>
              <w:spacing w:after="0"/>
              <w:rPr>
                <w:sz w:val="3"/>
                <w:szCs w:val="3"/>
                <w:color w:val="auto"/>
              </w:rPr>
            </w:pPr>
          </w:p>
        </w:tc>
        <w:tc>
          <w:tcPr>
            <w:tcW w:w="37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780" w:type="dxa"/>
            <w:vAlign w:val="bottom"/>
            <w:tcBorders>
              <w:left w:val="single" w:sz="8" w:color="auto"/>
              <w:bottom w:val="single" w:sz="8" w:color="auto"/>
              <w:right w:val="single" w:sz="8" w:color="auto"/>
            </w:tcBorders>
          </w:tcPr>
          <w:p>
            <w:pPr>
              <w:spacing w:after="0"/>
              <w:rPr>
                <w:sz w:val="16"/>
                <w:szCs w:val="16"/>
                <w:color w:val="auto"/>
              </w:rPr>
            </w:pPr>
          </w:p>
        </w:tc>
        <w:tc>
          <w:tcPr>
            <w:tcW w:w="37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APVO711 (PD-L1 x CD40)</w:t>
            </w:r>
          </w:p>
        </w:tc>
        <w:tc>
          <w:tcPr>
            <w:tcW w:w="3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Platform Technology</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ADAPTIR and ADAPTIR-FLEX Platform Technologies</w:t>
      </w:r>
      <w:r>
        <w:rPr>
          <w:rFonts w:ascii="Times New Roman" w:cs="Times New Roman" w:eastAsia="Times New Roman" w:hAnsi="Times New Roman"/>
          <w:sz w:val="18"/>
          <w:szCs w:val="18"/>
          <w:color w:val="auto"/>
        </w:rPr>
        <w:t>. The ADAPTIR and ADAPTIR-FLEX platform technologies can be used to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monospecific, bispecific, and multi-specific immunotherapeutic proteins. These protein candidates bind to one or more targets on tumor cells, immune cells, or other cells in circulation to either amplify, suppress, or otherwise regulate the body’s defense mechanisms to treat cancer. We focus on developing drugs for treatment of oncology indications, but also may pursue other indications, including inflammatory diseases. We believe we are well positioned for the development of monospecific, bispecific, and multi-specific therapeutics, which are antibody-based molecules that can bind one or more targets of therapeutic interest, utilizing our innovative ADAPTIR (modular protein technology) and ADAPTIR-FLEX platform technologies. This allows us to take an innovative approach to cancer immunotherapy or treatment of other diseases.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ADAPTIR and ADAPTIR-FLEX molecules are similar to antibodies; they can exhibit similar therapeutic properties to an antibody but can be easily modified to either eliminate or incorporate activities, while maintaining a similar size, stability, half-life and manufacturing advantages of a monoclonal antibody. The ADAPTIR molecules are single-chain polypeptides comprising customized elements, including a protein domain that binds to one or more targets connected to the hinge domain and a set of antibody constant domains known as the fragment crystallizable region, or Fc region of a human antibody. A second protein binding domain can be connected to the Fc region using a linker. The antibody Fc region can elicit an immune response by binding to the corresponding Fc receptors found on various immune cells such as natural killer (NK) cells, and other cells bearing Fc receptors to mediate antibody-dependent cell cytotoxicity resulting in killing the target. With the ADAPTIR platform, the Fc region can be modified to enhance or eliminate these functions. Incorporation of the Fc region into the ADAPTIR platform also provides for an extended serum half-life by engaging recycling via the neonatal Fc receptor or FcRn. A longer serum half-life could potentially reduce dosing frequency and dose quantity. The ADAPTIR-FLEX molecules are comprised of at least two polypeptides that are comprised of customized elements similar to ADAPTIR candidates. The Fc region of these molecules can be modified to enable formation of a stable heterodimer. These candidates have similar mutations in the Fc region as ADAPTIR candidates to enable or eliminate binding to Fc receptors but retaining binding to FcRn to provide for an extended serum half-life.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8"/>
          <w:szCs w:val="18"/>
          <w:color w:val="auto"/>
        </w:rPr>
        <w:t>The ADAPTIR platform technology enables the design of both monospecific and bispecific bi-valent protein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240030</wp:posOffset>
            </wp:positionV>
            <wp:extent cx="4311650" cy="3300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165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Bispecific ADAPTIR molecules are similar in structure to monospecific ADAPTIR molecules, with the exception that they have two customized target binding domains on the ends of the Fc region. We have created several bispecific molecules that are able to redirect T cell cytotoxicity (RTCC). T cells are white blood cells that fight infections and tumor cells. RTCC ADAPTIR molecules are designed to activate T cells to specifically kill tumor cells. The RTCC ADAPTIR does so by binding to a common T cell component CD3, a receptor complex that activates T cells, when engaging a specific tumor antigen on a specific tumor via the second binding domain, thereby activating the T cell to kill the tumor cell.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ADAPTIR-FLEX platform technology extends advantages of ADAPTIR technology to create protein therapeutics with varied specificity and valency and potentially new modes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200025</wp:posOffset>
            </wp:positionV>
            <wp:extent cx="5280660" cy="2143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066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ADAPTIR-FLEX molecules are composed of two different polypeptides that form a hetero-dimer through modifying specific sequences in the Fc region of each polypeptide. Each end of the polypeptide may contain one or two different binding domains, enabling the ADAPTIR-FLEX molecules to bind up to four targets. In addition, the ADAPTIR-FLEX platform can be used to modify the valency of binding to each target, which means it can bind a target, through one binding domain or through multiple binding domains, to a specific target to enable modifying the strength of binding to a specific target.</w:t>
      </w:r>
    </w:p>
    <w:p>
      <w:pPr>
        <w:spacing w:after="0" w:line="5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ADAPTIR and ADAPTIR-FLEX are promising platform technologies within the rapidly growing field of immuno-oncology therapeutics. The structural differences between ADAPTIR and ADAPTIR-FLEX molecules and monoclonal antibodies allow for the development of new immunotherapeutics that engage disease targets in a novel manner and produce a unique signaling response. By customizing the binding domains of our molecules, we can select the desired potency, half-life, toxicity and stability/manufacturability. We have the potential to develop products with mechanisms of action including, but not limited to, redirected T cell cytotoxicity (RTCC), modulating signals through immunostimulatory or immunoinhibitory receptors and targeted cytokine delivery. We believe we can expand our ADAPTIR and ADAPTIR-FLEX platforms to generate monospecifics, bispecifics, or multi-specifics that target tumor antigens in combination with co-stimulatory molecules, including TNF-Receptor family members and other activating or inhibitory signaling receptors. We believe the ADAPTIR and ADAPTIR-FLEX platform technologies may prove to have advantages over other immunotherapeutics and other bispecific T cell engaging technologies. In preclinical studies, our data indicates that APVO436, a RTCC ADAPTIR bispecific that binds CD123, may have high potency and activity at low doses with reduced cytokine release compared to other bispecifics targeting the same tumor antigen and CD3. The ADAPTIR and ADAPTIR-FLEX monospecifics, bispecifics, and multi-specifics can be produced using standard manufacturing practices. Further clinical and preclinical studies may not confirm the anticipated benefits of this platform.</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ADAPTIR and ADAPTIR-FLEX platform intellectual property (IP) portfolio consists of IP that we solely own and control, with the exception of non-exclusive licenses to Chinese hamster ovary (CHO) cell lines and related expression systems, and a non-exclusive license to certain transgenic rodents of Open Monoclonal Technology, Inc.’s (OMT) OmniAb platform, which we non-exclusively license from various third parties. See “Intellectual Property” for additional information about the ownership rights to ADAPTIR and ADAPTIR-FLEX platform intellectual property.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5349240" cy="3351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pipeline includes investigational clinical and preclinical stage anti-cancer drug candidates with clinical impact potential for treating both hematologic malignancies, also known as “liquid” tumors, and solid tumor malignancies.</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APVO436 is a bispecific ADAPTIR that is designed to engage CD3 and CD123 to redirect T-cells to destroy leukemia cells expressing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target CD123 molecule on their surface. We have finished enrollment into a multi-center, multi-cohort Phase 1b clinical trial to evaluate APVO436 in adult patients with AML both as monotherapy and in combination with current standard-of-care therapies (APVO436-5001). This antibody-like recombinant protein therapeutic candidate is designed to engage both leukemia cells and T-cells of the immune system and activate T cells via CD3 only when engaging CD123 to trigger the destruction of leukemia cells as well as leukemic stem cells. Importantly, CD123 is not only expressed on the leukemic blast cells but is also expressed on leukemic stem cells. APVO436 has been engineered using our proprietary ADAPTIR platform technology and is uniquely designed to reduce the likelihood and severity of cytokine release syndrome (CRS). APVO436 has received orphan drug designation ("orphan status") for the treatment of acute myelogenous leukemia from the U.S. Food and Drug Administration (FDA).</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Part 2 of APVO436-5001, which was the dose expansion part of this Phase 1b multi-center study, 5 cohorts of AML patients were planned to be enrolled to evaluate safety and efficacy. Cohorts included both monotherapy and combination therapy protocols. The dose expansion part of the trial evaluated the safety and tolerability of APVO436 when used as an adjunct to other therapies with MEC (Mitoxantrone, Etoposide, Cytarabine) or Venetoclax plus Azacitidine, and as a monotherapy, and to obtain a preliminary assessment of the anti-leukemia activity of APVO436 in both modalities. Aptevo has concluded enrollment and presented preliminary data at the 64th American Society of Hematology (ASH) annual meeting on December 11, 2022 for those cohorts where enrollment of patients occurred.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Overview of Cohorts and Study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Phase 1b study was designed to enroll five (5) cohorts in parallel at up to 20 trial sites in the U.S. –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18 patients per cohort were planned for a total of up to 90 patients. At the 64th annual ASH meeting, data from cohorts with enrollment were presented. Following the analysis of promising data in Cohort 2, Aptevo decided to conclude enrollment and move forward with a Phase 2 study and explore APVO436 combination therapy with venetoclax and azacitidine in AML patients. The table below shows the originally planned Phase 1b cohort treatment paradigms.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-6985</wp:posOffset>
            </wp:positionV>
            <wp:extent cx="5349240" cy="1140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Patients received APVO436 by intravenous dosing for up to four 28-day cycles. The objective of the trial was to evaluate safety, pharmacokinetics, and pharmacodynamics of APVO436. Forty-four AML patients were enrolled in the dose expansion part of the study across three cohorts.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observed positive clinical data from its Phase 1b trial and summarized the safety profile and efficacy data in a heavily pretreated population in the table below. APVO436 was generally well tolerated, with the highest response rate of 82% composite clinical remission (Composite CR) and 73% complete remission/complete remission with incomplete hematologic recovery (CR/CRi) observed in Cohort 2 in Venetoclax naïve patients, where we saw 91% clinical benefit.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shows the patient response rate to APVO436 treatment as of February 21, 2023 for patients enrolled in Cohorts 1, 2, and 3:</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340" w:type="dxa"/>
            <w:vAlign w:val="bottom"/>
            <w:tcBorders>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0000FF"/>
              </w:rPr>
              <w:t>Cohort 1</w:t>
            </w:r>
          </w:p>
        </w:tc>
        <w:tc>
          <w:tcPr>
            <w:tcW w:w="222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FF0000"/>
              </w:rPr>
              <w:t>Cohort 2</w:t>
            </w:r>
          </w:p>
        </w:tc>
        <w:tc>
          <w:tcPr>
            <w:tcW w:w="236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008000"/>
              </w:rPr>
              <w:t>Cohort 2 (Venetoclax</w:t>
            </w:r>
          </w:p>
        </w:tc>
        <w:tc>
          <w:tcPr>
            <w:tcW w:w="208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FF00FF"/>
              </w:rPr>
              <w:t>Cohort 3</w:t>
            </w:r>
          </w:p>
        </w:tc>
      </w:tr>
      <w:tr>
        <w:trPr>
          <w:trHeight w:val="234"/>
        </w:trPr>
        <w:tc>
          <w:tcPr>
            <w:tcW w:w="23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b w:val="1"/>
                <w:bCs w:val="1"/>
                <w:color w:val="008000"/>
              </w:rPr>
              <w:t>naïve)</w:t>
            </w:r>
          </w:p>
        </w:tc>
        <w:tc>
          <w:tcPr>
            <w:tcW w:w="2080" w:type="dxa"/>
            <w:vAlign w:val="bottom"/>
            <w:tcBorders>
              <w:right w:val="single" w:sz="8" w:color="auto"/>
            </w:tcBorders>
          </w:tcPr>
          <w:p>
            <w:pPr>
              <w:spacing w:after="0"/>
              <w:rPr>
                <w:sz w:val="20"/>
                <w:szCs w:val="20"/>
                <w:color w:val="auto"/>
              </w:rPr>
            </w:pPr>
          </w:p>
        </w:tc>
      </w:tr>
      <w:tr>
        <w:trPr>
          <w:trHeight w:val="60"/>
        </w:trPr>
        <w:tc>
          <w:tcPr>
            <w:tcW w:w="234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r>
      <w:tr>
        <w:trPr>
          <w:trHeight w:val="212"/>
        </w:trPr>
        <w:tc>
          <w:tcPr>
            <w:tcW w:w="2340" w:type="dxa"/>
            <w:vAlign w:val="bottom"/>
            <w:tcBorders>
              <w:left w:val="single" w:sz="8" w:color="auto"/>
              <w:right w:val="single" w:sz="8" w:color="auto"/>
            </w:tcBorders>
          </w:tcPr>
          <w:p>
            <w:pPr>
              <w:ind w:left="40"/>
              <w:spacing w:after="0" w:line="212" w:lineRule="exact"/>
              <w:rPr>
                <w:sz w:val="20"/>
                <w:szCs w:val="20"/>
                <w:color w:val="auto"/>
              </w:rPr>
            </w:pPr>
            <w:r>
              <w:rPr>
                <w:rFonts w:ascii="Calibri" w:cs="Calibri" w:eastAsia="Calibri" w:hAnsi="Calibri"/>
                <w:sz w:val="20"/>
                <w:szCs w:val="20"/>
                <w:b w:val="1"/>
                <w:bCs w:val="1"/>
                <w:color w:val="auto"/>
              </w:rPr>
              <w:t>Cohort Descripton</w:t>
            </w:r>
          </w:p>
        </w:tc>
        <w:tc>
          <w:tcPr>
            <w:tcW w:w="224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APVO436 + MEC</w:t>
            </w:r>
          </w:p>
        </w:tc>
        <w:tc>
          <w:tcPr>
            <w:tcW w:w="222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w w:val="99"/>
              </w:rPr>
              <w:t>APVO436 + Ven/Aza</w:t>
            </w:r>
          </w:p>
        </w:tc>
        <w:tc>
          <w:tcPr>
            <w:tcW w:w="236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w w:val="99"/>
              </w:rPr>
              <w:t>APVO436 + Ven/Aza</w:t>
            </w:r>
          </w:p>
        </w:tc>
        <w:tc>
          <w:tcPr>
            <w:tcW w:w="208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APVO436 only afer CT</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inducton</w:t>
            </w:r>
          </w:p>
        </w:tc>
      </w:tr>
      <w:tr>
        <w:trPr>
          <w:trHeight w:val="73"/>
        </w:trPr>
        <w:tc>
          <w:tcPr>
            <w:tcW w:w="234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Patents enrolled,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18</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19</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12</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7</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Patents evaluable,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11</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16</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4</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CR,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5</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5</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5</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CRi,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0</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MLFS,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SD,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2</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CBR, %</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00FF"/>
                <w:w w:val="98"/>
              </w:rPr>
              <w:t>82</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00"/>
                <w:w w:val="98"/>
              </w:rPr>
              <w:t>75</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8000"/>
                <w:w w:val="98"/>
              </w:rPr>
              <w:t>91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FF"/>
                <w:w w:val="98"/>
              </w:rPr>
              <w:t>75</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Composite CR, %</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00FF"/>
                <w:w w:val="98"/>
              </w:rPr>
              <w:t>55</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00"/>
                <w:w w:val="98"/>
              </w:rPr>
              <w:t>56</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8000"/>
                <w:w w:val="98"/>
              </w:rPr>
              <w:t>82</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FF"/>
                <w:w w:val="98"/>
              </w:rPr>
              <w:t>25</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4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CR/Cri %</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00FF"/>
                <w:w w:val="98"/>
              </w:rPr>
              <w:t>45</w:t>
            </w:r>
          </w:p>
        </w:tc>
        <w:tc>
          <w:tcPr>
            <w:tcW w:w="222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00"/>
                <w:w w:val="98"/>
              </w:rPr>
              <w:t>50</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8000"/>
                <w:w w:val="98"/>
              </w:rPr>
              <w:t>73</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FF"/>
                <w:w w:val="98"/>
              </w:rPr>
              <w:t>0</w:t>
            </w:r>
          </w:p>
        </w:tc>
      </w:tr>
      <w:tr>
        <w:trPr>
          <w:trHeight w:val="22"/>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Overall, patients had a median age of 63.5 years (range 25–84). The median number (range) of administered APVO436 cycles were 1.0 (1–4), 2.0 (1–4), 2.0 (1–4), and 3.0 (3–3) for Cohorts 1, 2, 3, and 5, respectively. The most common TEAEs (reported in ≥20%) were fatigue (33%), pyrexia (31%), hypokalemia (29%), nausea (24%), and anemia (21%). Ten of the 42 patients developed Cytokine Release Syndrome (CRS). The majority of cases were mild to moderate (grade 1 or 2). However, one patient experienced a treatment related grade 5 CRS event, although this case was highly confounded by sepsis and pneumonia which made a causality assessment difficult.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9" w:name="page10"/>
    <w:bookmarkEnd w:id="9"/>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potential complication associated with treatment using bispecific, T cell engaging antibodies is a systemic inflammatory syndrome known as CRS. CRS may occur within minutes to hours after infusion of the bispecific T cell engaging antibody or emerge as a delayed onset complication after several days. Clinical manifestations of CRS may range from mild to severe including hypotension, hypoxia, and uncontrolled systemic inflammatory response with circulatory collapse, vascular leakage, peripheral and/or pulmonary edema, renal failure, cardiac dysfunction, and fatal multiorgan system failure. Heart failure can also be a consequence of the systemic inflammatory syndrome of CRS. Another form of systemic inflammation a bispecific T cell engaging antibody can cause is Hemophagocytic Lymphohistiocytosis (HLH)/Macrophage Activation Syndrome (MAS) which shares many clinical and laboratory features with CRS. HLH/MAS is considered a form of CRS when it occurs after treatment with a bispecific T cell engaging antibody.</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CRS cases occurred in some APVO436 patients in both the dose escalation as well as the dose expansion phases. These patients were effectively treated using the generally recommended standard CRS treatment, which includes the use of tocilizumab and dexamethasone, combined with standard supportive care. This has been confirmed to be generally effective in the APVO436 patients that have experienced CRS.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November 26, 2019, the FDA granted Orphan Drug Designation for the treatment of acute myelogenous leukemia to APVO436, which grants us potential exclusive marketing and development rights, as well as eligibility for market exclusivity upon FDA approval of APVO436.</w:t>
      </w:r>
    </w:p>
    <w:p>
      <w:pPr>
        <w:spacing w:after="0" w:line="15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ALG.APV-527 is a novel investigational bispecific ADAPTIR candidate, developed in partnership with Alligator Bioscience 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(Alligator), featuring a mechanism of action designed to simultaneously target 4-1BB (CD137) and 5T4, a tumor antigen overexpressed in several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5T4 tumor antigen, including malignant pleural mesothelioma, non-small cell lung, gastric/gastro-esophageal, head and neck squamous cell carcinoma, pancreatic, renal, ovarian, prostate, breast, cervical, colorectal, endometrial, and bladder cancers.</w:t>
      </w:r>
    </w:p>
    <w:p>
      <w:pPr>
        <w:spacing w:after="0" w:line="18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Aptevo and Alligator continue to advance ALG.APV-527 for the treatment of solid tumors and commenced a first-in-human study started in the first quarter of 2023. We continue to enroll new patients across the United States.</w:t>
      </w:r>
    </w:p>
    <w:p>
      <w:pPr>
        <w:spacing w:after="0" w:line="1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APVO603. </w:t>
      </w:r>
      <w:r>
        <w:rPr>
          <w:rFonts w:ascii="Times New Roman" w:cs="Times New Roman" w:eastAsia="Times New Roman" w:hAnsi="Times New Roman"/>
          <w:sz w:val="18"/>
          <w:szCs w:val="18"/>
          <w:color w:val="auto"/>
        </w:rPr>
        <w:t>APVO603 is a preclinical dual agonist bispecific ADAPTIR candidate designed to simultaneously target 4-1BB (CD137) and OX40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(CD134), both members of the TNF-receptor family. Dual targeting of 4-1BB and OX40 provides synergistic co-stimulation of T cells with the potential to amplify the cytotoxic function of activated T cells and NK cells, potentially leading to robust anti-tumor responses. APVO603’s combined activation of both the 4-1BB and OX40 TNF receptors represents an attractive approach in potentially overcoming the immunosuppressive tumor microenvironment. The targeted co-stimulation of 4-1BB and OX40 has the potential to promote an important immunological cascade, enhancing T cell activation, prolonging T cell survival, and improving tumor cell killing. Of note, this product candidate is not dependent on any one tumor antigen and has the potential to treat multiple solid tumors. IND-enabling studies continue for APVO603.</w:t>
      </w:r>
    </w:p>
    <w:p>
      <w:pPr>
        <w:spacing w:after="0" w:line="18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APVO442. </w:t>
      </w:r>
      <w:r>
        <w:rPr>
          <w:rFonts w:ascii="Times New Roman" w:cs="Times New Roman" w:eastAsia="Times New Roman" w:hAnsi="Times New Roman"/>
          <w:sz w:val="18"/>
          <w:szCs w:val="18"/>
          <w:color w:val="auto"/>
        </w:rPr>
        <w:t>APVO442 is a novel bispecific candidate based on the ADAPTIR-FLEX platform technology that binds to PSMA with two identical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binding domains and with one binding domain to CD3 with reduced binding affinity. This candidate was designed to increase biodistribution of drugs to PSMA positive tumors for treatment of prostate cancer. The low-affinity single binding domain to CD3 has the potential to allow for increased concentrations at the tumor due to reduced binding of the drug by circulating peripheral T cells. Preclinical studies are being concluded and demonstrate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RTCC that is directed to PSMA bearing tumor cell lines</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and in animal tumor models. IND-enabling studies are beginning.</w:t>
      </w:r>
    </w:p>
    <w:p>
      <w:pPr>
        <w:spacing w:after="0" w:line="17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APVO711. </w:t>
      </w:r>
      <w:r>
        <w:rPr>
          <w:rFonts w:ascii="Times New Roman" w:cs="Times New Roman" w:eastAsia="Times New Roman" w:hAnsi="Times New Roman"/>
          <w:sz w:val="18"/>
          <w:szCs w:val="18"/>
          <w:color w:val="auto"/>
        </w:rPr>
        <w:t>APVO711 is a preclinical dual mechanism bispecific ADAPTIR candidate that is designed to provide synergistic stimulation of CD40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antigen presenting cells while simultaneously blocking the PD-1/PD-L1 inhibitory pathway to potentially promote a more robust anti-tumor response. Preclinical studies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will continue to provide us a better understanding of the mechanism of action and the efficacy of APVO711.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both U.S.-based and foreign producers of both large and small molecule immunotherapeutic products, some of which have lower cost structures, greater access to capital, greater resources for research and development, and sophisticated marketing capabilities. Any product candidate that we successfully develop and commercialize is likely to compete with currently marketed products, as well as other novel product candidates that are in development for the same indications.</w:t>
      </w:r>
    </w:p>
    <w:p>
      <w:pPr>
        <w:spacing w:after="0" w:line="6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We anticipate that APVO436 would compete with other agents targeting both CD123 and non-CD123 that are in development if they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approved. Antibody therapies in development targeting CD123 include: MGD024 (Macrogenics &amp; Gilead), and IMGN632 (ImmunoGen &amp; Jazz). There are numerous CAR-T therapies in development: CART123 (University of Penn.), CARTCD123 (NCI/City of Hope), UCART123 (Cellectis), MB-102 (Mustang Bio) and several others in development in China. Other competitive products targeting CD123 are: tagraxofusp (formerly SL-401, an antibody immunotoxin, Stemline), KHK2833 (monoclonal antibody, Kyowa Hakko Kirin Pharma), CSL362 (monoclonal antibody, CSL/Janssen), AVC-101 (VenCell Therapeutics), and IPH6101 (Innate Pharma).</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This asset targets 4-1BB in a bispecific format when cross-linked with the tumor antigen 5T4. We anticipate that ALG.APV-527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compete with bispecifics targeting 5T4 and 4-1BB, which are currently in preclinical development (Crescendo Biologics). Bispecific in the clinic targeting 5T4 include GenMab and Abbvie’s (GEN1044), a 5T4 x CD3 DuoBody, in Phase 1/2 trials. In addition, other competitors include bispecifics targeting 4-1BB in combination with other targets such as 4-1BB x FAP (FAP is expressed on tumor associated stromal fibroblasts). 4-1BB x FAP is currently in phase 1 clinical development by Molecular Partners and Amgen (AMG506) and Hoffmann-La Roche (RO7122290) for treatment of advanced solid tumors. Another bispecific targets 4-1BB x HER (Cinrebafusp Alfa, PRS343) which is in phase 2 clinical development by Pieris for treatment of HER2+ solid tumors.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we face significant competition in the oncology market in general, including from: AbbVie Inc., Affirmed, Amgen Inc., AnaptysBio, Inc., Astellas Pharma Inc., Bayer AG, Biogen Idec Inc., Boehringer Ingelheim GmbH, Bristol Myers Squibb, F-Star Biotechnology Ltd., Genentech Inc. (a subsidiary of F. Hoffmann-La Roche Ltd.), Genmab A/S, Gilead Sciences Inc., GlaxoSmithKline plc, Grifols USA LLC, Harpoon Therapeutics, I-Mab Biopharma, ImmunoGen, Inc., Immunomedics, Inc., Inhibrx Inc., Janssen BioTech Inc., Johnson &amp; Johnson, Macrogenics, Inc., Pieris Pharmaceuticals, Inc., Sanofi-Aventis US LLC, Takeda Pharmaceuticals U.S.A., Inc., Xencor, Inc. Y-mAbs Therapeutics, Inc., and Zymeworks Biopharmaceuticals, Inc. Additionally, there may be other potential competitors or companies developing competitive products that may not be known to us at this time.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COLLABORATIONS WITH ALLIGATOR BIOSCIENCE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 cells, and 5T4 a tumor antigen overexpressed in a number of different types of cancer. This product candidate is built on our novel ADAPTIR platform. A first-in-human clinical study of ALG.APV-527 started in the first quarter of 2023. We continue to enroll new patients across the United States. ALG.APV-527 targets 4-1BB (T lymphocyte co-stimulatory receptor) and 5TA (tumor antigen) and is designed to reactivate antigen-primed T cells.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Subject to certain exceptions for Aptevo R&amp;D’s manufacturing and platform technologies, the parties jointly own intellectual property generated in the performance of the development activities under the Collaboration Agreement.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industry standard termination rights, including for material breach following a specified cure period, and in the case of a party’s insolvency.</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secrets, and nondisclosure and non-competition agreements to protect our proprietary intellectual property and will continue to do so. We own or exclusively license the patents and patent applications in our patent portfolio that support the ADAPTIR-FLEX platform, ADAPTIR platform and pipeline products with the exception of certain cell line rights and other research tools, which we license on a non-exclusive basis.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may seek patent protection for inventions that could, for instance, support a potential business opportunity or block a competitor from designing around our existing patents.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Russia and India. We may also decide to take a narrower filing approach for secondary and improvement type inventions as compared to inventions that are more foundational to our products. We do not seek patent protection in countries that are on the United Nations, or U.N., list of Least Developed Countries.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7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ADAPTIR and ADAPTIR-FLEX Platforms. </w:t>
      </w:r>
      <w:r>
        <w:rPr>
          <w:rFonts w:ascii="Times New Roman" w:cs="Times New Roman" w:eastAsia="Times New Roman" w:hAnsi="Times New Roman"/>
          <w:sz w:val="18"/>
          <w:szCs w:val="18"/>
          <w:color w:val="auto"/>
        </w:rPr>
        <w:t>We protect the ADAPTIR platform technology through a combination of patents and trade secrets.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all ADAPTIR and ADAPTIR-FLEX platform intellectual property, with the exception that we have licenses to certain intellectual property related to third party research tools that we use in conjunction with our ADAPTIR platform technology such as cell lines, vectors, expression systems, and transgenic rodents. For instance, we have a non-exclusive commercial license and research license with Lonza Group AG (Lonza) related to its CHO cell lines and vectors. Under our Lonza research license, we have an option to take a license to use the GS System to develop and manufacture therapeutic proteins for our commercial purposes. We also have a non-exclusive license to certain transgenic rodents of OMT’s OmniAb platform.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initial version of the ADAPTIR platform technology was originally developed by Trubion Pharmaceuticals, Inc. (Trubion) prior to its acquisition by Emergent BioSolutions Inc (Emergent). A patent family supporting use of unique linkers in the homodimer (a molecule consisting of two identical halves) version of the ADAPTIR platform was invented jointly by Trubion and Wyeth Pharmaceuticals, Inc. (Wyeth) as part of a collaboration between the two companies. Wyeth assigned the rights it had in that platform patent family to Trubion. We subsequently received the rights to the platform patent family upon our spinoff from Emergent.</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differentiate our platform inventions from antibodies and other antibody-like constructs that have been publicly disclosed, many of our patents and patent applications are directed to unique aspects or components of our platform such as linkers, targets, or binding domains.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patents relating to the ADAPTIR platform issued in the United States, Australia, Israel, Japan, Malaysia, Mexico, New Zealand, Philippines, Russia, Singapore, South Africa, South Korea, and Vietnam. We also have applications pending in various territories including Brazil, Canada, and Norway.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2027 and 2036. As our ADAPTIR platform technology evolves, we may decide to allow patent applications and patents to expire if they contain claims that are limited to aspects of the platform that are no longer of value to Aptevo.</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ADAPTIR-FLEX, our heterodimer platform, is covered by patent application under the Patent Cooperation Treaty (PCT) that we filed in 2021. The PCT patent application allows us to file patent applications in PCT member state countries including, for instance, the United States, Europe, Japan, China, Australia, and Canada. If patents claiming priority to the pending ADAPTIR-FLEX patent application are issued, the resulting patents are estimated to expire in 2041.</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own patent families directed to use of particular binding domains in the ADAPTIR and ADAPTIR-FLEX platforms. For instance, we have some patents that cover the use of an ADAPTIR therapeutic to target CD3. We also have pending patent applications that cover ADAPTIR therapeutics containing our preferred humanized CD3 binding domain polypeptide sequences.</w:t>
      </w:r>
    </w:p>
    <w:p>
      <w:pPr>
        <w:spacing w:after="0" w:line="17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We nationalized our core patent family, which covers the APVO436 product candidate in various countries and territories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Australia, Brazil, Canada, China, Colombia, Eurasia, Europe, Hong Kong, India, Indonesia, Israel, Japan, Malaysia, Mexico, New Zealand, Philippines, Singapore, South Africa, South Korea, Ukraine, and Vietnam.</w:t>
      </w:r>
    </w:p>
    <w:p>
      <w:pPr>
        <w:spacing w:after="0" w:line="17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We co-own with Alligator a patent family corresponding to PCT application PCT/EP2018/069850, which covers the ALG.APV-527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 In January and February of 2020, this patent family was nationalized in various countries. Aptevo and Alligator also co-own U.S. patent 10,239,949, which relates to protein molecules that specifically bind to 5T4 and/or 4-1BB and U.S. patent 11,312,786, which relates to the 4-1BB binding domain.</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co-owned assets, Alligator owns a patent family corresponding to PCT application PCT/EP2017/059656, which also covers ALG.APV-527. Aptevo has an exclusive license from Alligator to this patent family for the development of the ALG.APV-527 product candidate.</w:t>
      </w:r>
    </w:p>
    <w:p>
      <w:pPr>
        <w:spacing w:after="0" w:line="15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Therapeutic Candidates. </w:t>
      </w:r>
      <w:r>
        <w:rPr>
          <w:rFonts w:ascii="Times New Roman" w:cs="Times New Roman" w:eastAsia="Times New Roman" w:hAnsi="Times New Roman"/>
          <w:sz w:val="18"/>
          <w:szCs w:val="18"/>
          <w:color w:val="auto"/>
        </w:rPr>
        <w:t>We routinely file United States provisional patent applications and/or Patent Cooperation Treaty (PCT) patent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on our preclinical therapeutic assets when we believe we have sufficient data to support a patent application filing. Aptevo owns pending patent applications for its APVO603 therapeutic candidate, which was nationalized in various countries and territories, as well as APVO442 and APVO711 therapeutic candidates.</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Trademarks owned by Aptevo Therapeutics Inc. and its subsidiaries. </w:t>
      </w:r>
      <w:r>
        <w:rPr>
          <w:rFonts w:ascii="Times New Roman" w:cs="Times New Roman" w:eastAsia="Times New Roman" w:hAnsi="Times New Roman"/>
          <w:sz w:val="18"/>
          <w:szCs w:val="18"/>
          <w:color w:val="auto"/>
        </w:rPr>
        <w:t>Where possible, we pursue registered trademarks for our marketed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significant markets. We own trademark registrations and pending applications for the marks: APTEVO THERAPEUTICS, APTEVO BIOTHERAPEUTICS, APTEVO RESEARCH AND DEVELOPMENT, the Aptevo logo, ADAPTIR, and ADAPTIR-FLEX in relevant jurisdictions.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Regulations in the United States and other countries have a significant impact on our product development, manufacturing, and marketing activities. 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In addition, sponsors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 resources. In the United States, the FDA regulates biopharmaceutical products under the Federal Food, Drug, and Cosmetic Act, or FDCA, the Public Health Services Act, or PHSA, and their implementing regulations. FDA’s requirements and expectations with respect to product development are constantly evolving.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Product Development for Therapeutics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the following:</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according to Good Laboratory Practices, or GLP;</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or GCP, to establish the safety and efficacy of the proposed drug or safety, purity and potency of the proposed biologic, for the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biologics license application,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or components thereof, are produced to assess compliance with current Good Manufacturing Practices, or cGMP;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and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audits of some clinical trial sites to ensure compliance with GCP;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w:t>
      </w:r>
    </w:p>
    <w:p>
      <w:pPr>
        <w:spacing w:after="0" w:line="3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Testing. </w:t>
      </w:r>
      <w:r>
        <w:rPr>
          <w:rFonts w:ascii="Times New Roman" w:cs="Times New Roman" w:eastAsia="Times New Roman" w:hAnsi="Times New Roman"/>
          <w:sz w:val="18"/>
          <w:szCs w:val="18"/>
          <w:color w:val="auto"/>
        </w:rPr>
        <w:t>Before beginning testing of any compounds with potential therapeutic value in human subjects in the United States, stringent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government requirements for preclinical data must be satisfied. Preclinical testing includes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or in an artificial environment outside of a living organism,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 within a living organism, laboratory evaluation and characterization of the safety and efficacy of a drug and its formulation, as well as its chemistry, pharmacology, and toxicity. We perform preclinical testing on all of our product candidates before we initiate any human trials.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Investigational New Drug Application. </w:t>
      </w:r>
      <w:r>
        <w:rPr>
          <w:rFonts w:ascii="Times New Roman" w:cs="Times New Roman" w:eastAsia="Times New Roman" w:hAnsi="Times New Roman"/>
          <w:sz w:val="18"/>
          <w:szCs w:val="18"/>
          <w:color w:val="auto"/>
        </w:rPr>
        <w:t>Before clinical testing may begin, the results of preclinical testing, together with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analytical data and any other available clinical data or literature, must be submitted to the FDA, as part of an IND. The sponsor must also include an initial protocol detailing the first phase of the proposed clinical investigation, together with information regarding the qualifications of the clinical investigators. The provided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 In such a case, the IND sponsor and the FDA must resolve any outstanding concerns before the clinical trial can begin. Clinical holds also may be imposed 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the FDA at any time before or during trials due to safety concerns or non-compliance. As a result, submission of an IND may not result in FDA authorization to commence a clinical trial.</w:t>
      </w:r>
    </w:p>
    <w:p>
      <w:pPr>
        <w:spacing w:after="0" w:line="5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Trials. </w:t>
      </w:r>
      <w:r>
        <w:rPr>
          <w:rFonts w:ascii="Times New Roman" w:cs="Times New Roman" w:eastAsia="Times New Roman" w:hAnsi="Times New Roman"/>
          <w:sz w:val="18"/>
          <w:szCs w:val="18"/>
          <w:color w:val="auto"/>
        </w:rPr>
        <w:t>Clinical trials involve the administration of the drug to healthy human volunteers, or to patients with the target disease or disorder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and any subsequent amendments, must be submitted to the FDA, as part of the IND, or comparable foreign regulatory authorities.</w:t>
      </w:r>
    </w:p>
    <w:p>
      <w:pPr>
        <w:spacing w:after="0" w:line="183" w:lineRule="exact"/>
        <w:rPr>
          <w:sz w:val="20"/>
          <w:szCs w:val="20"/>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test for safety, dose tolerance, absorption, bio-distribution, metabolism, excretion, structure activity relationships, mechanism of action, and clinical pharmacology and, if possible, for early evidence regarding efficacy. Phase 1 studies may be conducted in healthy human volunteers or patients with the target disease or condition. Phase 1a is typically a dose escalation trial. Phase 1b may involve cohort expansion at one or more dose levels combinations, or in different populations to determine the recommended Phase 2 dose and strategy.</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controlled studies that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adequate and controlled studies that consist of expanded, large-scale studies of patients, at geographically dispersed sites, with the target disease or disorder to obtain definitive statistical evidence of the efficacy and safety of the proposed product and dosing regimen. The safety and efficacy data generated from Phase 3 clinical trials typically form the basis for FDA or comparable foreign regulatory authority approval of the product candidate, as well as product labeling. Typically, two Phase 3 trials are required by the FDA for product approval. Under some limited circumstances, however, the FDA may approve a BLA based upon a single Phase 3 clinical study plus confirmatory evidence or a single large multicenter trial without confirmatory evidence.</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or comparable foreign regulatory authorities may require that certain Phase 4 studies, which are called post-marketing commitment studies, be conducted post-approval. The results of Phase 4 studies can confirm or refute the effectiveness of a product candidate, and can provide important safety information.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 kinds of data may also help to support a BLA or product development, such as patient experience and real-world evidence. For appropriate indications sought through supplemental BLAs, data summaries may provide marketing application support. For genetically targeted products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or PREA, BLAs and supplements for a new active ingredient, indication, dosage form, dosage regimen, or route of administration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 for the relevant indication except that PREA will apply to an original BLA for a new active ingredient that is orphan-designated if the biologic is a molecularly targeted cancer product intended for the treatment of an adult cancer and is directed at a molecular target that FDA determines to be substantially relevant to the growth or progression of a pediatric cancer.</w:t>
      </w:r>
    </w:p>
    <w:p>
      <w:pPr>
        <w:spacing w:after="0" w:line="1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 Clinical Practice. </w:t>
      </w:r>
      <w:r>
        <w:rPr>
          <w:rFonts w:ascii="Times New Roman" w:cs="Times New Roman" w:eastAsia="Times New Roman" w:hAnsi="Times New Roman"/>
          <w:sz w:val="18"/>
          <w:szCs w:val="18"/>
          <w:color w:val="auto"/>
        </w:rPr>
        <w:t>All of the phases of clinical studies must be conducted in conformance with the FDA’s GCP or equivalent standards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comparable foreign regulatory authorities, which are ethical and scientific quality standards for conducting, recording and reporting clinical trials to assure that the data and reported results are credible and accurate and that the rights, safety and well-being of trial participants are protected. GCP include requirements that all research subjects provide their informed consent in writing for their participation in any clinical trial. Investigators must also provide certain information to the clinical trial sponsors to allow the sponsors to make certain financial disclosures to the FDA. In addition, an Institutional Review Board, or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FDA for review, and to the IRB for approval. If a product candidate is being investigated for multiple intended indications, separate INDs may also be required. Progress reports detailing the results of the clinical trials must also be submitted at least annually to the FDA and the IRB and more frequently if serious and unexpected suspected adverse events are observed or other significant safety information is found, such as any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biologics for the conduct of human clinical trials is subject to FDA’s current Good Manufacturing Practice, or cGMP requirements. Investigational biologics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 Approval - Biologics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Biologics License Application. </w:t>
      </w:r>
      <w:r>
        <w:rPr>
          <w:rFonts w:ascii="Times New Roman" w:cs="Times New Roman" w:eastAsia="Times New Roman" w:hAnsi="Times New Roman"/>
          <w:sz w:val="18"/>
          <w:szCs w:val="18"/>
          <w:color w:val="auto"/>
        </w:rPr>
        <w:t>All data obtained from a comprehensive development program, including 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preclinical and clinical trials, labeling and related information are submitted in a biologics license application, or BLA, to the FDA and in similar regulatory filings with the corresponding agencies in other countries for review and approval. In most cases, the submission of a marketing application is subject to a substantial application user fee. These user fees must be paid at the time of the first submission of the application, even if the application is being submitted on a rolling basis. Fee waivers or reductions are available in certain circumstances. By example, product candidates that are designated as orphan products, which are further described below, are not subject to application user fees unless the application includes an indication other than the orphan indication.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resubmitted application is also subject to review before the FDA accepts it for filing. The FDA has two months to review an application for its acceptability for filing.</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Once an application is accepted for filing, the FDA begins an in-depth substantive review.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are intended to treat serious conditions and, if approved, would provide significant improvements in the safety or effectiveness of the treatment, diagnosis, or prevention of the serious condition.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may refer certain applications to an advisory committee. Before approving a product candidate for which no active ingredient (including any ester or salt of active ingredients) has previously been approved by the FDA, the FDA must either refer that product candidate to an external 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 marketing application the FDA will inspect one or more clinical trial sites to assure compliance with GCP.</w:t>
      </w:r>
    </w:p>
    <w:p>
      <w:pPr>
        <w:spacing w:after="0" w:line="79"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In reviewing a BLA, the FDA may grant approval or deny the application through a complete response letter, or CRL, if it determines the application does not provide an adequate basis for approval requesting additional information.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Even if additional information outlined in a CRL is submitted, the FDA may ultimately decide that the BLA does not satisfy the criteria for approval.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Following product approval, a REMS may also be required by the FDA if new safety information is discovered and the FDA determines that a REMS is necessary to ensure that the benefits of the product outweigh the risks.</w:t>
      </w:r>
    </w:p>
    <w:p>
      <w:pPr>
        <w:spacing w:after="0" w:line="81"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color w:val="auto"/>
        </w:rPr>
        <w:t>The FDA may also significantly limit the indications or populations approved for a given product, require that contraindications, warnings, or precautions be included in the product labeling, including a boxed warning, and/or require, as a condition of approval, enhanced labeling, special packaging or labeling, post-approval clinical trials, distribution or other risk management mechanisms, expedited reporting of certain adverse events, pre-approval of promotional materials or restrictions on direct-to-consumer advertising, any of which could negatively impact the commercial success of a drug. The FDA may also not approve label statements that are necessary for successful commercialization and marketing.</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Designated Platform Technology. </w:t>
      </w:r>
      <w:r>
        <w:rPr>
          <w:rFonts w:ascii="Times New Roman" w:cs="Times New Roman" w:eastAsia="Times New Roman" w:hAnsi="Times New Roman"/>
          <w:sz w:val="18"/>
          <w:szCs w:val="18"/>
          <w:color w:val="auto"/>
        </w:rPr>
        <w:t>Under the Food and Drug Omnibus Reform Act of 2022, or FDORA, a platform technology incorporated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Designated platform technology status does not ensure that a product will be developed or reviewed by the FDA more quickly or receive FDA approval. In addition, the FDA may revoke a designation if the FDA determines that a designated platform technology no longer meets the criteria for such designation.</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Breakthrough Therapy. </w:t>
      </w:r>
      <w:r>
        <w:rPr>
          <w:rFonts w:ascii="Times New Roman" w:cs="Times New Roman" w:eastAsia="Times New Roman" w:hAnsi="Times New Roman"/>
          <w:sz w:val="18"/>
          <w:szCs w:val="18"/>
          <w:color w:val="auto"/>
        </w:rPr>
        <w:t>Under the provisions of the Food and Drug Administration Safety and Innovation Act, or FDASIA, the FDA may designate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A sponsor may request that a product candidate be designated as a breakthrough therapy concurrently with, or at any time after, the submission of an IND, and the FDA must determine if the candidate qualifies for breakthrough therapy designation within 60 days of receipt of the sponsor’s request. If so designated, the FDA must take certain actions, such as holding timely meetings and providing advice, intended to expedite the development and review of an application for approval of a breakthrough therapy. The FDA may rescind breakthrough therapy designation if the product candidate does not continue to meet the criteria for such designation.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Orphan Drugs. </w:t>
      </w:r>
      <w:r>
        <w:rPr>
          <w:rFonts w:ascii="Times New Roman" w:cs="Times New Roman" w:eastAsia="Times New Roman" w:hAnsi="Times New Roman"/>
          <w:sz w:val="18"/>
          <w:szCs w:val="18"/>
          <w:color w:val="auto"/>
        </w:rPr>
        <w:t>Under the Orphan Drug Act, an applicant can request the FDA to designate a product as an “orphan drug” in the United States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is intended to treat an orphan, or rare, disease or condition. A disease or condition is considered orphan if it affects fewer than 200,000 people in the United States, or affecting more than 200,000 in the United States and for which there is no reasonable expectation that the cost of developing and making the product available in the United States will be recovered from United States sales. Additionally, sponsors must present a plausible hypothesis for clinical superiority to obtain orphan drug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 BLA. Products designated as orphan drugs are eligible for special grant funding for research and development, potential tax credits for research, waived user fees for marketing applications and a seven-year period of market exclusivity after marketing approval. The tax advantages, however, were limited in the 2017 Tax Cuts and Jobs Act.</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On November 26, 2019 FDA granted Orphan Drug Designation to APVO436, a bispecific antibody candidate, for the treatment of acute myelogenous leukemia. APVO436 is currently being evaluated in a Phase 1b clinical trial in patients with AML and MDS.</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Post-Approval Requirements. </w:t>
      </w:r>
      <w:r>
        <w:rPr>
          <w:rFonts w:ascii="Times New Roman" w:cs="Times New Roman" w:eastAsia="Times New Roman" w:hAnsi="Times New Roman"/>
          <w:sz w:val="18"/>
          <w:szCs w:val="18"/>
          <w:color w:val="auto"/>
        </w:rPr>
        <w:t>Any biologic for which we receive FDA approval will be subject to continuing regulation by the FDA,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other things, record keeping requirements, reporting of adverse experiences, reporting of deviations and shortages,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Facilities involved in the manufacture and distribution of approved products are required to register their establishments with the FDA and certain state agencies, list their manufactured products, and are subject to periodic unannounced inspections by the FDA for compliance with cGMP and other laws. Manufacturers and other parties involved in the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Recently, the information that must be submitted to FDA regarding manufactured products was expanded through the Coronavirus Aid, Relief, and Economic Security, or CARES, Act to include the volume of drugs produced during the prior year. Manufacturers must continue to expend time, money, and effort in the areas of production and quality-control to maintain compliance with cGMP. Regulatory authorities may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Physicians, in their independent professional medical judgment, however, may prescribe legally available products for unapproved indications that are not described in the product’s labeling and that differ from those tested and approved by the FDA. Certain additional restrictions on advertising and promotion exist for products that have boxed warnings in their approved package inserts.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contracts, and refusal of orders under existing government contracts.</w:t>
      </w:r>
    </w:p>
    <w:p>
      <w:pPr>
        <w:spacing w:after="0" w:line="1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Biosimilars and Exclusivity. </w:t>
      </w:r>
      <w:r>
        <w:rPr>
          <w:rFonts w:ascii="Times New Roman" w:cs="Times New Roman" w:eastAsia="Times New Roman" w:hAnsi="Times New Roman"/>
          <w:sz w:val="18"/>
          <w:szCs w:val="18"/>
          <w:color w:val="auto"/>
        </w:rPr>
        <w:t>The Biologics Price Competition and Innovation Act of 2009, or BPCIA, creates an abbreviated approval pathway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biological products shown to be highly similar to or interchangeable with an 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and no application for a biosimilar can be submitted for four years from the date of licensure. However, certain changes and supplements to an approved BLA, and subsequent applications filed by the same sponsor, manufacturer, licensor, predecessor in interest, or other related entity do not qualify for the twelve-year exclusivity period. The first biologic product submitted under the abbreviated approval pathway that is determined to be interchangeable with the reference product is eligible for a period of exclusivity against other biologics submitted under the abbreviated approval pathway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an effort to increase competition in the biologic product marketplace, Congress, the executive branch, and the FDA have taken certain legislative and regulatory steps. For example, in 2020, FDA finalized a guidance to facilitate drug and biologic product importation. Moreover, the 2020 Further Consolidated Appropriations Act included provisions requiring that sponsors of approved biologic products, including those subject to REMS, provide samples of the approved products to persons developing biosimilar products within specified timeframes, in sufficient quantities, and on commercially reasonable market-based terms. Failure to do so can subject the approved product sponsor to civil actions, penalties, and responsibility for attorney’s fees and costs of the civil action. This same bill also includes provisions with respect to shared and separate REMS programs for reference and generic drug products.</w:t>
      </w:r>
    </w:p>
    <w:p>
      <w:pPr>
        <w:spacing w:after="0" w:line="18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Term Restoration. </w:t>
      </w:r>
      <w:r>
        <w:rPr>
          <w:rFonts w:ascii="Times New Roman" w:cs="Times New Roman" w:eastAsia="Times New Roman" w:hAnsi="Times New Roman"/>
          <w:sz w:val="18"/>
          <w:szCs w:val="18"/>
          <w:color w:val="auto"/>
        </w:rPr>
        <w:t>If approved, biologic products may also be eligible for periods of U.S. patent term restoration. If granted,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restoration extends the patent life of a single unexpired patent, that has not previously been extended, for a maximum of five years. The total patent life of the product with the extension also cannot exceed fourteen years from the product’ approval date. Subject to the prior limitations, the period of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extension is calculated by adding half of the time from the effective date of an IND to the initial submission of a marketing application, and all of the time between the submission of the marketing application and its approval. This period may also be reduced by any time that the applicant did not act with due diligence.</w:t>
      </w:r>
    </w:p>
    <w:p>
      <w:pPr>
        <w:spacing w:after="0" w:line="1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in the European Union. </w:t>
      </w:r>
      <w:r>
        <w:rPr>
          <w:rFonts w:ascii="Times New Roman" w:cs="Times New Roman" w:eastAsia="Times New Roman" w:hAnsi="Times New Roman"/>
          <w:sz w:val="18"/>
          <w:szCs w:val="18"/>
          <w:color w:val="auto"/>
        </w:rPr>
        <w:t>Product development, the regulatory approval process and safety monitoring of medicinal products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manufacturers in the European Union proceed broadly in the same way as they do in the United States. Therefore, many of the issues discussed above apply similarly in the context of the European Union. In addition, drugs are subject to the extensive price and reimbursement regulations of the various EU member states. The Clinical Trial Regulation EU 536/2014 (CTR) repealed the Clinical Trials Directive 2001/20/EC, as amended (CTD) on January 31, 2022, subject to a three-year transition period. The CTR makes it possible within the EU for sponsors to submit a single harmonized electronic submission via a single online platform known as the Clinical Trials Information System (CTIS) for approval to conduct a clinical trial in several European countries and have a single assessment process for clinical trials conducted in multiple member states. Under the CTR, sponsors can use the CTIS from January 31, 2022 but are not obliged to use it immediately, in line with a three-year transition period. Sponsors may use CTIS to apply to conduct a clinical trial under the CTR or may choose to apply to conduct a trial under the CTD until January 30, 2023. From January 31, 2023, sponsors will need to use CTIS to apply to start a new clinical trial in the EU/EEA. From January 31, 2025, any trials approved under the CTD that continue running will need to comply with the CTR and their sponsors must have recorded information on such trials in CTIS.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Healthcare Fraud and Abuse and Anti-Corruption Laws</w:t>
      </w:r>
    </w:p>
    <w:p>
      <w:pPr>
        <w:spacing w:after="0" w:line="121"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Various federal and state laws pertaining to health care “fraud and abuse” exist,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 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79"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(defined to include doctors, dentists, optometrists, podiatrists and chiropractors) and teaching hospitals, and ownership or investment interest held by physicians and their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w:t>
      </w:r>
    </w:p>
    <w:p>
      <w:pPr>
        <w:spacing w:after="0" w:line="79" w:lineRule="exact"/>
        <w:rPr>
          <w:sz w:val="20"/>
          <w:szCs w:val="20"/>
          <w:color w:val="auto"/>
        </w:rPr>
      </w:pPr>
    </w:p>
    <w:p>
      <w:pPr>
        <w:jc w:val="both"/>
        <w:ind w:firstLine="515"/>
        <w:spacing w:after="0" w:line="277" w:lineRule="auto"/>
        <w:rPr>
          <w:sz w:val="20"/>
          <w:szCs w:val="20"/>
          <w:color w:val="auto"/>
        </w:rPr>
      </w:pPr>
      <w:r>
        <w:rPr>
          <w:rFonts w:ascii="Times New Roman" w:cs="Times New Roman" w:eastAsia="Times New Roman" w:hAnsi="Times New Roman"/>
          <w:sz w:val="17"/>
          <w:szCs w:val="17"/>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Our operations are also subject to compliance with the U.K. Bribery Act of 2010, which applies to activities both in the public and private sector, Canada’s Corruption of Foreign Public Officials Act and similar laws and industry codes in other countries where we do business.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Regulation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 and Office Location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employed 45 full-time persons as of December 31, 2022.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To this end, we strive to maintain competitive base compensation structures and comprehensive benefits packages, and to engage our employees through ongoing development and training. None of our employees are represented by a labor union or covered by collective bargaining agreements. We believe our relationships with our employees are positive.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offices are located at 2401 4th Ave., Suite 1050, Seattle, Washington 98121. Our telephone number is (206) 838-0500.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Values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Leading by our core values unifies Aptevo and enables every employee to be an agent of positive culture. We believe that our success depends on creating an environment that is personally and professionally rewarding and creating opportunities for personal and professional development. These values, which are the foundation of our Company culture, are:</w:t>
      </w:r>
    </w:p>
    <w:p>
      <w:pPr>
        <w:spacing w:after="0" w:line="66" w:lineRule="exact"/>
        <w:rPr>
          <w:sz w:val="20"/>
          <w:szCs w:val="20"/>
          <w:color w:val="auto"/>
        </w:rPr>
      </w:pPr>
    </w:p>
    <w:p>
      <w:pPr>
        <w:ind w:left="1260" w:hanging="368"/>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Empowerment</w:t>
      </w:r>
    </w:p>
    <w:p>
      <w:pPr>
        <w:spacing w:after="0" w:line="119" w:lineRule="exact"/>
        <w:rPr>
          <w:sz w:val="20"/>
          <w:szCs w:val="20"/>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respectfully with all;</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each other directly, clearly, and transparently;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Routinely seek feedback and receive it maturely.</w:t>
      </w:r>
    </w:p>
    <w:p>
      <w:pPr>
        <w:spacing w:after="0" w:line="115"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Ownership</w:t>
      </w:r>
    </w:p>
    <w:p>
      <w:pPr>
        <w:spacing w:after="0" w:line="119"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towards objectives with focus and speed without sacrificing quality;</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Approach our work like the business owners;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with the best interest of the Company in mind.</w:t>
      </w:r>
    </w:p>
    <w:p>
      <w:pPr>
        <w:spacing w:after="0" w:line="115"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Professionalism</w:t>
      </w:r>
    </w:p>
    <w:p>
      <w:pPr>
        <w:spacing w:after="0" w:line="119"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employees are capable and collegial adults;</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 enable employees to accept delegation;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Bureaucracy and administrative tasks must be justified.</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consider these values to be an integral part of our corporate goal setting and review process. We believe in empowering our employees and consider them as owners of the business. We treat each other with respect and maintain a high level of professionalism and accountability. Our Board of Directors and executive team continues to monitor and focus on our human capital resources to ensure we live by our core values.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Diversity, Equity, and Inclusion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Diversity, equity, and inclusion (DEI) is of great importance to our culture, day-to-day operations, and future success. Aptevo is an equal opportunity employer, and we are committed to fostering DEI within our work environment and beyond. We believe DEI promotes our business growth, drives innovation in the therapeutic product candidates we develop, and in the way we solve problems. Our efforts are focused on hiring and retaining qualified candidates, and promoting a supportive and inclusive working environment for all of our employees. The Company is resolute on its commitment to the development and fair treatment of all candidates and employees, including equal opportunity hiring and advancement practices and policies, and anti-harassment and anti-retaliation policies. We believe that fostering diversity, equity, and inclusion is a key element to discovering, developing, and bringing transformative therapies to patients. As of December 31, 2022, 60% of our workforce and 50% of our leadership (at the Director level and above) were female. In addition, 40% of our workforce and 36% of our leadership (at the Director level and above) were racially or ethnically diverse. We strive to build a workforce representative of the people we serve and to nurture an inclusive culture where all voices are welcomed, heard, and respected.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Recruiting and Retention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invest in resources to recruit, develop, and retain the talent needed to achieve our business goals. We believe in supporting our employees to reach their full potential and strive to promote internally. We have been successful in attracting and retaining talented personnel to support our business, though competition for personnel in our industry is intense.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and Benefits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compensation packages are designed to attract and retain talent, drive Company performance and achieve business goals. In setting appropriate compensation levels, we look at the average base pay rate for each position based on market data. We also offer an annual cash incentive program and long-term equity incentive plans designed to assist in attracting, retaining, and motivating employees and promoting the creation of long-term value for stockholders. Further, all employees are eligible for health insurance and other health benefits, paid and unpaid leaves, retirement benefits with Company match, and life and disability coverage/insurance. We have an unlimited paid time off policy that provides employees with considerable flexibility in scheduling time away from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 &amp; Safety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Employee safety and well-being is of paramount importance to us and was of continued focus in 2022 in light of the ongoing COVID-19 global pandemic. The Company maintains a hybrid working environment. Our essential employees, which mainly include our research and development team, work onsite, and non-essential employees work remotely or hybrid. We equip our employees working remotely or hybrid with necessary equipment and tools to continue to collaborate and remain productive.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we have an Environmental, Health and Safety program that focuses on implementing policies and training programs, as well as performing self-audits to enhance work safety.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HISTORY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was formed as a wholly-owned subsidiary of Emergent for the purpose of serving as the parent company for the development-based biotechnology business focused on novel oncology, hematology, and autoimmune and inflammatory therapeutics and was incorporated in Delaware in February 2016. On August 1, 2016, Emergent effectuated a spin-off of Aptevo into an independent publicly traded company and made a pro rata distribution of Aptevo common stock to Emergent’s stockholder base at that time. Accordingly, Aptevo has operated as an independent publicly traded company since August 1, 2016.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Aptevo website is located at </w:t>
      </w:r>
      <w:r>
        <w:rPr>
          <w:rFonts w:ascii="Times New Roman" w:cs="Times New Roman" w:eastAsia="Times New Roman" w:hAnsi="Times New Roman"/>
          <w:sz w:val="18"/>
          <w:szCs w:val="18"/>
          <w:i w:val="1"/>
          <w:iCs w:val="1"/>
          <w:color w:val="auto"/>
        </w:rPr>
        <w:t>www.AptevoTherapeutics.com</w:t>
      </w:r>
      <w:r>
        <w:rPr>
          <w:rFonts w:ascii="Times New Roman" w:cs="Times New Roman" w:eastAsia="Times New Roman" w:hAnsi="Times New Roman"/>
          <w:sz w:val="18"/>
          <w:szCs w:val="18"/>
          <w:color w:val="auto"/>
        </w:rPr>
        <w:t>. Aptevo makes certain filings with the Securities and Exchange Commission (the SEC), including its Annual Report on Form 10-K, Quarterly Reports on Form 10-Q, Current Reports on Form 8-K, and all amendments to those reports filed or furnished pursuant to Section 13(a) or 15(d) of the Exchange Act available free of charge through its website as soon as reasonably practicable after we electronically file those reports with, or furnish them to, the SEC.</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all disclosures that are required to be posted by applicable law, the rules of the SEC or the Nasdaq listing standards regarding any amendment to, or waiver of, our code of business conduct and ethics are available free of charge on our website. We intend to use our website as a means of disclosing material non-public information and for complying with our disclosure obligations under Regulation FD. Accordingly, investors should monitor our website, in addition to following our press releases, investor deck, SEC filings and public conference calls and webcasts. We have included our website address as an inactive textual reference only. The information contained on, or that can be accessed through, our website is not a part of, or incorporated by reference into,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Annual Report on Form 10-K in evaluating us and our common stock.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our continued ability to attract, motivate and retain key personnel, and any failure to attract or retain key personnel may negatively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that leverage our capabilities in pursuit of developing and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and fluctuating inflation, interest rates, market volatility, economic uncertainty, and supply chain constraints.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including the identification of new variants of the COVID-19 virus, could adversely impact our business, including our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and deferred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and may not be profitable in the future. For the year ended December 31, 2022, we had net income of $8.0 million compared to $28.5 million net loss for the same period in 2021. The net income for the year ended December 31, 2022 was due to a one-time $37.2 million gain recognized as a result of Amendment to Royalty Purchase Agreement with HCR. As of December 31, 2022, we had an accumulated deficit of $206.0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IXINITY deferred payment streams, the ability to receive Milestone Amounts under the Royalty Purchase Agreement with HCR, access to credit under the Credit Agreement with MidCap Financial, our ability to issue securities under the Equity Distribution Agreement with Piper Sandler and our Purchase Agreement with Lincoln Park Capital, and exercises of warrants will provide us with sufficient liquidity to meet our cash requirements through at least the next twelve months, our future success and ability to attain profitability will depend upon our ability to develop and commercialize our product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we had cash, cash equivalents, and restricted cash in the amount of $22.6 million. We will require additional funding to grow our business including to support the ongoing clinical development of APVO436,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could harm our business, results of operations and future prospects. Our future capital requirements will depend on many factors, including:</w:t>
      </w:r>
    </w:p>
    <w:p>
      <w:pPr>
        <w:spacing w:after="0" w:line="8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or deferred payments under our agreement with Medexus with respect to the sales of IXINITY;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milestone payments are received under our Amendment to Royalty Purchase Agreement with HCR;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complete dosing of our Phase 1b clinical trial for APVO436 and Phase 1 clinical trial of ALG.APV-527, as well as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inflation and cost of capital.</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including the ongoing war between Ukraine and Russia, or other factors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Future issuances of common stock may include, but not be limited to, (i) any sale of up to $50.0 million worth of shares of our common stock pursuant to our Equity Distribution Agreement with Piper Sandler, (ii) any sale of up to $35 million worth of shares of our common stock to issue from our Purchase Agreement with Lincoln Park, (iii) the issuance of up to 350,589 remaining outstanding shares of common stock upon the exercise of warrants issued in connection with our March 2019 public offering of common stock and warrants or (iv)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SEC regulations limit the amount of funds we can raise during any 12-month period pursuant to our shelf registration statement on Form S-</w:t>
      </w:r>
    </w:p>
    <w:p>
      <w:pPr>
        <w:spacing w:after="0" w:line="27" w:lineRule="exact"/>
        <w:rPr>
          <w:sz w:val="20"/>
          <w:szCs w:val="20"/>
          <w:color w:val="auto"/>
        </w:rPr>
      </w:pPr>
    </w:p>
    <w:p>
      <w:pPr>
        <w:jc w:val="both"/>
        <w:ind w:firstLine="8"/>
        <w:spacing w:after="0" w:line="251" w:lineRule="auto"/>
        <w:tabs>
          <w:tab w:leader="none" w:pos="1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we filed an amendment to the prospectus related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Various macroeconomic factors have in the past and could adversely affect in the future our business and the results of our operations and financial condition, including changes in inflation, interest rates and overall economic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 For example, on March 10 and March 12, 2023, the Federal Deposit Insurance Corporation (“FDIC”) took control and was appointed receiver of Silicon Valley Bank (“SVB”) and Signature Bank, respectively, after each bank was unable to continue their operations. These events exposed vulnerabilities in the banking sector, including legal uncertainties, significant volatility and contagion risk, and caused market prices of regional bank stocks to plummet. As of the date of this filing, we don’t have any exposure to SVB and Signature Bank, however,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SVB and Signature Bank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a proxy contest or matters arising from the proxy contest, which would serve as a further distraction to our board of directors and management and would require us to incur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deferred payments from Medexus due to the macroeconomic environment and ongoing COVID-19 pandemic.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or deferred payments with respect to sales of IXINITY by Medexus;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milestone payments are received under our Amendment to Royalty Purchase Agreement with HCR;</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will or may incur to acquire or develop additional technologies, products and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ongoing COVID-19 pandemic and macroeconomic environment,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June 25, 2020, we announced that we were entitled to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of RUXIENCE. The agreement was originally executed by Trubion Pharmaceuticals (which was subsequently acquired by Emergent) and Wyeth (a wholly-owned subsidiary of Pfizer).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HCR (Royalty Purchase Agreement) pursuant to which we sold to HCR the right to receive royalty payments made by Pfizer in respect of net sales of RUXIENCE. Under the terms of the Royalty Purchase Agreement, we received $35 million at closing and we were eligible to receive additional payments in aggregate of up to an additional $32.5 million based on the achievement of sales milestones in 2021, 2022 and 2023. The Company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In order to non-dilutively address a Nasdaq listing compliance matter, on June 7, 2022, we entered into and closed an amendment to the Royalty Purchase Agreement (the Amendment to Royalty Purchase Agreement), pursuant to which we agreed to forego our right to receive 50% of incremental RUXIENCE royalty revenue after HCR received aggregate royalty payments totaling 190% of the Investment Amount plus Milestone Amounts to the extent paid by HCR. We received 2022 milestone payment of $2.5 million on February 28, 2023. The proceed from 2022 milestone payment was recorded as other income in the consolidated statement of operations for the year ended December 31, 2022. The Amendment to Royalty Purchase Agreement continues to include the opportunity receive additional milestone payment of $10 million based on achievement of sales milestones in 2023.</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no control over the sales of RUXIENCE and are therefore dependent on the efforts and ability of Pfizer to generate net sales of RUXIENCE sufficient for us to receive Milestone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milestone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commercialize products that we may develop.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Moreover, we have experienced increased levels of attrition.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including the identification of new variants of the COVID-19 virus, could adversely impact our business, including our clinical trials.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COVID-19 pandemic has caused severe global economic and societal disruptions and uncertainties, and we have experienced disruptions that have impacted our business and clinical trials. Although nearly all of the restrictions placed to reduce the spread of COVID-19 have been lifted and COVID-19 vaccines are available, we may continue to experience disruptions in the future, or additional disruptions that could severely impact our business, such as delays or difficulties to the financing environment and raising capital due to economic uncertainty or volatility; supply constraints; delays in opportunities to partner our product candidates, due to financial and other impacts on potential partners; diversion of healthcare resources away from the conduct of clinical trials; potential impacts on our future deferred payments and milestones from Medexus due to the environment which may impact Medexus’ ability to continue to successfully commercialize the IXINITY business or Pfizer to successfully commercialize RUXIENCE; and negative impacts on suppliers and licensees.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extent to which the direct and indirect effects of the ongoing COVID-19 pandemic may impact our business and clinical trials will depend on future developments, which are highly uncertain and cannot be predicted with confidence. For example, new variants may emerge and may result in the need to delay initiation of trial sites,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The ongoing COVID-19 pandemic may further impact our suppliers and manufacturers. If any of our suppliers cannot obtain the necessary supplies, or if such third parties need to prioritize other products or customers over us, we may experience delays or disruptions in our supply chain, which could have a material and adverse impact on our business and development plans. Third party manufacturers may also need to implement measures and changes, or deviate from typical requirements, pandemic that may otherwise adversely impact our supply chains or the quality of the resulting products or supplies.</w:t>
      </w:r>
    </w:p>
    <w:p>
      <w:pPr>
        <w:spacing w:after="0" w:line="29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ongoing COVID-19 pandemic may result in changes in laws, policies, and regulations. By example, due to the potential impact of the COVID-19 pandemic FDA issued guidance several times concerning how sponsors and investigators may address these challenges. FDA’s guidance is continually evolving. This and any future changes in law may require that we change our internal processes and procedures to ensure continued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may restrict the operation of our business and limit the cash available for investment in our business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and Security Agreement (the Credit Agreement), by and among us and certain of our subsidiaries as borrowers, MidCap Financial, as agent, and the lenders from time-to-time party thereto. The terms of the Credit Agreement and borrowings we may make under the Credit Agreement in the future, could have significant adverse consequences for our business, including:</w:t>
      </w:r>
    </w:p>
    <w:p>
      <w:pPr>
        <w:spacing w:after="0" w:line="68" w:lineRule="exact"/>
        <w:rPr>
          <w:sz w:val="20"/>
          <w:szCs w:val="20"/>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any cash flow from operations to payment on our debt, which would reduce the amounts available to fund other corporate initiatives;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have to pay on borrowings under the Credit Agreement if market rates of interest increase;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compliance with affirmative covenants including payment and reporting covenants;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better debt servicing options or stronger debt servicing capacity.</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funds or be able to obtain additional financing to pay the amounts due under the Credit Agreement. In addition, failure to comply with the covenants under the Credit Agreement, including those outside of our control,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30"/>
        <w:spacing w:after="0" w:line="258" w:lineRule="auto"/>
        <w:rPr>
          <w:sz w:val="20"/>
          <w:szCs w:val="20"/>
          <w:color w:val="auto"/>
        </w:rPr>
      </w:pPr>
      <w:r>
        <w:rPr>
          <w:rFonts w:ascii="Times New Roman" w:cs="Times New Roman" w:eastAsia="Times New Roman" w:hAnsi="Times New Roman"/>
          <w:sz w:val="18"/>
          <w:szCs w:val="18"/>
          <w:color w:val="auto"/>
        </w:rPr>
        <w:t>As of December 31, 2022, we had approximately $156.2 million and $71.1 million of federal and state net operating loss carryforwards, respectively, available to reduce future taxable income that will begin to expire in 2037 for federal income tax purposes. We completed an IRC Section 382 study through December 31, 2021. The study concluded that we have experienced an ownership change in November of 2020 and December of 2020 and $162.6 of our NOL carry forwards are subject to an annual limitation. It is not expected that the annual limitations will result in the expiration of NOL carryforwards prior to utilization assuming sufficient income.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such as a deterioration in the bilateral relationship between the US and China 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conducting our Phase 1b clinical trial with APVO436 and first-in-human Phase 1 clinical study of ALG.APV-527.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 In addition, although the FDA issued a “may proceed” notification which allowed us and Alligator to initiate our Phase 1 clinical trial of ALG.APV-527, we cannot guarantee that this trial or future trials of ALG.APV-527 will show the desired safety and efficacy.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For example, we released preliminary data regarding our APVO436 Phase 1b clinical trial study which may change or be inconsistent with future results.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submitted an IND for ALG.APV-527 to the FDA in the second half of 2022 for which we received a “may proceed” notification from the FDA.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 In addition, the global spread of the COVID-19 pandemic makes it more difficult to initiate clinical trials and enroll patients and the process of finding and diagnosing eligible patients under these conditions may prove costly.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that may limit patients, principal investigators or staff or clinical site availability, such as the ongoing COVID-19 pandemic.</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such as the ongoing COVID-19 pandemic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the ongoing COVID-19 pandemic, our third-party manufacturers may experience difficulties, such as supply shortages, that impact our product candidates and production timelines.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the direct and indirect effects of the ongoing COVID-19 pandemic,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by the FDA. In addition, even if the product candidates we develop qualify as breakthrough therapies, the FDA may later decide that the drugs no longer meet the conditions for qualification and rescind the designation.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6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3" w:lineRule="exact"/>
        <w:rPr>
          <w:sz w:val="20"/>
          <w:szCs w:val="20"/>
          <w:color w:val="auto"/>
        </w:rPr>
      </w:pPr>
    </w:p>
    <w:p>
      <w:pPr>
        <w:jc w:val="both"/>
        <w:ind w:firstLine="8"/>
        <w:spacing w:after="0" w:line="251"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APVO436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Amgen Inc., AnaptysBio, Inc., Astellas Pharma Inc., Bayer AG, Biogen Idec Inc., Boehringer Ingelheim GmbH, Bristol Myers Squibb, Cellectis, Chinook Therapeutics, City of Hope, F-Star Biotechnology Ltd., Genentech Inc. (a subsidiary of F. Hoffmann-La Roche Ltd.), Genmab A/S, Gilead Sciences, Inc., GlaxoSmithKline plc, Grifols USA LLC, Harpoon Therapeutics, ImmunoGen, Inc., Immunomedics, Inc., Inhibrx Inc., Innate Pharma, Janssen BioTech Inc., Johnson &amp; Johnson, Kyowa Hakko Kirin Pharma, Macrogenics, Inc., Mustang Bio, Pieris Pharmaceuticals, Inc., ProMab Biotechnologies, Sanofi-Aventis US LLC, Strike Pharma, Takeda Pharmaceuticals U.S.A., Inc., University of Pennsylvania, VenCell Therapeutics, Xencor, Inc., Y-mAbs Therapeutics,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84" w:lineRule="exact"/>
        <w:rPr>
          <w:sz w:val="20"/>
          <w:szCs w:val="20"/>
          <w:color w:val="auto"/>
        </w:rPr>
      </w:pPr>
    </w:p>
    <w:p>
      <w:pPr>
        <w:jc w:val="both"/>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will resume on July 1,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both"/>
        <w:ind w:left="102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7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12"/>
        <w:spacing w:after="0" w:line="25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40" w:hanging="512"/>
        <w:spacing w:after="0" w:line="258"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5" w:lineRule="exact"/>
        <w:rPr>
          <w:rFonts w:ascii="Times New Roman" w:cs="Times New Roman" w:eastAsia="Times New Roman" w:hAnsi="Times New Roman"/>
          <w:sz w:val="18"/>
          <w:szCs w:val="18"/>
          <w:color w:val="auto"/>
        </w:rPr>
      </w:pPr>
    </w:p>
    <w:p>
      <w:pPr>
        <w:jc w:val="both"/>
        <w:ind w:left="1040" w:hanging="512"/>
        <w:spacing w:after="0" w:line="255"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40" w:hanging="512"/>
        <w:spacing w:after="0" w:line="255"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jc w:val="both"/>
        <w:ind w:left="102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7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 year data exclusivity period during which the data included in the dossier for the reference product may not be referenced for the purposes of an abbreviated biosimilar application. Following the expiration of the data exclusivity period, there is an additional two 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an application pending that covers the APTEVO THERAPEUTICS trademark and received a notice of allowance from the USPTO for the APTEVO BIOTHERAPEUTICS and APTEVO RESEARCH AND DEVELOPMENT trademarks in August 2022.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Collaborations and Other Transactions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lead bispecific antibody candidate simultaneously targeting 4-1BB (CD137), a member of the TNFR superfamily of a co-stimulatory receptor found on activated T 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ongoing COVID-19 pandemic and macroeconomic factors, we may experience delays in opportunities to develop our product candidates, due to financial and other impacts on potential partners.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attention from other business operations. Any transactions we engage in could result in our financial results differing materially from market expectations.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Between August 1, 2016 and December 31, 2022, the reported closing price of our common stock has fluctuated between $2.00 and $83.16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macroeconomic conditions, including rising and fluctuating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8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competitive products or technologies;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concern as to the safety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termination or delay of a development program;</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recruitment or departure of key personnel;</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estimated or actual sales of IXINITY by Medexus;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and to what extent future milestone payments are received under our Amendment to Royalty Purchase Agreement with HCR;</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impact of the ongoing COVID-19 pandemic or similar global health challenges;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industry conditions and domestic and global financial, economic, and geopolitical instability;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w:t>
      </w:r>
    </w:p>
    <w:p>
      <w:pPr>
        <w:spacing w:after="0" w:line="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such as the Tang Ownership Change,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8" w:name="page59"/>
    <w:bookmarkEnd w:id="5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weaknesses, the market price of our stock could decline and we could be subject to sanctions or investigations by the SEC or other regulatory authorities, which would require additional financial and management resources.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2022, the Company received a letter from Nasdaq indicating that it was not in compliance with Nasdaq Listing Rule 5550(b)(1), which requires companies listed on Nasdaq to maintain a minimum of $2,500,000 in stockholders’ equity for continued listing. On its annual report for the year ended December 31, 2021, the Company reported stockholders’ equity of $1,216,000, and, as a result, did not satisfy Listing Rule 5550(b)(1). In the second quarter of 2022, the Company regained compliance with the Nasdaq Listing Rule.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existing Purchase Agreement with Lincoln Park,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This rights agreement was amended on November 4, 2021 to extend the expiration date of such agreement from November 8, 2021 to November 5, 2022 and further amended on November 4, 2022 to extend the expiration of such agreement to November 4, 2023.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ongoing COVID-19 pandemic also poses an increased security risk, due to the remote working environment.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In connection with the transaction with Lincoln Park, we registered under the Securities Act of 1933, as amended, the resale of shares of common stock that have been and may be issued under the Purchase Agreement with Lincoln Park. Any such sales or perception that such sales may occur, whether under the Lincoln Park Purchase Agreement or otherwise, could decrease the market price of our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lease our headquarters office and laboratory space in Seattle, Washington. The Seattle facility is approximately 48,000 square feet and the lease for the Seattle facility expires in April 2030.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Capital Market under the symbol “APVO” since October 18, 2019, and was listed on The Nasdaq Global Market from August 1, 2016 to October 17,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30, 2023, we had 7,239,471 shares of common stock outstanding held by 115 holders of record of our common stock.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We have never declared or paid any cash dividends and do not anticipate declaring or paying cash dividends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and other factors the board of directors deems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sell any unregistered securities during the year ended December 31,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 ended December 31,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consolidated financial statements and the related notes thereto included in this Annual Report on Form 10-K. This MD&amp;A contains forward-looking statements that are subject to risks and uncertainties, such as those set forth in the sections of this Annual Report on Form 10-K captioned “Cautionary Note Regarding Forward-Looking Statements,” “Risk Factors” and elsewhere. As a result, our actual results may differ materially from those anticipated in these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Our lead clinical candidates, APVO436 and ALG.APV-527 (in collaboration with Alligator), and preclinical candidates, APVO603 and APVO711, were developed using our ADAPTIR™ modular protein technology platform. Our preclinical candidate APVO442 was developed using our ADAPTIR-FLEX™ modular protein technology platform.</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versatile and robust ADAPTIR and ADAPTIR-FLEX platforms are designed to generate monospecific, bispecific, and multi-specific antibody candidates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to produce signaling responses that modulate the immune system to kill tumor cells.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are skilled at candidate generation, validation, and subsequent preclinical and clinical development using the ADAPTIR platform and the ADAPTIR-FLEX platform to generate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January 9, 2023, we filed a provisional patent with the USPTO pertaining to an anti-PD-L1 and anti-CD40 compound, APVO711, with the potential to fight a range of solid malignancies such as head and neck squamous cell carcinoma, melanoma, and carcinomas of the lung, gastrointestinal tract and colon. We initiated preclinical studies in the first quarter of 2023.</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2022 we announced that APVO436, in combination with venetoclax and azacitidine, demonstrated substantial clinical activity and a favorable safety and tolerability profile in adult venetoclax treatment naïve AML patients. More specifically:</w:t>
      </w:r>
    </w:p>
    <w:p>
      <w:pPr>
        <w:spacing w:after="0" w:line="54"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venetoclax and azacitidine with APVO436 in venetoclax treatment naïve response-evaluable patients in Cohort 2 of the Phase 1b study outperformed a composite benchmark across all clinical benefit categories (Benchmark Composite References: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Aldoss 2019, Maiti 2021, Morsia 2020, Garciaz 2022, Feld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which was presented in a poster session at the 64th American Society of Hematology Annual Meeting and Exposition (ASH) in New Orleans, also showed that APVO436, when given in combination with venetoclax and azacitidine was observed to be generally safe and well tolerated.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Phase 1b outcomes, we plan to initiate a Phase 2 trial in the second half of 2023 to further evaluate APVO436 in combination with venetoclax and azacitidine in venetoclax treatment naïve patients.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we received a “may proceed” notification from the U.S. Food and Drug Administration (FDA), allowing us and our partner, Alligator Bioscience, to initiate clinical trials evaluating the compound for the treatment of 5T4-expressing tumors in multiple solid tumor types. A first-in-human study was initiated in the first quarter of 2023.</w:t>
      </w:r>
    </w:p>
    <w:p>
      <w:pPr>
        <w:spacing w:after="0" w:line="68" w:lineRule="exact"/>
        <w:rPr>
          <w:sz w:val="20"/>
          <w:szCs w:val="20"/>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patient in this trial was dosed in February 2023. Patient recruitment is ongoing. ALG.APV-527 targets 4-1BB co-stimulatory receptor (on T lymphocytes and NK cells) and 5T4 (solid tumor antigen) and is designed to promote anti-tumor immunity.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consolidated financial statements for additional information.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had net income of $8.0 million compared to $28.5 million net loss for the same period in 2021. As of December 31, 2022, we had an accumulated deficit of $206.0 million.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Royalty Revenue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2021, we recorded royalty revenue of $3.1 million and $12.3 million, respectively. Royalty revenue for the period covered by this report reflects revenue recorded only prior to the second quarter of 2022 due to our Amendment to Royalty Purchase Agreement with HCR (see Note 8). As a result of the amendment, we ceased reporting as royalty revenue, royalties paid by Pfizer to HCR related to Pfizer’s sales of RUXIENCE. The royalty revenue from Pfizer related to a Collaboration and License Agreement (Definitive Agreement) acquired by Aptevo as part of our spin-off from Emergent in 2016. The agreement was originally executed by Trubion Pharmaceuticals, which was subsequently acquired by Emergent, and Wyeth, a wholly owned subsidiary of Pfizer.</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an entity managed by HCR pursuant to which we sold to HCR the right to receive royalty payments made by Pfizer in respect of net sales of RUXIENCE. Under the terms of the Royalty Purchase Agreement, the Company received $35 million at closing and we are eligible to receive additional payments in the aggregate of up to an additional $32.5 million based on the achievement of sales milestones in 2021, 2022 and 2023.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Due to the nature of the transaction, which included a cap on HCR’s rate of return, constituting continuing involvement under the Collaboration and License Agreement originally between Trubion and Wyeth, we recorded a liability related to the proceeds received from HCR of $35.0 million, net of transaction costs of $1.1 million. Further, we received proceeds related to the 2021 milestone of $10.0 million, net of transaction costs of $0.5 million, and recorded additional liability related to sale of royalties. We recognized royalty revenue on net sales of RUXIENCE and recorded the royalty payments to HCR as a reduction of the liability when paid.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order to non-dilutively address a Nasdaq listing compliance matter, on June 7, 2022, we entered into and closed an amendment to the Royalty Purchase Agreement (the Amendment to Royalty Purchase Agreement), pursuant to which we agreed to forego our right to receive 50% of incremental RUXIENCE royalty revenue after HCR received aggregate royalty payments totaling 190% of the Investment Amount plus Milestone Amounts to the extent paid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HCR. The Amendment to Royalty Purchase Agreement eliminated all of our continuing involvement with the cash generating activities related to the royalties and removed all restrictions related to HCR’s rate of return and therefore was accounted for under ASC 610-20, </w:t>
      </w:r>
      <w:r>
        <w:rPr>
          <w:rFonts w:ascii="Times New Roman" w:cs="Times New Roman" w:eastAsia="Times New Roman" w:hAnsi="Times New Roman"/>
          <w:sz w:val="18"/>
          <w:szCs w:val="18"/>
          <w:i w:val="1"/>
          <w:iCs w:val="1"/>
          <w:color w:val="auto"/>
        </w:rPr>
        <w:t>Gains and Losses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Nonfinancial Assets </w:t>
      </w:r>
      <w:r>
        <w:rPr>
          <w:rFonts w:ascii="Times New Roman" w:cs="Times New Roman" w:eastAsia="Times New Roman" w:hAnsi="Times New Roman"/>
          <w:sz w:val="18"/>
          <w:szCs w:val="18"/>
          <w:color w:val="auto"/>
        </w:rPr>
        <w:t>and ASC 405-20,</w:t>
      </w:r>
      <w:r>
        <w:rPr>
          <w:rFonts w:ascii="Times New Roman" w:cs="Times New Roman" w:eastAsia="Times New Roman" w:hAnsi="Times New Roman"/>
          <w:sz w:val="18"/>
          <w:szCs w:val="18"/>
          <w:i w:val="1"/>
          <w:iCs w:val="1"/>
          <w:color w:val="auto"/>
        </w:rPr>
        <w:t xml:space="preserve"> Liabilities – Extinguishment of Liabilities</w:t>
      </w:r>
      <w:r>
        <w:rPr>
          <w:rFonts w:ascii="Times New Roman" w:cs="Times New Roman" w:eastAsia="Times New Roman" w:hAnsi="Times New Roman"/>
          <w:sz w:val="18"/>
          <w:szCs w:val="18"/>
          <w:color w:val="auto"/>
        </w:rPr>
        <w:t>, resulting in recognition of $37.2 million gain,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total balance of the liability related to the sale of royalties on the closing date. We received 2022 milestone payment of $2.5 million on February 28, 2023. The proceed from 2022 milestone payment was recorded as other income in the consolidated statement of operations for the year ended December 31, 2022. The Amendment to Royalty Purchase Agreement continues to include the opportunity receive additional milestone payment of $10 million based on achievement of sales milestones in 2023.</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We expense research and development costs as incurred. These expenses consist primarily of the costs associated with our research and development activities, including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5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due to the ongoing COVID-19 pandemic.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years ended December 31, 2022 and 2021 are shown in the following table:</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25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20" w:type="dxa"/>
            <w:vAlign w:val="bottom"/>
          </w:tcPr>
          <w:p>
            <w:pPr>
              <w:spacing w:after="0"/>
              <w:rPr>
                <w:sz w:val="16"/>
                <w:szCs w:val="16"/>
                <w:color w:val="auto"/>
              </w:rPr>
            </w:pPr>
          </w:p>
        </w:tc>
        <w:tc>
          <w:tcPr>
            <w:tcW w:w="96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32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programs:</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APVO436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(223 )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clinical programs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gridSpan w:val="2"/>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(2,442 )</w:t>
            </w:r>
          </w:p>
        </w:tc>
        <w:tc>
          <w:tcPr>
            <w:tcW w:w="0" w:type="dxa"/>
            <w:vAlign w:val="bottom"/>
          </w:tcPr>
          <w:p>
            <w:pPr>
              <w:spacing w:after="0"/>
              <w:rPr>
                <w:sz w:val="1"/>
                <w:szCs w:val="1"/>
                <w:color w:val="auto"/>
              </w:rPr>
            </w:pPr>
          </w:p>
        </w:tc>
      </w:tr>
      <w:tr>
        <w:trPr>
          <w:trHeight w:val="279"/>
        </w:trPr>
        <w:tc>
          <w:tcPr>
            <w:tcW w:w="5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-659765</wp:posOffset>
            </wp:positionV>
            <wp:extent cx="603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-659765</wp:posOffset>
            </wp:positionV>
            <wp:extent cx="5143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-659765</wp:posOffset>
            </wp:positionV>
            <wp:extent cx="5143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$1.1 million, to $17.9 million for the year ended December 31, 2022 from $19.0 million for the year ended December 31, 2021. The decrease was primarily due to lower spending on preclinical projects and employee costs. The decrease was partially offset by higher spending on our APVO436 Phase 1b clinical trial and getting ALG.APV-527 ready for entry into the clinic.</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general and administrative expenses decreased by $0.8 million, to $13.9 million from $14.7 million for the year ended December 31, 2021. The decrease is primarily due to lower employee and consulting costs and no costs related to responding to a stockholder activism matter.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8" w:name="page69"/>
    <w:bookmarkEnd w:id="68"/>
    <w:p>
      <w:pPr>
        <w:ind w:left="5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gain on extinguishment of liabilities, milestone income related to sale of royalties, costs related to debt extinguishment, accrued exit fees on debt, non-cash interest on financing agreements, and interest on debt.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expense, net was $4.0 million for the year ended December 31, 2022 and $8.0 million for the year ended December 31, 2021. This decrease is primarily due to a significant decrease of non-cash interest expenses recorded for the year ended December 31, 2022. We no longer record non-cash interest expense due to our Amendment to the Royalty Purchase Agreement in the second quarter of 2022, which eliminated the liability related to the sale of royalties. Additionally, interest expense on our MidCap Credit Agreement has decreased due to principal payments made in 2022.</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Gain on Extinguishment of Liability Related to Sale of Royalties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recorded $37.2 million in other income for the year ended December 31, 2022, due to our Amendment to Royalty Purchase Agreement (see Note 8). We did not have any such gain for the year ended December 31, 2021.</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Income Related to Sale of Royalties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recorded $2.5 million in other income for the year ended December 31, 2022, related to Pfizer's net sales of RUXIENCE in fiscal year 2022. Due to our Amendment to Royalty Purchase Agreement, we record Milestone Amounts from HCR when they are earned (see Note 8). We received the 2021 milestone payment of $10 million, net of transaction costs, in the first quarter of 2022 and recorded the proceeds received as an additional liability related to sale of royalties under ASC 470-10-25, </w:t>
      </w:r>
      <w:r>
        <w:rPr>
          <w:rFonts w:ascii="Times New Roman" w:cs="Times New Roman" w:eastAsia="Times New Roman" w:hAnsi="Times New Roman"/>
          <w:sz w:val="18"/>
          <w:szCs w:val="18"/>
          <w:i w:val="1"/>
          <w:iCs w:val="1"/>
          <w:color w:val="auto"/>
        </w:rPr>
        <w:t>Debt – Sales of Future Revenues or Various Other Measures of Income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discontinued operations from two separate transactions: the sale of hyperimmune business to Saol International Limited in September 2017, from which we received a payment in 2021 related to collection of certain accounts receivable, and the sale of Aptevo BioTherapeutics LLC in 2020.</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consolidated statements of operations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63"/>
        </w:trPr>
        <w:tc>
          <w:tcPr>
            <w:tcW w:w="580" w:type="dxa"/>
            <w:vAlign w:val="bottom"/>
          </w:tcPr>
          <w:p>
            <w:pPr>
              <w:spacing w:after="0"/>
              <w:rPr>
                <w:sz w:val="22"/>
                <w:szCs w:val="22"/>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payments from Medexus</w:t>
            </w:r>
          </w:p>
        </w:tc>
        <w:tc>
          <w:tcPr>
            <w:tcW w:w="2820" w:type="dxa"/>
            <w:vAlign w:val="bottom"/>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Saol</w:t>
            </w:r>
          </w:p>
        </w:tc>
        <w:tc>
          <w:tcPr>
            <w:tcW w:w="28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9"/>
        </w:trPr>
        <w:tc>
          <w:tcPr>
            <w:tcW w:w="580" w:type="dxa"/>
            <w:vAlign w:val="bottom"/>
          </w:tcPr>
          <w:p>
            <w:pPr>
              <w:spacing w:after="0"/>
              <w:rPr>
                <w:sz w:val="24"/>
                <w:szCs w:val="24"/>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3"/>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20" w:type="dxa"/>
            <w:vAlign w:val="bottom"/>
          </w:tcPr>
          <w:p>
            <w:pPr>
              <w:jc w:val="right"/>
              <w:ind w:right="1659"/>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-521970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-504825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from discontinued operations was $1.0 million for the year ended December 31, 2022 and 2021. For the year ended December 31, 2022, we collected $1.0 million in deferred payments from Medexus related to IXINITY sales. For the year ended December 31, 2021, we collected $0.5 million related to the 2017 sale of the hyperimmune business to Saol as a result of the collection of certain accounts receivable and deferred payments of $0.5 million from Medexus related to IXINITY sales.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regarding our cash flows for year ended December 31, 2022 </w:t>
      </w:r>
      <w:r>
        <w:rPr>
          <w:rFonts w:ascii="Times New Roman" w:cs="Times New Roman" w:eastAsia="Times New Roman" w:hAnsi="Times New Roman"/>
          <w:sz w:val="18"/>
          <w:szCs w:val="18"/>
          <w:color w:val="231F20"/>
        </w:rPr>
        <w:t>and 2021:</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6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6080" w:type="dxa"/>
            <w:vAlign w:val="bottom"/>
            <w:gridSpan w:val="2"/>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(21,022 )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(21,679 )</w:t>
            </w:r>
          </w:p>
        </w:tc>
        <w:tc>
          <w:tcPr>
            <w:tcW w:w="0" w:type="dxa"/>
            <w:vAlign w:val="bottom"/>
          </w:tcPr>
          <w:p>
            <w:pPr>
              <w:spacing w:after="0"/>
              <w:rPr>
                <w:sz w:val="1"/>
                <w:szCs w:val="1"/>
                <w:color w:val="auto"/>
              </w:rPr>
            </w:pPr>
          </w:p>
        </w:tc>
      </w:tr>
      <w:tr>
        <w:trPr>
          <w:trHeight w:val="247"/>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(713 )</w:t>
            </w:r>
          </w:p>
        </w:tc>
        <w:tc>
          <w:tcPr>
            <w:tcW w:w="0" w:type="dxa"/>
            <w:vAlign w:val="bottom"/>
          </w:tcPr>
          <w:p>
            <w:pPr>
              <w:spacing w:after="0"/>
              <w:rPr>
                <w:sz w:val="1"/>
                <w:szCs w:val="1"/>
                <w:color w:val="auto"/>
              </w:rPr>
            </w:pPr>
          </w:p>
        </w:tc>
      </w:tr>
      <w:tr>
        <w:trPr>
          <w:trHeight w:val="23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(2,616 )</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primarily due to changes in working capital accounts and our operating cash spend. Net cash used in operating activities for the year ended December 31, 2021 was primarily due to our net operating loss of $28.5 million and changes in working capital accounts.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and 2021 was primarily due to purchases of property and equipment.</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primarily due to the $12.3 million of repayments of the MidCap Financial term loan, and $6.8 million royalties received from Pfizer by HCR pursuant to our Royalty Purchase Agreement. This was offset by the $10 million milestone received by Aptevo from HCR related to the sale of royalties, net of $0.5 million transaction costs, and $7.0 million of proceeds received from issuance of common stock pursuant to our Equity Distribution Agreement with Piper Sandler. Net cash provided by financing activities for the year ended December 31, 2021, was primarily due to $35.0 million received from the Royalty Purchase Agreement, $10.2 million received from the common stock sold to Lincoln Park, offset by the $10.5 million partial repayment of the MidCap Financial term loan and the $8.6 million repayments under liability related to sale of royalties.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Royalty Purchase Agreement and Milestone Payments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30, 2021, we entered into Royalty Purchase Agreement with HCR pursuant to which we sold HCR the right to receive royalty payments made by Pfizer in respect to net sale of RUXIENCE. Under the Royalty Purchase Agreement, we received $35 million at closing and incurred $1.1 million in transaction costs. We were eligible to receive additional payments in aggregate of up to an additional $32.5 million based on achievement of sales milestones in 2021, 2022 and 2023. We received the 2021 milestone payments in the collective amount of $10 million on March 8, 2022 and the 2022 milestone payment of $2.5 million on February 28, 2023. Aptevo is eligible to receive additional milestone payment of $10 million based on achievement of sales milestones in 2023.</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Royalty Payments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28, 2020, we entered into an LLC Purchase Agreement with Medexus, pursuant to which we sold all of the issued and outstanding limited liability company interests of Aptevo BioTherapeutics LLC, a wholly owned subsidiary of Aptevo. In addition to the payment received at closing, the Company receives deferred payments based on quarterly net sales of IXINITY and may also earn milestones in aggregate of up to $11 million from Medexus in the future. Milestones are based on Medexus obtaining certain regulatory approvals and sales thresholds.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our LLC Purchase Agreement, the rate for deferred payments increased from 2% to 5% of net sales as of June 30, 2022. For the year ended December 31, 2022, Aptevo received $1.0 million in deferred payments from Medexus related to IXINITY sales.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For the year ended December 31, 2022, we issued 1,452,065 shares of our common stock at an average share price of $4.92 under the Equity Distribution Agreement. We received $7.0 million in proceeds from issuance of these shares. We did not issue any shares under the Equity Distribution Agreement for the year ended December 31, 2021.</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14, 2020, we filed a Registration Statement on Form S-3 covering the offering, issuance, and sale of up to $200 million in common stock, preferred stock, and various series of debt securities and/or warrants to purchase any of such securities, which included the unsold securities from the Prior Registration Statement. On March 29, 2022, we filed an amendment to the prospectus supplement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If our public float increases such that we may sell additional amounts under the Equity Distribution Agreement and the prospectus than is mentioned in our last prospectus supplement to the Registration Statement on Form S-3 filed on December 13, 2020, we will file another amendment to the prospectus supplement prior to making additional sales. The limitations of General Instruction I.B.6 do not apply to sales of our shares under our Purchase Agreement with Lincoln Park Financial LLC as those sales were committed prior to us being subject to the limitations of General Instruction I.B.6.</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3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16, 2022, we entered into a new Purchase Agreement and a Registration Rights Agreement with Lincoln Park (2022 Purchase Agreement and Registration Rights Agreement). The 2022 Purchase Agreement and Registration Rights Agreement replaced our Purchase Agreement and Registration Rights Agreement with Lincoln Park that we entered into with them in December 2018. Under the 2022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the prevailing market price; provided, however, that the prevailing market price is not below $1.00. The Company issued 99,276 shares of our common stock to Lincoln Park for no cash consideration as an initial fee for its commitment to purchase shares of our common stock under the Purchase Agreement. The Company did not issue any shares of common stock for cash consideration to Lincoln Park under the Purchase Agreement for the year ended December 30, 2022.</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11, 2019, we completed a public offering of common stock and warrants, as follows:</w:t>
      </w:r>
    </w:p>
    <w:p>
      <w:pPr>
        <w:spacing w:after="0" w:line="117"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 did not have any of its warrants exercised. For the year ended December 31, 2021, certain of the holders of the Company’s warrants exercised warrants with a strike price of $18.20 per share, resulting in the issuance of 54,105 shares of the Company’s common stock and aggregate proceeds to the Company of approximately $1.0 million. As of December 31, 2022, there were warrants to purchase 350,589 shares of common stock outstanding.</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revenue generated from our commercial products, the Royalty Purchase Agreement with HCR, royalty payments from Pfizer, deferred payments from Medexus, the sale of our hyperimmune products business in September 2017, the sale of Aptevo BioTherapeutics on February 28, 2020, public offerings of our common stock, proceeds from issuance of our common stock pursuant to our 2018 Purchase Agreement with Lincoln Park, loan proceeds, milestone payments, research and development funding from strategic partners, and funds received at the date of our spin-off from Emergent. We had cash and cash equivalents of $22.6 million and an accumulated deficit of $206.0 million as of December 31, 2022.</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2022, net cash used in our operating activities was $21.0 million.</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2" w:name="page73"/>
    <w:bookmarkEnd w:id="7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Due to the ongoing COVID-19 pandemic, including if any new variants emerge, and macroeconomic environment, we may experience delays in opportunities to partner our product candidates, due to financial and other impacts on potential partners. Additionally, we may experience potential impacts on our future deferred payments and milestones from Medexus due to effects of macroeconomic impacts, including, but not limited to, the ongoing COVID-19 pandemic, and rising and fluctuating inflation, which may impact Medexus’ ability to continue to successfully commercialize the IXINITY businesses. Additionally, we may experience potential impacts on our future milestones, which are based on global net sales of RUXIENCE, from HCR due to the effects of the ongoing COVID-19 pandemic and macroeconomic environment, which may impact Pfizer’s ability to continue to successfully commercialize the RUXIENCE business. We believe that our existing cash resources, milestone payments related to the Royalty Purchase Agreement with HCR, funds available under Purchase Agreement with Lincoln Park and the Equity Distribution Agreement with Piper Sandler, cash to be generated from future deferred payments and milestones related to IXINITY sales and approvals by Medexus, will be sufficient to meet our projected operating requirements and debt service for at least twelve months from the date of this filing of this Annual Report on Form 10-K.</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or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profitability given our historical losses;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to our business, including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including rising and fluctuating inflation, interest rates and supply chain constraints;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agreement and potential restrictions to our operations and availability of cash for investment in our business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milestones are received under our Royalty Purchase Agreement with HCR;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and deferred payments from Medexus with respect to IXINITY.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ongoing COVID-19 pandemic, including if any new variants emerge, and macroeconomic factors, we may experience delays in clinical trials and non-clinical work, and opportunities to partner our product candidates, due to financial and other impacts on potential partners.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APVO436 and APVO603 are the product candidates currently subject to this agreement. Pursuant to our agreement, we expect to make $2,000,000 milestone payment upon dosing the first patient in our Phase 2 clinical trial of APVO436, which we expect to initiate in the second half of 2023.</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5, 2020, we entered into a new Credit Agreement, with MidCap Financial which was subsequently amended. The Credit Agreement provided us with up to $25 million of available borrowing capacity. The MidCap Financial loan has a 48 month term, is interest-only for the first 18 months, with straight-line amortization for the remaining 30 months and bears interest at a rate of one month London Interbank Offered Rate (LIBOR) plus 6.25% per annum, subject to a 1.50% LIBOR floor and a 2.50% LIBOR cap. On March 30, 2021, we amended our Credit Agreement with MidCap Financial and used $10 million of the proceeds received from the Royalty Purchase Agreement with HCR to pay down the outstanding principal under this agreement from $25 million to $15 million. Additionally, the Company used the $10 million milestone payment received on March 8, 2022, pursuant to our Royalty Purchase Agreement with HCR to further pay down the outstanding principal down to $5 million.</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2022, the Company further amended its Credit Agreement with MidCap Financial to obtain MidCap Financial’s limited consent to amend its Royalty Purchase Agreement with HCR. The Limited Consent and Second Amendment to Credit Agreement did not change future cash flows or other terms of the Credit Agreement.</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on August 30, 2022, we amended our Credit Agreement with MidCap Financial to replace the LIBOR benchmark with Secured Overnight Financing Rate (SOFR), which is regulated by the Federal Reserve Bank of New York. Aptevo amended our Credit Agreement due to the United Kingdom’s Financial Conduct Authority (FCA) planned phase-out of one-month US Dollar LIBOR settings in 2023. Our Credit Agreement continues to bear base interest at a rate of 6.25% per annum plus SOFR, subject to a 1.50% SOFR floor and a 2.50% SOFR cap.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Liability Related to Sale of Royalties and Other Income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June 7, 2022, we amended our Royalty Purchase Agreement pursuant to which we agreed to forego our right to receive 50% of incremental RUXIENCE royalty revenue after HCR received aggregate royalty payments totaling 190% of the Investment Amount plus Milestone Amounts to the extent paid by HCR. The Amendment to Royalty Purchase Agreement eliminated all of our continuing involvement with the cash generating activities related to the royalties and removed all restrictions related to HCR’s rate of return and therefore was accounted for under ASC 610-20, </w:t>
      </w:r>
      <w:r>
        <w:rPr>
          <w:rFonts w:ascii="Times New Roman" w:cs="Times New Roman" w:eastAsia="Times New Roman" w:hAnsi="Times New Roman"/>
          <w:sz w:val="18"/>
          <w:szCs w:val="18"/>
          <w:i w:val="1"/>
          <w:iCs w:val="1"/>
          <w:color w:val="auto"/>
        </w:rPr>
        <w:t>Gains and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Derecognition of Nonfinancial Assets </w:t>
      </w:r>
      <w:r>
        <w:rPr>
          <w:rFonts w:ascii="Times New Roman" w:cs="Times New Roman" w:eastAsia="Times New Roman" w:hAnsi="Times New Roman"/>
          <w:sz w:val="18"/>
          <w:szCs w:val="18"/>
          <w:color w:val="auto"/>
        </w:rPr>
        <w:t>and ASC 405-20,</w:t>
      </w:r>
      <w:r>
        <w:rPr>
          <w:rFonts w:ascii="Times New Roman" w:cs="Times New Roman" w:eastAsia="Times New Roman" w:hAnsi="Times New Roman"/>
          <w:sz w:val="18"/>
          <w:szCs w:val="18"/>
          <w:i w:val="1"/>
          <w:iCs w:val="1"/>
          <w:color w:val="auto"/>
        </w:rPr>
        <w:t xml:space="preserve"> Liabilities – Extinguishment of Liabilities</w:t>
      </w:r>
      <w:r>
        <w:rPr>
          <w:rFonts w:ascii="Times New Roman" w:cs="Times New Roman" w:eastAsia="Times New Roman" w:hAnsi="Times New Roman"/>
          <w:sz w:val="18"/>
          <w:szCs w:val="18"/>
          <w:color w:val="auto"/>
        </w:rPr>
        <w:t>, resulting in recognition of a $37.2 million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the total balance of the liability related to the sale of royalties on the closing date.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Prior to the Amendment to Royalty Purchase Agreement, we accounted for the Royalty Purchase Agreement with HCR, including future milestone payments to be received, as a debt-like instrument within the scope of ASC 470-10-25, </w:t>
      </w:r>
      <w:r>
        <w:rPr>
          <w:rFonts w:ascii="Times New Roman" w:cs="Times New Roman" w:eastAsia="Times New Roman" w:hAnsi="Times New Roman"/>
          <w:sz w:val="18"/>
          <w:szCs w:val="18"/>
          <w:i w:val="1"/>
          <w:iCs w:val="1"/>
          <w:color w:val="auto"/>
        </w:rPr>
        <w:t>Debt – Sales of Future Revenues or Various Other Measures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We recorded the proceeds from the Royalty Purchase Agreement as a liability related to the sale of royalties, net of transaction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the balance using the effective interest method. To determine the amortization of the liability, the Company estimated the total amount of future net royalty payments over the life of the arrangement. The total amount of net royalty payments over the life of the arrangement, less the net proceeds received, were recorded as non-cash interest expense over the life of the arrangement using the effective interest method. The actual effective interest rate was affected by the amount and timing of the net royalty payments received by HCR and changes in the Company’s royalty forecasts. The Company engaged third party consultant services in estimating total future net royalty payments and assessed the effective interest rate by comparing projected net royalty payments to actual and adjusts the effective interest rate retrospectively. Milestone payments were recorded as additions to the liability related to the sale of royalties, net of transaction costs. While we believe our estimates were reasonable, there were differences between actual net royalty payments and our projections. Historically, differences between estimated and actual net royalty payments were not material.</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contract milestones achieved. For clinical study expenses, the significant factors used in estimating accruals include the number of enrolled patients visit at each site to date. Our estimates are highly dependent upon the timeliness and accuracy of the data provided by our CROs regarding the status of each program and total program spending and adjustments are made when deemed necessary.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Under ASC 718, </w:t>
      </w:r>
      <w:r>
        <w:rPr>
          <w:rFonts w:ascii="Times New Roman" w:cs="Times New Roman" w:eastAsia="Times New Roman" w:hAnsi="Times New Roman"/>
          <w:sz w:val="18"/>
          <w:szCs w:val="18"/>
          <w:i w:val="1"/>
          <w:iCs w:val="1"/>
          <w:color w:val="auto"/>
        </w:rPr>
        <w:t>Compensation—Stock-based Compensation</w:t>
      </w:r>
      <w:r>
        <w:rPr>
          <w:rFonts w:ascii="Times New Roman" w:cs="Times New Roman" w:eastAsia="Times New Roman" w:hAnsi="Times New Roman"/>
          <w:sz w:val="18"/>
          <w:szCs w:val="18"/>
          <w:color w:val="auto"/>
        </w:rPr>
        <w:t>, we measure and recognize compensation expense for restricted stock units (RSUs), and stock options granted to our employees and directors based as of the fair value of the awards on the date of grant. The fair value of stock options is estimated at the date of grant using the Black-Scholes option pricing model that requires management to apply judgment and make estimates, including:</w:t>
      </w:r>
    </w:p>
    <w:p>
      <w:pPr>
        <w:spacing w:after="0" w:line="67" w:lineRule="exact"/>
        <w:rPr>
          <w:sz w:val="20"/>
          <w:szCs w:val="20"/>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term of the stock option award, which we calculate using the simplified method, as permitted by the SEC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as we have insufficient historical information regarding our stock options to provide a basis for an estimate;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APTEVO THERAPEUTICS INC.</w:t>
            </w:r>
          </w:p>
        </w:tc>
        <w:tc>
          <w:tcPr>
            <w:tcW w:w="10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Moss Adams LLP, Independent Registered Public Accounting Firm </w:t>
            </w:r>
            <w:r>
              <w:rPr>
                <w:rFonts w:ascii="Times New Roman" w:cs="Times New Roman" w:eastAsia="Times New Roman" w:hAnsi="Times New Roman"/>
                <w:sz w:val="18"/>
                <w:szCs w:val="18"/>
                <w:color w:val="000000"/>
              </w:rPr>
              <w:t>(Moss Adams LLP, Seattle, WA, PCAOB ID: 659)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3"/>
        </w:trPr>
        <w:tc>
          <w:tcPr>
            <w:tcW w:w="20" w:type="dxa"/>
            <w:vAlign w:val="bottom"/>
            <w:tcBorders>
              <w:top w:val="single" w:sz="8" w:color="0000EE"/>
            </w:tcBorders>
          </w:tcPr>
          <w:p>
            <w:pPr>
              <w:spacing w:after="0"/>
              <w:rPr>
                <w:sz w:val="22"/>
                <w:szCs w:val="22"/>
                <w:color w:val="auto"/>
              </w:rPr>
            </w:pPr>
          </w:p>
        </w:tc>
        <w:tc>
          <w:tcPr>
            <w:tcW w:w="56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5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682"/>
        </w:trPr>
        <w:tc>
          <w:tcPr>
            <w:tcW w:w="260" w:type="dxa"/>
            <w:vAlign w:val="bottom"/>
            <w:gridSpan w:val="2"/>
          </w:tcPr>
          <w:p>
            <w:pPr>
              <w:spacing w:after="0"/>
              <w:rPr>
                <w:sz w:val="24"/>
                <w:szCs w:val="24"/>
                <w:color w:val="auto"/>
              </w:rPr>
            </w:pPr>
          </w:p>
        </w:tc>
        <w:tc>
          <w:tcPr>
            <w:tcW w:w="3120" w:type="dxa"/>
            <w:vAlign w:val="bottom"/>
            <w:tcBorders>
              <w:top w:val="single" w:sz="8" w:color="0000FF"/>
            </w:tcBorders>
            <w:gridSpan w:val="4"/>
          </w:tcPr>
          <w:p>
            <w:pPr>
              <w:spacing w:after="0"/>
              <w:rPr>
                <w:sz w:val="24"/>
                <w:szCs w:val="24"/>
                <w:color w:val="auto"/>
              </w:rPr>
            </w:pPr>
          </w:p>
        </w:tc>
        <w:tc>
          <w:tcPr>
            <w:tcW w:w="6800" w:type="dxa"/>
            <w:vAlign w:val="bottom"/>
            <w:gridSpan w:val="3"/>
          </w:tcPr>
          <w:p>
            <w:pPr>
              <w:jc w:val="right"/>
              <w:ind w:right="446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Aptevo Therapeutics Inc. (the “Company”) as of December 31, 2022 and 2021,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December 31, 2022 and 2021, and the consolidated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Sale of Royalties and Other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8, the Company previously entered into a royalty purchase agreement (the Royalty Purchase Agreement) in 2021 with an entity managed by HealthCare Royalty Management, LLC (HCR), through which the Company sold the right to receive royalty payments made by Pfizer Inc. in respect of global net sales of RUXIENCE. The Company initially received $35 million at the closing of the Royalty Purchase Agreement and was eligible to receive additional payments in aggregate of up to an additional $32.5 million based on the achievement of RUXIENCE sales milestones in 2021, 2022, and 2023. Due to the nature of the transaction, which included a cap on HCR’s rate of return which constituted continuing involvement, the Company recorded a liability related to the proceeds (net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transaction costs) received from HCR, which was reduced by the royalty revenue recognized on net sales of RUXIENCE when received. On June 7, 2022, the Company entered into an Amendment to the Royalty Purchase Agreement which eliminated all of the Company’s continuing involvement, resulting in the Company derecognizing the liability and recognizing a $37.2 million gain, which represented the total balance of the liability on the closing date. Future milestone payments are accounted for as variable consideration and recognized using the most likely method in accordance with ASC 610-20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 Gains and Losses from the Derecognition of Nonfinancial Assets</w:t>
      </w:r>
      <w:r>
        <w:rPr>
          <w:rFonts w:ascii="Times New Roman" w:cs="Times New Roman" w:eastAsia="Times New Roman" w:hAnsi="Times New Roman"/>
          <w:sz w:val="18"/>
          <w:szCs w:val="18"/>
          <w:color w:val="auto"/>
        </w:rPr>
        <w:t>. The proceeds from 2022 milestones of $2.5 million were recorded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 the consolidated statement of operations for the year ended December 31, 2022.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Amendment to the Royalty Purchase Agreement as a critical audit matter given the Company applied significant judgment in determining the appropriate accounting treatment for the transaction. This in turn led to a high degree of auditor judgment and increased extent of effort, including the use of individuals with specialized skill, in performing procedures and evaluating whether the transaction had been properly accounting for in accordance with the relevant accounting principles generally accepted in the United States.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evaluating all relevant contract source documents.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our professional practice group, evaluating the accounting treatment for the Amendment to Royalty Purchase Agreement under the relevant accounting guidance.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inputs to the calculation and the mathematical accuracy of management's calculations of the gain from extinguishment of the liability related to sale of royalties in the consolidated financial statements.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all cash milestone payments received from HCR through issuance of the consolidated financial statements for proper inclusion as other income in the consolidated statement of operations for the year ended December 31, 2022.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7"/>
        </w:trPr>
        <w:tc>
          <w:tcPr>
            <w:tcW w:w="7660" w:type="dxa"/>
            <w:vAlign w:val="bottom"/>
            <w:shd w:val="clear" w:color="auto" w:fill="CFF0FC"/>
          </w:tcPr>
          <w:p>
            <w:pPr>
              <w:ind w:left="3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0"/>
                <w:szCs w:val="20"/>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Royalty and milestone receivable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34,215</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w:t>
            </w:r>
          </w:p>
        </w:tc>
        <w:tc>
          <w:tcPr>
            <w:tcW w:w="100" w:type="dxa"/>
            <w:vAlign w:val="bottom"/>
            <w:tcBorders>
              <w:top w:val="single" w:sz="8" w:color="CFF0FC"/>
            </w:tcBorders>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60" w:type="dxa"/>
            <w:vAlign w:val="bottom"/>
            <w:shd w:val="clear" w:color="auto" w:fill="CFF0FC"/>
          </w:tcPr>
          <w:p>
            <w:pPr>
              <w:ind w:left="18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related to the sale of royalties, net - short-term</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related to the sale of royalties, net - long-term</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55,385</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issued or outstanding</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6,466,294 and 4,898,143 shares issued and outstanding at December</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2022 and December 31, 2021, respectively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r>
        <w:trPr>
          <w:trHeight w:val="25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(206,036 )</w:t>
            </w:r>
          </w:p>
        </w:tc>
        <w:tc>
          <w:tcPr>
            <w:tcW w:w="1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(214,063 )</w:t>
            </w: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34,215</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-4379595</wp:posOffset>
            </wp:positionV>
            <wp:extent cx="6858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-3754120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-2485390</wp:posOffset>
            </wp:positionV>
            <wp:extent cx="685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-1859280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6"/>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(17,882 )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(18,994 )</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(13,873 )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(14,698 )</w:t>
            </w: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from continuing operations, net</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(8,008 )</w:t>
            </w: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liability related to</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 of royalties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Milestone income related to sale of royalties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(29,408 )</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7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5,100,310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4,687,952</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5,102,914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4,687,952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-2553970</wp:posOffset>
            </wp:positionV>
            <wp:extent cx="685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-1790700</wp:posOffset>
            </wp:positionV>
            <wp:extent cx="6858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-1156970</wp:posOffset>
            </wp:positionV>
            <wp:extent cx="1251585"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51585"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-668020</wp:posOffset>
            </wp:positionV>
            <wp:extent cx="125158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51585" cy="205740"/>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300" w:type="dxa"/>
            <w:vAlign w:val="bottom"/>
          </w:tcPr>
          <w:p>
            <w:pPr>
              <w:spacing w:after="0"/>
              <w:rPr>
                <w:sz w:val="20"/>
                <w:szCs w:val="20"/>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(28,457 )</w:t>
            </w: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liability related to sale of royalties</w:t>
            </w:r>
          </w:p>
        </w:tc>
        <w:tc>
          <w:tcPr>
            <w:tcW w:w="98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(37,182 )</w:t>
            </w:r>
          </w:p>
        </w:tc>
        <w:tc>
          <w:tcPr>
            <w:tcW w:w="96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receivable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(1,295 )</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(394 )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(1,915 )</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(1,019 )</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(29 )</w:t>
            </w:r>
          </w:p>
        </w:tc>
        <w:tc>
          <w:tcPr>
            <w:tcW w:w="9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(29 )</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(713 )</w:t>
            </w: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long-term debt, including fees</w:t>
            </w:r>
          </w:p>
        </w:tc>
        <w:tc>
          <w:tcPr>
            <w:tcW w:w="98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(12,267 )</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(10,550 )</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under liability related to sale of royalties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(6,779 )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(8,627 )</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royalties</w:t>
            </w:r>
          </w:p>
        </w:tc>
        <w:tc>
          <w:tcPr>
            <w:tcW w:w="98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 from sale of royalties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(1,100 )</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98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milestones related to sale of royalties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 for milestones related to sale of royalties</w:t>
            </w:r>
          </w:p>
        </w:tc>
        <w:tc>
          <w:tcPr>
            <w:tcW w:w="98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(500 )</w:t>
            </w:r>
          </w:p>
        </w:tc>
        <w:tc>
          <w:tcPr>
            <w:tcW w:w="96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(2,616 )</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26,161</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42,534</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right-of-use asset and lease liability from lease remeasurement</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300" w:type="dxa"/>
            <w:vAlign w:val="bottom"/>
          </w:tcPr>
          <w:p>
            <w:pPr>
              <w:spacing w:after="0"/>
              <w:rPr>
                <w:sz w:val="20"/>
                <w:szCs w:val="20"/>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-3342640</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-3025140</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-1156335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125158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51585" cy="18034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040" w:type="dxa"/>
            <w:vAlign w:val="bottom"/>
          </w:tcPr>
          <w:p>
            <w:pPr>
              <w:spacing w:after="0"/>
              <w:rPr>
                <w:sz w:val="19"/>
                <w:szCs w:val="19"/>
                <w:color w:val="auto"/>
              </w:rPr>
            </w:pPr>
          </w:p>
        </w:tc>
        <w:tc>
          <w:tcPr>
            <w:tcW w:w="234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9"/>
                <w:szCs w:val="19"/>
                <w:color w:val="auto"/>
              </w:rPr>
            </w:pPr>
          </w:p>
        </w:tc>
        <w:tc>
          <w:tcPr>
            <w:tcW w:w="12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23"/>
        </w:trPr>
        <w:tc>
          <w:tcPr>
            <w:tcW w:w="4040" w:type="dxa"/>
            <w:vAlign w:val="bottom"/>
          </w:tcPr>
          <w:p>
            <w:pPr>
              <w:spacing w:after="0"/>
              <w:rPr>
                <w:sz w:val="19"/>
                <w:szCs w:val="19"/>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9"/>
                <w:szCs w:val="19"/>
                <w:color w:val="auto"/>
              </w:rPr>
            </w:pPr>
          </w:p>
        </w:tc>
        <w:tc>
          <w:tcPr>
            <w:tcW w:w="128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74"/>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4,410,909</w:t>
            </w:r>
          </w:p>
        </w:tc>
        <w:tc>
          <w:tcPr>
            <w:tcW w:w="2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202,154</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(185,606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26,082</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54,105</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407,047</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(28,457 )</w:t>
            </w:r>
          </w:p>
        </w:tc>
        <w:tc>
          <w:tcPr>
            <w:tcW w:w="2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(28,457 )</w:t>
            </w:r>
          </w:p>
        </w:tc>
      </w:tr>
      <w:tr>
        <w:trPr>
          <w:trHeight w:val="279"/>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4,898,143</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(214,063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4"/>
        </w:trPr>
        <w:tc>
          <w:tcPr>
            <w:tcW w:w="4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and exercised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 shares issued pursuant to</w:t>
            </w: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Lincoln Park Purchase Agreement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99,276</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1,452,065</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20"/>
                <w:szCs w:val="20"/>
                <w:color w:val="auto"/>
              </w:rPr>
            </w:pPr>
          </w:p>
        </w:tc>
      </w:tr>
      <w:tr>
        <w:trPr>
          <w:trHeight w:val="279"/>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6,466,294</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(206,036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-2219960</wp:posOffset>
            </wp:positionV>
            <wp:extent cx="3840480"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40480" cy="18034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-1259205</wp:posOffset>
            </wp:positionV>
            <wp:extent cx="3840480" cy="316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40480" cy="31686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Our lead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we will continue as a going concern and which contemplates the realization of assets, and satisfaction of liabilities, and commitments in the normal course of business. For the year ended December 31, 2022, we had net income of $8.0 million. We had an accumulated deficit of $206.0 million as of December 31, 2022. For the year ended December 31, 2022, net cash used in our operating activities was $21.0 million. We have suffered recurring losses from operations and negative cash flows from operating activities. We have suffered recurring losses from operations and negative cash flows from operating activities. We believe that our existing cash resources, milestone payments related to the Royalty Purchase Agreement with HCR, funds available under the Purchase Agreement with Lincoln Park and the Equity Distribution Agreement with Piper Sandler, cash to be generated from future deferred payments and milestones related to IXINITY sales and regulatory approvals achieved by Medexus, and contingent considerations to be received from Kamada Ltd. (previously Saol), will be sufficient to meet our projected operating requirements and debt service for at least twelve months from the date of issuance of these financial statements. We may choose to raise additional funds to support our operating and capital needs in the future.</w:t>
      </w:r>
    </w:p>
    <w:p>
      <w:pPr>
        <w:spacing w:after="0" w:line="86" w:lineRule="exact"/>
        <w:rPr>
          <w:sz w:val="20"/>
          <w:szCs w:val="20"/>
          <w:color w:val="auto"/>
        </w:rPr>
      </w:pPr>
    </w:p>
    <w:p>
      <w:pPr>
        <w:jc w:val="both"/>
        <w:ind w:firstLine="515"/>
        <w:spacing w:after="0" w:line="252"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(e) whether and to what extent future milestone payments are received under our Royalty Purchase Agreement; (f) macroeconomic conditions such as rising interest rates, inflation and costs; and (g) other items affecting our forecasted level of expenditures and use of cash resources. We may obtain additional funding through our existing equity Purchase Agreement with Lincoln Park or our Equity Distribution Agreement with Piper Sandler, or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our wholly owned subsidiary, Aptevo Research and Development LLC. All intercompany balances and transactions have been eliminated. All intercompany balances and transactions have been eliminated.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forecasted royalties, effective interest rates, clinical accruals, useful lives of equipment, commitments and contingencies, stock-based compensation, and incremental borrowing rate (IBR) used for our lease. Given the global economic climate and additional or unforeseen effects from the ongoing COVID-19 pandemic, these estimates are becoming more challenging, and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we had current restricted cash of $0 and $1.3 million related to securing letters of credit. We classify our restricted cash as either current or non-current based on the term of the underlying letters of credit.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Aptevo to concentrations of credit risk consist primarily of cash and cash equivalents, certain investments and royalty and milestone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royalty and milestone receivable relates to our Amendment to Royalty Purchase Agreement with HCR. We do not believe that Aptevo is exposed to significant credit risk related to royalty and milestone receivable due to the credit quality and history of collections from HCR.</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following estimated useful lives: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672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rPr>
              <w:t>7-10 years</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67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3-5 years or product life</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72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rPr>
              <w:t>Lesser of the asset life or the remaining lease term</w:t>
            </w: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72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83</w:t>
            </w: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67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date. Leases are to be classified as finance or operating leases at the lease commencement date, which affects the classification of expense recognition in the consolidated statement of operations.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our existing leases do not contain an implicit interest rate, we estimate our IBR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 and subsequent amendment of our office lease.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part of our selling, general and administrative expenses and our research and development expenses on our consolidated statements of operations. Lease expense for financing leases consists of amortization of the right-of-use asset and interest on the lease liability as part of our research and development expenses on our consolidated statements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measure and record cash equivalents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our short-term financial instruments, which include cash and cash equivalents, royalty and milestone receivable and accounts payable, approximate their fair value due to their short maturities.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Aptevo defers costs related to debt issuance and amortizes these costs to interest expense over the term of the debt, using the effective interest method. Debt issuance costs are presented in the consolidated balance sheet as a reduction of the carrying amount of the debt liability.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 Modification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March 30, 2021, we amended our Credit Agreement with MidCap Financial (First Amendment to Credit Agreement) and used $10 million of the proceeds received from the Royalty Purchase Agreement to pay down the outstanding principal under the Credit Agreement from $25 million to $15 million. The amended Credit Agreement was accounted for under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xml:space="preserve">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2022, we further amended the Credit Agreement with MidCap Financial (Limited Consent and Second Amendment to Credit Agreement) to obtain MidCap Financial’s limited consent to amend the Royalty Purchase Agreement with HCR. The Limited Consent and Second Amendment to Credit Agreement did not change future cash flows or other terms of the Credit Agreement.</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on August 30, 2022, we amended our Credit Agreement with MidCap Financial (Third Amendment to Credit Agreement) to replace the LIBOR benchmark with SOFR, which is regulated by the Federal Reserve Bank of New York. We amended our Credit Agreement due to FCA's planned phase-out of one-month US Dollar LIBOR settings in 2023. Our Credit Agreement continues to bear base interest at a rate of 6.25% per annum plus SOFR, subject to a 1.50% SOFR floor and a 2.50% SOFR cap.</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Sale of Royalties and Other Income (Expense)</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HCR pursuant to which we sold to HCR the right to receive royalty payments made by Pfizer in respect of net sales of RUXIENCE. Under the terms of the Royalty Purchase Agreement, we received $35 million at closing and we are eligible to receive additional payments in the aggregate of up to an additional $32.5 million based on the achievement of sales milestones in 2021, 2022 and 2023.</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the date we entered into the transaction, we accounted for the Royalty Purchase Agreement with HCR as a debt-like instrument, amortized under the effective interest rate method over the life of the related expected royalty stream. The liabilities related to the sale of royalties and the debt amortization were based on our estimates of royalties expected to be paid over the life of the arrangement.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pursuant to ASC 470-10-25, </w:t>
      </w:r>
      <w:r>
        <w:rPr>
          <w:rFonts w:ascii="Times New Roman" w:cs="Times New Roman" w:eastAsia="Times New Roman" w:hAnsi="Times New Roman"/>
          <w:sz w:val="18"/>
          <w:szCs w:val="18"/>
          <w:i w:val="1"/>
          <w:iCs w:val="1"/>
          <w:color w:val="auto"/>
        </w:rPr>
        <w:t>Debt – Sales of Future Revenues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Various Other Measures of Income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June 7, 2022, we entered into and closed an amendment to the Royalty Purchase Agreement (the Amendment to Royalty Purchase Agreement) (see Note 8) which removed all restrictions related to HCR’s rate of return, and it is no longer a sale of a specified percentage of royalty revenue. The Amendment to Royalty Purchase Agreement was accounted for under ASC 610-20, </w:t>
      </w:r>
      <w:r>
        <w:rPr>
          <w:rFonts w:ascii="Times New Roman" w:cs="Times New Roman" w:eastAsia="Times New Roman" w:hAnsi="Times New Roman"/>
          <w:sz w:val="18"/>
          <w:szCs w:val="18"/>
          <w:i w:val="1"/>
          <w:iCs w:val="1"/>
          <w:color w:val="auto"/>
        </w:rPr>
        <w:t>Gains and Losses from Derecognition of Nonfinancial Assets</w:t>
      </w:r>
      <w:r>
        <w:rPr>
          <w:rFonts w:ascii="Times New Roman" w:cs="Times New Roman" w:eastAsia="Times New Roman" w:hAnsi="Times New Roman"/>
          <w:sz w:val="18"/>
          <w:szCs w:val="18"/>
          <w:color w:val="auto"/>
        </w:rPr>
        <w:t xml:space="preserve"> and ASC 405-20, </w:t>
      </w:r>
      <w:r>
        <w:rPr>
          <w:rFonts w:ascii="Times New Roman" w:cs="Times New Roman" w:eastAsia="Times New Roman" w:hAnsi="Times New Roman"/>
          <w:sz w:val="18"/>
          <w:szCs w:val="18"/>
          <w:i w:val="1"/>
          <w:iCs w:val="1"/>
          <w:color w:val="auto"/>
        </w:rPr>
        <w:t>Liabilities – Extinguishment of Liabilities</w:t>
      </w:r>
      <w:r>
        <w:rPr>
          <w:rFonts w:ascii="Times New Roman" w:cs="Times New Roman" w:eastAsia="Times New Roman" w:hAnsi="Times New Roman"/>
          <w:sz w:val="18"/>
          <w:szCs w:val="18"/>
          <w:color w:val="auto"/>
        </w:rPr>
        <w:t xml:space="preserve"> and the transaction is no longer considered a debt-like financing.</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a result of the Amendment to Royalty Purchase Agreement, the Company recognized a gain of $37.2 million, which was the total balance of liability related to the sale of royalties on the closing date. The Amendment to Royalty Purchase Agreement allowed us to regain full compliance with Nasdaq Listing Rule 5550(b)(1) in a way that was non-dilutive for our shareholders. No royalty revenue on net sales of RUXIENCE that are paid by Pfizer to HCR has been recognized subsequent to when we entered into the Amendment to Royalty Purchase Agreement. The royalty revenue included in the consolidated statements of operations reflects revenue recorded only prior to the second quarter of 2022 due to our Amendment to Royalty Purchase Agreement. Future Milestone Amounts will be accounted for as variable consideration and recognized as other income when such milestones are earned using the most likely method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We received 2022 milestone payment of $2.5 million on February 28, 2023. The proceed from 2022 milestone payment was recorded as other income in the consolidated statement of operations for the year ended December 31, 2022. The Company is eligible to receive additional milestone payment of $10 million based on achievement of sales milestones in 2023.</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recognized revenue in accordance with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RUXIENCE Royalty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Aptevo’s royalty revenue exclusively related to royalties on Pfizer’s net sales of RUXIENCE. Royalty revenue for the period covered by this report reflects revenue recorded only prior to the second quarter of 2022 due to our Amendment to Royalty Purchase Agreement with HCR (see Note 8). As a result of the Amendment to Royalty Purchase Agreement, we ceased reporting as royalty revenue, royalties paid by Pfizer to HCR related to Pfizer’s sales of RUXIENCE.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recognized royalty revenue under ASC 606, which provides revenue recognition constraints by requiring the recognition of revenue at the later of the following: (1) when the subsequent sale or usage occurs or (2) when the performance obligation to which some or all of the sales-based or usage-based royalty has been allocated has been satisfied (or partially satisfied). We satisfied our performance obligation prior to the period covered by this report, specifically in May 2011 when the original Collaboration and License Agreement between Trubion Pharmaceuticals and Wyeth was amended to remove the exclusivity/non-compete restrictions so that Pfizer could develop a CD20 biosimilar product in exchange for a one-time payment of $2.5 million and future royalties of 2.5% on any CD20 biosimilar product commercialized by Pfizer in the future. We do not have future performance obligations under this agreement. We applied the royalty recognition constraint required under the guidance for sales-based royalties, which requires a sales-based royalty to be recorded no sooner than the underlying sale. Therefore, royalties on sales of products commercialized by Pfizer were recognized in the quarter the product is sold.</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Given the royalty revenues were based on 2.5% of global net sales of RUXIENCE, the considerations were considered variable. Pfizer generally reported sales information to us within 60 days of quarter end. Unless we received finalized sales information for the respective quarter, we estimated the expected royalty proceeds based on an analysis of historical experience, analyst expectations, interim data provided by Pfizer, including their publicly announced sales, and other publicly available information. Differences between actual and estimated royalty revenues were adjusted for in the period in which they became known, typically the following quarter. Revenue recorded in the period covered by this report represents actual royalty revenue given the timing of RUXIENCE sales reports received from Pfizer. There was no significant financing component to the contract.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services provided but not yet invoiced. The Company’s estimates are highly dependent upon the timeliness and accuracy of the data provided by its CROs regarding the status of each program and total program spending and adjustments are made when deemed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restricted stock units (RSUs), and stock options granted to our employees and directors based on the fair value of the awards as of the date of grant. The fair value of stock options is estimated at the date of grant using the Black-Scholes option pricing model that requires management to apply judgment and make estimates, including:</w:t>
      </w:r>
    </w:p>
    <w:p>
      <w:pPr>
        <w:spacing w:after="0" w:line="68"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stock option award, which we calculate using the simplified method, as we have insufficient historical information regarding our stock options to provide a basis for an estimate;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the historical volatility of the historical and implied future volatility of our common stock;</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routinely evaluate the appropriateness of the forfeiture rate based on actual forfeiture experience, analysis of employee turnover, and expectations of future option exercise behavior.</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is the Chief Executive Officer, who views the Company's operations as one operating segment, which is discovery and development of novel oncology therapeutics.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 Update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(ASC 848) to provide optional expedients and exceptions for applying GAAP to loan and lease agreements, derivative contracts, and other transactions affected by the anticipated transition away from LIBOR toward new interest rate benchmarks. The FCA, which regulates LIBOR, phased out one-week and two-month US Dollar LIBOR settings on December 31, 2021. All other US Dollar LIBOR settings, including the overnight, one-month, three-month, six-month and twelve-month, will be phased out on June 30, 2023.</w:t>
      </w:r>
    </w:p>
    <w:p>
      <w:pPr>
        <w:spacing w:after="0" w:line="7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We evaluated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as part of our August 30, 2022 amendment to Credit Agreement with MidCap Financial (see Note 7). The adoption of ASC 848 did not have a material impact on our consolidated financial statements.</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include discontinued operations from two separate transactions: the sale of our hyperimmune business in 2017, from which we received a payment in March 2021 related to the collection of a certain accounts receivable, and the sale of our Aptevo BioTherapeutics LLC business in February 2020.</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28, 2020, we entered into an LLC Purchase Agreement with Medexus, pursuant to which we sold all of the issued and outstanding limited liability company interests of Aptevo BioTherapeutics LLC, a wholly owned subsidiary of Aptevo. As a result of the transaction, Medexus obtained all rights, title and interest to the IXINITY product and the related Hemophilia B business and intellectual property.</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consolidated statements of operations (in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88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payments from Medexus</w:t>
            </w:r>
          </w:p>
        </w:tc>
        <w:tc>
          <w:tcPr>
            <w:tcW w:w="940" w:type="dxa"/>
            <w:vAlign w:val="bottom"/>
            <w:tcBorders>
              <w:top w:val="single" w:sz="8" w:color="auto"/>
            </w:tcBorders>
            <w:shd w:val="clear" w:color="auto" w:fill="CFF0FC"/>
          </w:tcPr>
          <w:p>
            <w:pPr>
              <w:spacing w:after="0"/>
              <w:rPr>
                <w:sz w:val="22"/>
                <w:szCs w:val="22"/>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22"/>
                <w:szCs w:val="22"/>
                <w:color w:val="auto"/>
              </w:rPr>
            </w:pPr>
          </w:p>
        </w:tc>
      </w:tr>
      <w:tr>
        <w:trPr>
          <w:trHeight w:val="25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Saol</w:t>
            </w: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r>
      <w:tr>
        <w:trPr>
          <w:trHeight w:val="279"/>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LLC Purchase Agreement with Medexus entitles us to future deferred payments and royalties. For the year ended December 31, 2022, we collected an approximately $1.0 million deferred payment from Medexus related to IXINITY sales. For the year ended December 31, 2021, we collected $0.5 million related to the sale of the hyperimmune business to Saol as a result of the collection of certain accounts receivable and deferred payments of $0.5 million from Medexus related to IXINITY sales. Pursuant to our LLC Purchase Agreement with Medexus, the rate for deferred payments increased from 2% to 5% of net sales as of June 30,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 a lead bispecific antibody candidate simultaneously targeting 4-1BB (CD137), a member of the TNFR superfamily of a costimulatory receptor found on activated T cells, and 5T4, a tumor antigen widely overexpressed in a number of different types of cancer.</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In accordance with ASC 808, we concluded that because the Collaboration Agreement is a cost sharing agreement, there is no revenue.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we recorded approximately $1.7 million and $0.1 million in our research and development expense related to the collaboration arrangement,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2022 and 2021, we had $21.6 million and $41.2. million in money market funds, respectively. The carrying amounts of our money market funds approximate their fair value. At December 31, 2022 and 2021, we did not have any Level 2 or Level 3 assets or liabilities.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investments in money market funds. Restricted cash are time deposits, which include securing letters of credit.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cash equivalents and current restricted cash as of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64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8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-685165</wp:posOffset>
            </wp:positionV>
            <wp:extent cx="5143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528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(13,026 )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(12,279 )</w:t>
            </w:r>
          </w:p>
        </w:tc>
        <w:tc>
          <w:tcPr>
            <w:tcW w:w="0" w:type="dxa"/>
            <w:vAlign w:val="bottom"/>
          </w:tcPr>
          <w:p>
            <w:pPr>
              <w:spacing w:after="0"/>
              <w:rPr>
                <w:sz w:val="1"/>
                <w:szCs w:val="1"/>
                <w:color w:val="auto"/>
              </w:rPr>
            </w:pPr>
          </w:p>
        </w:tc>
      </w:tr>
      <w:tr>
        <w:trPr>
          <w:trHeight w:val="277"/>
        </w:trPr>
        <w:tc>
          <w:tcPr>
            <w:tcW w:w="5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$0.9 million and $1.1 million, respectively.</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5, 2020, we entered into a Credit Agreement with MidCap Financial. The Credit Agreement provided us with up to $25.0 million of available borrowing capacity under a term loan facility. The full $25.0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Certain assets of the Company are pledged as collateral under the terms of the Credit Agreement. The FCA, which regulates LIBOR, phased out one-week and two-month US Dollar LIBOR settings on December 31, 2021. All other US Dollar LIBOR settings, including the overnight, one-month, three-month, six-month and twelve-month, will be phased out on June 30, 2023. Our 2020 Credit Agreement with MidCap Financial originally referenced one-month LIBOR and also provided that we may amend the Credit Agreement to reflect an alternative rate of interest upon the phase out of LIBOR.</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6, 2020, Kevin Tang and his related entities filed a statement on Schedule 13D to report the purchase of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30, 2021, we amended our Credit Agreement with MidCap Financial and used $10.0 million of the proceeds received from the Royalty Purchase Agreement to pay down the outstanding principal under the Credit Agreement from $25.0 million to $15.0 million. A fee of $0.6 million was paid by the Company to MidCap Financial in connection with the amendment in lieu of the formula-based fee previously required. $10.0 million of the remaining $15.0 million principal balance was paid on March 29, 2022 and we incurred additional $0.6 million prepayment fees. Beginning March 1, 2022, monthly repayment of the remaining $5.0 million of principal commenced and will continue for the final 30 months of the loan term. The term loan facility includes additional payment provisions if milestones related to IXINITY under the LLC Purchase Agreement with Medexus or royalties related to RUXIENCE under the Royalty Purchase Agreement with HCR are sold during the term of the loan. If the Company sells the IXINITY deferred payment stream and milestones prior to full repayment of this $5.0 million principal amount, under the agreement with MidCap Financial, we will be required to use the proceeds from the sale to pay down the outstanding loan principal balance. MidCap Financial also released its security interest in the RUXIENCE royalty payments.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amended Credit Agreement was accounted for as a debt modification, rather than an extinguishment, based on a comparison of the present value of the cash flows under the terms of the debt immediately before and after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both"/>
        <w:spacing w:after="0" w:line="282" w:lineRule="auto"/>
        <w:rPr>
          <w:sz w:val="20"/>
          <w:szCs w:val="20"/>
          <w:color w:val="auto"/>
        </w:rPr>
      </w:pPr>
      <w:r>
        <w:rPr>
          <w:rFonts w:ascii="Times New Roman" w:cs="Times New Roman" w:eastAsia="Times New Roman" w:hAnsi="Times New Roman"/>
          <w:sz w:val="18"/>
          <w:szCs w:val="18"/>
          <w:color w:val="auto"/>
        </w:rPr>
        <w:t>amendment, which resulted in a change of less than 10%. Unamortized issuance costs as of the date of modification will be amortized to interest expense using the effective interest method over the repayment term.</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June 7, 2022, we further amended the Credit Agreement with MidCap Financial to obtain MidCap Financial’s limited consent to amend our Royalty Purchase Agreement with HCR. The Limited Consent and Second Amendment to Credit Agreement did not change future cash flows or other terms of the Credit Agreement.</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on August 30, 2022, we amended our Credit Agreement with MidCap Financial to replace the LIBOR benchmark with SOFR, which is regulated by the Federal Reserve Bank of New York. We amended our Credit Agreement due to FCA’s planned phase-out of one-month US Dollar LIBOR settings in 2023. Our Credit Agreement continues to bear base interest at a rate of 6.25% per annum plus SOFR, subject to a 1.50% SOFR floor and a 2.50% SOFR cap.</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we classified $2.0 million of the $3.5 million principal of the amended Credit Agreement to current portion of long-term debt on the consolidated balance sheet. For the years ended December 31, 2022 and 2021, the Company paid $0.6 million and $1.4 million in interest expense pursuant to our Credit Agreement.</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This facility is subject to a subjective acceleration clause that could be invoked by MidCap Financial upon the occurrence of any event MidCap Financial deems to have a material adverse effect on our ability to repay the lender.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principal, interest, and other related fee payments in connection with the Credit Agreement as of December 31, 2022 are as follows:</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FF0FC"/>
          </w:tcPr>
          <w:p>
            <w:pPr>
              <w:spacing w:after="0"/>
              <w:rPr>
                <w:sz w:val="20"/>
                <w:szCs w:val="20"/>
                <w:color w:val="auto"/>
              </w:rPr>
            </w:pPr>
          </w:p>
        </w:tc>
      </w:tr>
      <w:tr>
        <w:trPr>
          <w:trHeight w:val="23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20"/>
                <w:szCs w:val="20"/>
                <w:color w:val="auto"/>
              </w:rPr>
            </w:pPr>
          </w:p>
        </w:tc>
      </w:tr>
      <w:tr>
        <w:trPr>
          <w:trHeight w:val="277"/>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Liability Related to Sale of Royalties</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2021, we entered into and closed the Royalty Purchase Agreement with HCR pursuant to which we sold to HCR the right to receive royalty payments made by Pfizer in respect of global net sales of RUXIENCE. Under the terms of the agreement, we received $35.0 million at closing and we are eligible to receive additional payments in the aggregate of up to an additional $32.5 million based on the achievement of sales milestones in 2021, 2022 and 2023 (up to $10 million and $12.5 million in 2021 and 2022, respectively and $10 million in 2023).</w:t>
      </w:r>
    </w:p>
    <w:p>
      <w:pPr>
        <w:spacing w:after="0" w:line="11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Due to the nature of the transaction, which included a cap on HCR’s rate of return, constituting continuing involvement under the Collaboration and License Agreement originally between Trubion and Wyeth, we recorded a liability related to the proceeds received from HCR of $35.0 million, net of transaction costs of $1.1 million. Further, we received proceeds related to the 2021 milestone of $10.0 million, net of transaction costs of $0.5 million, and recorded additional liability related to sale of royalties. We recognized royalty revenue on net sales of RUXIENCE and recorded the royalty payments to HCR as a reduction of the liability when paid. We received the 2021 milestone payments in the collective amount of $10.0 million on March 8, 2022. The proceeds from these milestone payments, net of transaction costs, were recorded as an additional liability related to the sale of royalties on the consolidated balance sheet as of March 31, 2022 pursuant to ASC 470-10-25, </w:t>
      </w:r>
      <w:r>
        <w:rPr>
          <w:rFonts w:ascii="Times New Roman" w:cs="Times New Roman" w:eastAsia="Times New Roman" w:hAnsi="Times New Roman"/>
          <w:sz w:val="18"/>
          <w:szCs w:val="18"/>
          <w:i w:val="1"/>
          <w:iCs w:val="1"/>
          <w:color w:val="auto"/>
        </w:rPr>
        <w:t>Debt – Sales of Future Revenues or Various Other Measures of Income.</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April 1, 2022, the Company received a letter from Nasdaq indicating that it was not in compliance with Nasdaq Listing Rule 5550(b)(1). On June 7, 2022, we entered into and closed an amendment to our Royalty Purchase Agreement, resulting in the Company recognizing a $37.2 million gain, which was the total balance of liability related to the sale of royalties on the closing date. The Amendment to Royalty Purchase Agreement allowed us to regain full compliance with Nasdaq Listing Rule 5550(b)(1) in a way that was non-dilutive for our shareholders. Pursuant to the Amendment to Royalty Purchase Agreement, we agreed to forego our right to receive 50% of incremental RUXIENCE royalty revenue after HCR received aggregate royalty payments totaling 190% of the Investment Amount plus Milestone Amounts to the extent paid by HCR. The Amendment to Royalty Purchase Agreement eliminated all of our continuing involvement with the cash generating activities related to the royalties and removed all restrictions related to the rate of return and was therefore accounted for under ASC 610-20, </w:t>
      </w:r>
      <w:r>
        <w:rPr>
          <w:rFonts w:ascii="Times New Roman" w:cs="Times New Roman" w:eastAsia="Times New Roman" w:hAnsi="Times New Roman"/>
          <w:sz w:val="18"/>
          <w:szCs w:val="18"/>
          <w:i w:val="1"/>
          <w:iCs w:val="1"/>
          <w:color w:val="auto"/>
        </w:rPr>
        <w:t>Gains and Losses from Derecognition of Nonfinancial Assets</w:t>
      </w:r>
      <w:r>
        <w:rPr>
          <w:rFonts w:ascii="Times New Roman" w:cs="Times New Roman" w:eastAsia="Times New Roman" w:hAnsi="Times New Roman"/>
          <w:sz w:val="18"/>
          <w:szCs w:val="18"/>
          <w:color w:val="auto"/>
        </w:rPr>
        <w:t xml:space="preserve"> and ASC 405-20, </w:t>
      </w:r>
      <w:r>
        <w:rPr>
          <w:rFonts w:ascii="Times New Roman" w:cs="Times New Roman" w:eastAsia="Times New Roman" w:hAnsi="Times New Roman"/>
          <w:sz w:val="18"/>
          <w:szCs w:val="18"/>
          <w:i w:val="1"/>
          <w:iCs w:val="1"/>
          <w:color w:val="auto"/>
        </w:rPr>
        <w:t>Liabilities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Extinguishment of Liabilities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3" w:name="page94"/>
    <w:bookmarkEnd w:id="93"/>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royalty revenue included in the consolidated statements of operations reflects revenue recorded only prior to the second quarter of 2022 due to our Amendment to Royalty Purchase Agreement. Future milestone payments will be accounted for as variable consideration and recognized using the most likely method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We received 2022 milestone payment of $2.5 million on February 28, 2023. The proceeds from 2022 milestone payment was recorded as other income in the consolidated statement of operations for the year ended December 31, 2022. We are eligible to receive additional milestone payment of $10 million based on achievement of sales milestones in 2023.</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liability in the year related to the sale of royalties under the Royalty Purchase Agreement with HCR (in thousands):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beginning balance</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31,045</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sale of royalties, net of transaction costs</w:t>
            </w:r>
          </w:p>
        </w:tc>
        <w:tc>
          <w:tcPr>
            <w:tcW w:w="1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Proceeds from milestone payments, net of transaction costs</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RUXIENCE royalties paid by Pfizer to HCR</w:t>
            </w:r>
          </w:p>
        </w:tc>
        <w:tc>
          <w:tcPr>
            <w:tcW w:w="1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(6,779 )</w:t>
            </w:r>
          </w:p>
        </w:tc>
        <w:tc>
          <w:tcPr>
            <w:tcW w:w="10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(8,627 )</w:t>
            </w:r>
          </w:p>
        </w:tc>
      </w:tr>
      <w:tr>
        <w:trPr>
          <w:trHeight w:val="239"/>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from extinguishment of liability related to sale of royalties</w:t>
            </w:r>
          </w:p>
        </w:tc>
        <w:tc>
          <w:tcPr>
            <w:tcW w:w="1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(37,182 )</w:t>
            </w:r>
          </w:p>
        </w:tc>
        <w:tc>
          <w:tcPr>
            <w:tcW w:w="10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ending balance</w:t>
            </w:r>
          </w:p>
        </w:tc>
        <w:tc>
          <w:tcPr>
            <w:tcW w:w="11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31,045</w:t>
            </w:r>
          </w:p>
        </w:tc>
        <w:tc>
          <w:tcPr>
            <w:tcW w:w="100" w:type="dxa"/>
            <w:vAlign w:val="bottom"/>
            <w:shd w:val="clear" w:color="auto" w:fill="CFF0FC"/>
          </w:tcPr>
          <w:p>
            <w:pPr>
              <w:spacing w:after="0"/>
              <w:rPr>
                <w:sz w:val="20"/>
                <w:szCs w:val="20"/>
                <w:color w:val="auto"/>
              </w:rPr>
            </w:pPr>
          </w:p>
        </w:tc>
      </w:tr>
      <w:tr>
        <w:trPr>
          <w:trHeight w:val="239"/>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liability related to sale of royalties</w:t>
            </w:r>
          </w:p>
        </w:tc>
        <w:tc>
          <w:tcPr>
            <w:tcW w:w="1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(15,465 )</w:t>
            </w:r>
          </w:p>
        </w:tc>
      </w:tr>
      <w:tr>
        <w:trPr>
          <w:trHeight w:val="277"/>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non-current</w:t>
            </w: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Leases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or by July 2022. We had previously determined to record lease liability and ROU asset through April 30, 2023 given we were not reasonable certain to not exercise the termination option.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26, 2022, we amended our office and laboratory lease to remove the one-time termination option. In exchange for removing the termination option, we received six months of free rent. As a result, we recorded an additional $4.4 million of lease liability and right-of-use asset on the consolidated balance sheet on the date of the amendment. As of December 31, 2022, we are not reasonably certain to exercise the two options to extend the lease term. Therefore, pursuant to our May 26, 2022, amendment, we recorded our lease liability through April 30, 2030.</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we recorded $0.7 million and $0.8 million, respectively, related to variable expense due to true ups of operating costs or real estate taxes.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Leases - Operating and Financing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operating or financing leases for equipment.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acquired under operating leases:</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excluding Seattle office lease</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payments as of December 31, 2022 are as follows: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2026 and beyond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(3,402 )</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-4217035</wp:posOffset>
            </wp:positionV>
            <wp:extent cx="6032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-4217035</wp:posOffset>
            </wp:positionV>
            <wp:extent cx="6032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-2750820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-2733675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-2750820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-2733675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long-term and current portion of the lease liabilities were $6.1 million and $0.4 million, respectively. As of December 31, 2021, the long-term and current portion of the lease liabilities were $1.3 million and $1.0 million, respectively.</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weighted average remaining lease term and weighted discount rate for operating leases was 7.3 years and 12.03%. As of December 31, 2021, the weighted average remaining lease term and weighted discount rate for operating leases was 1.3 years and 14.46%.</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10. Net Income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95" w:name="page96"/>
    <w:bookmarkEnd w:id="9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 (in thousands, except share and per share amounts):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8"/>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 from continuing operations:</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6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income per share from discontinued operations: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6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5,100,310</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4,687,952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5,102,914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per share amounts)</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-2870835</wp:posOffset>
            </wp:positionV>
            <wp:extent cx="113157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31570" cy="1797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-2202815</wp:posOffset>
            </wp:positionV>
            <wp:extent cx="113157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31570" cy="1797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-1868170</wp:posOffset>
            </wp:positionV>
            <wp:extent cx="1131570"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31570" cy="205740"/>
                    </a:xfrm>
                    <a:prstGeom prst="rect">
                      <a:avLst/>
                    </a:prstGeom>
                    <a:noFill/>
                  </pic:spPr>
                </pic:pic>
              </a:graphicData>
            </a:graphic>
          </wp:anchor>
        </w:drawing>
      </w:r>
    </w:p>
    <w:p>
      <w:pPr>
        <w:spacing w:after="0" w:line="3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u w:val="single" w:color="auto"/>
          <w:color w:val="auto"/>
        </w:rPr>
        <w:t>ommon Stock</w:t>
      </w:r>
    </w:p>
    <w:p>
      <w:pPr>
        <w:spacing w:after="0" w:line="13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issued warrants to purchase shares of our common stock outstanding related to our March 11, 2019 public offering. For the year ended December 31, 2022, the Company did not have any of its warrants exercised. For the year ended December 31, 2021, certain of the holders of the Company’s warrants exercised warrants with a strike price of $18.20 per share, resulting in the issuance of 54,105 shares of the Company’s common stock and aggregate proceeds to the Company of approximately $1.0 million. As of December 31, 2022 and 2021, there were warrants to purchase 350,589 shares of common stock outstanding.</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issued 16,809 shares of our common stock due to the vesting of RSUs. For the year ended December 31, 2021, we did not issue any common stock due to the vesting of RSUs.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an immaterial number of shares of stock options were exercised. For the year ended December 31, 2021, we received proceeds of $0.2 million upon the exercise of stock options which resulted in the issuance of 26,082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December 14, 2020, we entered into an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For the year ended December 31, 2022, we issued 1,452,065 shares of our common stock at an average share price of $4.92 under the Equity Distribution Agreement. We received $7.0 million in proceeds from issuance of these shares. We did not issue any shares under the Equity Distribution Agreement for the year ended December 31, 2021.</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16, 2022, we entered into a Purchase Agreement (2022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of our common stock over a 36-month period commencing after the satisfaction of certain conditions, which are within our control, as set forth in the Purchase Agreement. The purchase price per share will be based on prevailing market prices; provided, however, that the prevailing market price is not below $1.00. We agreed to and issued 99,276 shares of our common stock to Lincoln Park for no cash consideration as an initial fee for its commitment to purchase shares of our common stock under the 2022 Purchase Agreement.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in the year ended December 31, 2022, we did not issue any shares of common stock for cash consideration to Lincoln Park under the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For the year ended December 31, 2021, the Company issued 407,047 shares of common stock to Lincoln Park under the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and received $10.2 million in proceeds from issuance of these shares.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8, 2020, our Board of Directors (Board) approved and adopted a Rights Agreement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 and further amended on November 4, 2022 to extend the expiration of such agreement to November 4, 2023.</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2016 Stock Incentive Plan</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August 1, 2016, the Company adopted the 2016 Stock Incentive Plan (the 2016 SIP). A total of 0.2 million shares of our common stock have been authorized for issuance under the 2016 SIP in the form of equity stock options.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our common stock. The Restated 2016 Plan was previously approved, subject to stockholder approval, by the Board of Directors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3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our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w:t>
      </w:r>
    </w:p>
    <w:p>
      <w:pPr>
        <w:spacing w:after="0" w:line="8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June 7, 2022, at the 2022 Annual Meeting of Stockholders, our stockholders approved the Amended and Restated 2018 SIP to increase the number of shares authorized for issuance under the 2018 SIP by 0.5 million shares of common stock. As of December 31, 2022, there are less than 0.4 million shares available to be granted under the 2018 SIP.</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consolidated statements of operations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cancelled.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1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6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30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800" w:type="dxa"/>
            <w:vAlign w:val="bottom"/>
            <w:gridSpan w:val="2"/>
          </w:tcPr>
          <w:p>
            <w:pPr>
              <w:jc w:val="center"/>
              <w:ind w:left="3190"/>
              <w:spacing w:after="0"/>
              <w:rPr>
                <w:sz w:val="20"/>
                <w:szCs w:val="20"/>
                <w:color w:val="auto"/>
              </w:rPr>
            </w:pPr>
            <w:r>
              <w:rPr>
                <w:rFonts w:ascii="Times New Roman" w:cs="Times New Roman" w:eastAsia="Times New Roman" w:hAnsi="Times New Roman"/>
                <w:sz w:val="18"/>
                <w:szCs w:val="18"/>
                <w:color w:val="auto"/>
                <w:w w:val="99"/>
              </w:rPr>
              <w:t>106.24%</w:t>
            </w:r>
          </w:p>
        </w:tc>
        <w:tc>
          <w:tcPr>
            <w:tcW w:w="166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rPr>
              <w:t>99.15%</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00" w:type="dxa"/>
            <w:vAlign w:val="bottom"/>
            <w:gridSpan w:val="2"/>
            <w:shd w:val="clear" w:color="auto" w:fill="CFF0FC"/>
          </w:tcPr>
          <w:p>
            <w:pPr>
              <w:jc w:val="center"/>
              <w:ind w:left="3210"/>
              <w:spacing w:after="0"/>
              <w:rPr>
                <w:sz w:val="20"/>
                <w:szCs w:val="20"/>
                <w:color w:val="auto"/>
              </w:rPr>
            </w:pPr>
            <w:r>
              <w:rPr>
                <w:rFonts w:ascii="Times New Roman" w:cs="Times New Roman" w:eastAsia="Times New Roman" w:hAnsi="Times New Roman"/>
                <w:sz w:val="18"/>
                <w:szCs w:val="18"/>
                <w:color w:val="auto"/>
                <w:w w:val="98"/>
              </w:rPr>
              <w:t>1.71%</w:t>
            </w:r>
          </w:p>
        </w:tc>
        <w:tc>
          <w:tcPr>
            <w:tcW w:w="16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98"/>
              </w:rPr>
              <w:t>0.61%</w:t>
            </w:r>
          </w:p>
        </w:tc>
        <w:tc>
          <w:tcPr>
            <w:tcW w:w="5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3300" w:type="dxa"/>
            <w:vAlign w:val="bottom"/>
          </w:tcPr>
          <w:p>
            <w:pPr>
              <w:spacing w:after="0"/>
              <w:rPr>
                <w:sz w:val="20"/>
                <w:szCs w:val="2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 years</w:t>
            </w:r>
          </w:p>
        </w:tc>
        <w:tc>
          <w:tcPr>
            <w:tcW w:w="560" w:type="dxa"/>
            <w:vAlign w:val="bottom"/>
          </w:tcPr>
          <w:p>
            <w:pPr>
              <w:spacing w:after="0"/>
              <w:rPr>
                <w:sz w:val="20"/>
                <w:szCs w:val="20"/>
                <w:color w:val="auto"/>
              </w:rPr>
            </w:pPr>
          </w:p>
        </w:tc>
      </w:tr>
      <w:tr>
        <w:trPr>
          <w:trHeight w:val="778"/>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96</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8" w:name="page99"/>
    <w:bookmarkEnd w:id="9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has applied an estimated forfeiture rate of 30% and 23% for the year ended December 31, 2022 and 2021, respectively. Expected volatility increased, as our stock price fluctuated from a low of $2.00 to a high of $8.42 throughout the year ended December 31, 2022, compared to a low of $6.48 to a high of $40.59 for the year ended December 31, 2021.</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year ended December 31,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5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334,412</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(85 )</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(39,649 )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364,266</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187,838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321,078</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-385445</wp:posOffset>
            </wp:positionV>
            <wp:extent cx="2392045"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92045" cy="2057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we had $1.9 million of unrecognized compensation expense related to options expected to vest over a weighted average period of 1.3 years. The weighted-average grant date fair value per share of options granted during the years ended December 31, 2022 and 2021 was $4.36 and $23.02, respectively. The aggregate intrinsic value of options exercised for the years ended December 31, 2022 and 2021 was $0 and $0.4 million, respectively. The total fair value of stock options vested for the years ended December 31, 2022 and 2021 was $1.3 million and $1.6 million, respectively.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Aptevo’s common stock on the last trading day of December 2022 and the exercise price, multiplied by the number of in the money options) that would have been received by the option holders had all the option holders exercised their options on the last trading day of the quarter.</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restricted stock activity for the year ended December 31,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840" w:type="dxa"/>
            <w:vAlign w:val="bottom"/>
          </w:tcPr>
          <w:p>
            <w:pPr>
              <w:spacing w:after="0"/>
              <w:rPr>
                <w:sz w:val="16"/>
                <w:szCs w:val="16"/>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(17,903 )</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(14,736 )</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223,775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-205105</wp:posOffset>
            </wp:positionV>
            <wp:extent cx="114871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48715" cy="205740"/>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we had $1.5 million of unrecognized stock-based compensation expense related to RSUs expected to vest over a weighted average period of 1.6 years. As of December 31, 2021, we had $1.4 million of unrecognized stock-based compensation expense related to RSUs expected to vest over a weighted average period of 2.2 years.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are therefore included within equity on our consolidated balance sheets. For the year ended December 31, 2022, the Company did not have any of its warrants exercised. For the year ended December 31, 2021, certain of the holders of the Company’s warrants exercised warrants with a strike price of $18.20 per share, resulting in the issuance of 54,105 shares of the Company’s common stock and aggregate proceeds to the Company of approximately $1.0 million. As of December 31, 2022, there were warrants to purchase 350,589 shares of common stock outstanding.</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12. 401(k) Savings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Aptevo has established a defined contribution savings plan under Section 401(k) of the Internal Revenue Code, as amended.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2022 and 2021, Aptevo’s related share of matching contributions was approximately $0.2 million.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 income tax benefit or income tax expense from continuing operations in the years ended December 31, 2022 and 2021.</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income (loss) before income taxes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900" w:type="dxa"/>
            <w:vAlign w:val="bottom"/>
            <w:gridSpan w:val="2"/>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74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(29,408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benefit from income taxes</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1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(29,408 )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40" w:type="dxa"/>
            <w:vAlign w:val="bottom"/>
            <w:vMerge w:val="restart"/>
          </w:tcPr>
          <w:p>
            <w:pPr>
              <w:jc w:val="right"/>
              <w:ind w:right="1515"/>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-685165</wp:posOffset>
            </wp:positionV>
            <wp:extent cx="6032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00" w:name="page101"/>
    <w:bookmarkEnd w:id="100"/>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losses carryforward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33,520</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losses carryforward</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tax credits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related to sale of future royalties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20"/>
                <w:szCs w:val="20"/>
                <w:color w:val="auto"/>
              </w:rPr>
            </w:pPr>
          </w:p>
        </w:tc>
      </w:tr>
      <w:tr>
        <w:trPr>
          <w:trHeight w:val="241"/>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assets, gross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50,578</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(49,113 )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(50,245 )</w:t>
            </w:r>
          </w:p>
        </w:tc>
      </w:tr>
      <w:tr>
        <w:trPr>
          <w:trHeight w:val="241"/>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assets, net of valuation</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32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(1,124 )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37"/>
        </w:trPr>
        <w:tc>
          <w:tcPr>
            <w:tcW w:w="6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-187960</wp:posOffset>
            </wp:positionV>
            <wp:extent cx="6032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Company evaluated the positive and negative evidence bearing upon the realizability of its deferred tax assets. Based on the Company’s history of operating losses, including a three-year cumulative loss position as of December 31, 2022, the Company has concluded that it is more likely than not that the benefit of its deferred tax assets will not be realized. Accordingly, the Company provided a full valuation allowance for its net deferred tax assets as of December 31, 2022 and 2021. The valuation allowance decreased by $1.1 million during the year ended December 31, 2022. The decrease in the valuation allowance during the year ended December 31, 2022 was due primarily to a decrease in deferred tax assets resulting from the current year write-off of DTA related to the sale of the Company’s RUXIENCE royalty rights to HCR and decrease in Section 163(j) limitation, which was utilized at return time, the impact of which was partially offset by orphan drug credit generated during the period, Section 174 capitalized research expenditures, and the generation of federal and state NOLs during the period.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and 2021, we have recorded gross federal net operating losses (NOL) carryforwards of approximately $156.2 and $159.6 million, respectively, gross state NOL carryforwards of approximately $71.1 and $70.3 million, respectively, and tax credit carryforwards of $4.9 million and $3.3 million, respectively. Approximately $15.1 million of federal losses and credits would begin to expire in 2037, while $141.1 million of federal losses may be carried forward indefinitely. The state net operating losses will begin to expire in varying periods.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completed an IRC Section 382/383 study on its federal and state tax attributes based on an ownership change that occurred during 2021. Based on the study, there are not any permanent limitations on our ability to use federal and state net operating loss carryforwards and tax credits. We may experience ownership changes in the future as a result of subsequent shifts in our stock ownership, some of which may be outside of our control. If an ownership change occurs in the future, our ability to use our net operating loss carryforwards and credits could be limited.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and several state jurisdictions and are open to review by taxing authorities for the 2016 tax filings and thereafter.</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associated with audits and uncertain tax positions is to record such items as a component of income tax expense, and amounts recognized to date are insignificant. No uncertain income tax positions are recorded, and we do not expect our uncertain tax position to change during the next twelve months.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the federal statutory income tax rate to the Company’s effective income tax from continuing operations is as follows:</w:t>
      </w:r>
    </w:p>
    <w:p>
      <w:pPr>
        <w:spacing w:after="0" w:line="25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4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4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5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6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18"/>
                <w:szCs w:val="18"/>
                <w:color w:val="auto"/>
                <w:highlight w:val="white"/>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18"/>
                <w:szCs w:val="18"/>
                <w:color w:val="auto"/>
                <w:highlight w:val="white"/>
              </w:rPr>
              <w:t>%</w:t>
            </w:r>
          </w:p>
        </w:tc>
      </w:tr>
      <w:tr>
        <w:trPr>
          <w:trHeight w:val="20"/>
        </w:trPr>
        <w:tc>
          <w:tcPr>
            <w:tcW w:w="6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issued 730,913 shares of our common stock after December 31, 2022 but before the issuance of this report, which would have further diluted our net income per share had they been issued prior to December 31, 2022. These shares were issued pursuant to our Equity Distribution Agreement with Piper Sandler.</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February 28, 2023, the Company received a $2.5 million milestone payment from HCR pursuant to our Royalty Purchase Agreement. Proceed from the milestone payment was recorded as other income in the consolidated statement of operations for the year ended December 31, 2022, using the most likely method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March 29, 2023, we entered into and closed a payment interest purchase agreement (the “Purchase Agreement”) with XOMA (US) LLC (“XOMA”) pursuant to which we sold to XOMA our right, title and interest in and to all of the deferred payments and a portion of the milestone payments from Medexus pursuant to our LLC Purchase Agreement. Under the terms of the Purchase Agreement, we received $9.6 million at closing (the “Closing Payment”) and we are eligible to receive additional post-closing payment of $0.05 million if the deferred payment in respect of net sales under our LLC Purchase Agreement with Medexus for the first calendar quarter of 2023 (“Q1 2023”) exceeds $0.5 million. In exchange for the Closing Payment, the Company sold to XOMA its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March 29, 2023, we used a portion of the proceeds from our Purchase Agreement with XOMA to fully repay $2.8 million outstanding principal of our MidCap debt, including payment of $0.3 million in exit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2022, management, with the participation of our Chief Executive Officer and Chief Financial Officer, performed an evaluation of the effectiveness of our disclosure controls and procedures as defined in Rules 13a- 15(e) and 15d-15(e) of the Exchange Act. Based on this evaluation, our Chief Executive Officer and Chief Financial Officer concluded that, as of December 31, 2022,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2022 based on criteria established in Internal Control—Integrated Framework (2013) issued by the Committee of Sponsoring Organizations of the Treadway Commission. As a result of this assessment, management concluded that, as of December 31, 2022,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disclosure controls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Executives Officers and Corporate Governance.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in connection with our 2023 Annual Meeting of Stockholders (the Proxy Statement), which is expected to be filed not later than 120 days after December 31, 2022, under the headings “Executive Officers,” “Proposal 1 - Election of Directors,” “Information Regarding the Board of Directors and Corporate Governance,” and “Delinquent Section 16(a) Reports,”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headings “Executive Compensation” and “Director Compensation,”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headings “Security Ownership of Certain Beneficial Owners and Management”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headings “Transactions with Related Persons” and “Information Regarding the Board of Directors and Corporate Governance,”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the Proxy Statement under the heading “Proposal 2 – Ratification of the Selection of Independent Registered Public Accounting Firm,”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Consolidated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Consolidated Financial Statements at Item 8 herein.</w:t>
      </w:r>
    </w:p>
    <w:p>
      <w:pPr>
        <w:spacing w:after="0" w:line="117" w:lineRule="exact"/>
        <w:rPr>
          <w:sz w:val="20"/>
          <w:szCs w:val="20"/>
          <w:color w:val="auto"/>
        </w:rPr>
      </w:pPr>
    </w:p>
    <w:p>
      <w:pPr>
        <w:ind w:left="1540" w:hanging="514"/>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54" w:lineRule="exact"/>
        <w:rPr>
          <w:sz w:val="20"/>
          <w:szCs w:val="20"/>
          <w:color w:val="auto"/>
        </w:rPr>
      </w:pPr>
    </w:p>
    <w:p>
      <w:pPr>
        <w:ind w:left="1540" w:hanging="514"/>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5" w:name="page106"/>
    <w:bookmarkEnd w:id="105"/>
    <w:p>
      <w:pPr>
        <w:ind w:left="54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900" w:type="dxa"/>
            <w:vAlign w:val="bottom"/>
            <w:gridSpan w:val="11"/>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11"/>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Contribution Agreement, dated July 29, 2016, by and among Emergent</w:t>
              </w:r>
            </w:hyperlink>
          </w:p>
        </w:tc>
        <w:tc>
          <w:tcPr>
            <w:tcW w:w="4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2"/>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BioSolutions Inc., Aptevo Therapeutics Inc., Aptevo Research and</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Development LLC and Aptevo BioTherapeutics LLC</w:t>
              </w:r>
            </w:hyperlink>
          </w:p>
        </w:tc>
        <w:tc>
          <w:tcPr>
            <w:tcW w:w="1280" w:type="dxa"/>
            <w:vAlign w:val="bottom"/>
            <w:tcBorders>
              <w:top w:val="single" w:sz="8" w:color="0000EE"/>
            </w:tcBorders>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Separation and Distribution Agreement, dated July 29, 2016, by and</w:t>
              </w:r>
            </w:hyperlink>
          </w:p>
        </w:tc>
        <w:tc>
          <w:tcPr>
            <w:tcW w:w="60" w:type="dxa"/>
            <w:vAlign w:val="bottom"/>
            <w:gridSpan w:val="3"/>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between Emergent BioSolutions Inc. and Aptevo Therapeutics Inc.</w:t>
              </w:r>
            </w:hyperlink>
          </w:p>
        </w:tc>
        <w:tc>
          <w:tcPr>
            <w:tcW w:w="34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3"/>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 xml:space="preserve">LLC Purchase Agreement, dated as of August 31, 2017, by and among </w:t>
              </w:r>
            </w:hyperlink>
            <w:r>
              <w:rPr>
                <w:rFonts w:ascii="Times New Roman" w:cs="Times New Roman" w:eastAsia="Times New Roman" w:hAnsi="Times New Roman"/>
                <w:sz w:val="18"/>
                <w:szCs w:val="18"/>
                <w:color w:val="000000"/>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2"/>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Aptevo BioTherapeutics LLC,  Aptevo Therapeutics Inc., Venus Bio</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Therapeutics Sub LLC, and Saol International Limited.</w:t>
              </w:r>
            </w:hyperlink>
          </w:p>
        </w:tc>
        <w:tc>
          <w:tcPr>
            <w:tcW w:w="116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2"/>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LLC Purchase Agreement by and among Aptevo Therapeutics Inc. and</w:t>
              </w:r>
            </w:hyperlink>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Medexus Pharma, Inc. dated February 28, 2020.</w:t>
              </w:r>
            </w:hyperlink>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3"/>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 xml:space="preserve">Amended  and  Restated  Certificate  of  Incorporation  of  Aptevo  </w:t>
              </w:r>
            </w:hyperlink>
            <w:r>
              <w:rPr>
                <w:rFonts w:ascii="Times New Roman" w:cs="Times New Roman" w:eastAsia="Times New Roman" w:hAnsi="Times New Roman"/>
                <w:sz w:val="18"/>
                <w:szCs w:val="18"/>
                <w:color w:val="000000"/>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Therapeutics Inc.</w:t>
              </w:r>
            </w:hyperlink>
          </w:p>
        </w:tc>
        <w:tc>
          <w:tcPr>
            <w:tcW w:w="3840" w:type="dxa"/>
            <w:vAlign w:val="bottom"/>
            <w:tcBorders>
              <w:top w:val="single" w:sz="8" w:color="0000EE"/>
            </w:tcBorders>
            <w:gridSpan w:val="8"/>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3"/>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 xml:space="preserve">Amended and Restated By-laws of Aptevo Therapeutics Inc., as </w:t>
              </w:r>
            </w:hyperlink>
            <w:r>
              <w:rPr>
                <w:rFonts w:ascii="Times New Roman" w:cs="Times New Roman" w:eastAsia="Times New Roman" w:hAnsi="Times New Roman"/>
                <w:sz w:val="18"/>
                <w:szCs w:val="18"/>
                <w:color w:val="000000"/>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amended and restated on November 8, 2022.</w:t>
              </w:r>
            </w:hyperlink>
          </w:p>
        </w:tc>
        <w:tc>
          <w:tcPr>
            <w:tcW w:w="194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Certificate of Amendment of Amended and Restated Certificate of</w:t>
              </w:r>
            </w:hyperlink>
          </w:p>
        </w:tc>
        <w:tc>
          <w:tcPr>
            <w:tcW w:w="60" w:type="dxa"/>
            <w:vAlign w:val="bottom"/>
            <w:gridSpan w:val="3"/>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27,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2"/>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Incorporation of Aptevo Therapeutics Inc.</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2"/>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Certificate of Designation of Series A Junior Participating Preferred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Stock of Aptevo Therapeutics Inc.</w:t>
              </w:r>
            </w:hyperlink>
          </w:p>
        </w:tc>
        <w:tc>
          <w:tcPr>
            <w:tcW w:w="2660" w:type="dxa"/>
            <w:vAlign w:val="bottom"/>
            <w:tcBorders>
              <w:top w:val="single" w:sz="8" w:color="0000EE"/>
            </w:tcBorders>
            <w:gridSpan w:val="7"/>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1240"/>
          </w:cols>
          <w:pgMar w:left="320" w:top="333" w:right="339" w:bottom="1440" w:gutter="0" w:footer="0" w:header="0"/>
        </w:sectPr>
      </w:pPr>
    </w:p>
    <w:tbl>
      <w:tblPr>
        <w:tblLayout w:type="fixed"/>
        <w:tblInd w:w="3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3.5</w:t>
            </w:r>
          </w:p>
        </w:tc>
        <w:tc>
          <w:tcPr>
            <w:tcW w:w="432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Amended and Restated Bylaws of Aptevo Therapeutics Inc.</w:t>
              </w:r>
            </w:hyperlink>
          </w:p>
        </w:tc>
        <w:tc>
          <w:tcPr>
            <w:tcW w:w="820" w:type="dxa"/>
            <w:vAlign w:val="bottom"/>
            <w:gridSpan w:val="2"/>
          </w:tcPr>
          <w:p>
            <w:pPr>
              <w:spacing w:after="0"/>
              <w:rPr>
                <w:sz w:val="18"/>
                <w:szCs w:val="18"/>
                <w:color w:val="auto"/>
              </w:rPr>
            </w:pPr>
          </w:p>
        </w:tc>
      </w:tr>
      <w:tr>
        <w:trPr>
          <w:trHeight w:val="371"/>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4.1</w:t>
            </w:r>
          </w:p>
        </w:tc>
        <w:tc>
          <w:tcPr>
            <w:tcW w:w="5140" w:type="dxa"/>
            <w:vAlign w:val="bottom"/>
            <w:gridSpan w:val="4"/>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Form of Common Stock Certificate</w:t>
              </w:r>
            </w:hyperlink>
          </w:p>
        </w:tc>
      </w:tr>
      <w:tr>
        <w:trPr>
          <w:trHeight w:val="20"/>
        </w:trPr>
        <w:tc>
          <w:tcPr>
            <w:tcW w:w="8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2"/>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4.2</w:t>
            </w:r>
          </w:p>
        </w:tc>
        <w:tc>
          <w:tcPr>
            <w:tcW w:w="5140" w:type="dxa"/>
            <w:vAlign w:val="bottom"/>
            <w:tcBorders>
              <w:bottom w:val="single" w:sz="8" w:color="0000EE"/>
            </w:tcBorders>
            <w:gridSpan w:val="4"/>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Registration Rights Agreement, dated as of August 1, 2016, by and</w:t>
              </w:r>
            </w:hyperlink>
          </w:p>
        </w:tc>
      </w:tr>
      <w:tr>
        <w:trPr>
          <w:trHeight w:val="196"/>
        </w:trPr>
        <w:tc>
          <w:tcPr>
            <w:tcW w:w="840" w:type="dxa"/>
            <w:vAlign w:val="bottom"/>
          </w:tcPr>
          <w:p>
            <w:pPr>
              <w:spacing w:after="0"/>
              <w:rPr>
                <w:sz w:val="17"/>
                <w:szCs w:val="17"/>
                <w:color w:val="auto"/>
              </w:rPr>
            </w:pPr>
          </w:p>
        </w:tc>
        <w:tc>
          <w:tcPr>
            <w:tcW w:w="5140" w:type="dxa"/>
            <w:vAlign w:val="bottom"/>
            <w:gridSpan w:val="4"/>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among Aptevo Therapeutics Inc. and certain of its stockholders</w:t>
              </w:r>
            </w:hyperlink>
          </w:p>
        </w:tc>
      </w:tr>
      <w:tr>
        <w:trPr>
          <w:trHeight w:val="20"/>
        </w:trPr>
        <w:tc>
          <w:tcPr>
            <w:tcW w:w="8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91"/>
        </w:trPr>
        <w:tc>
          <w:tcPr>
            <w:tcW w:w="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92"/>
        </w:trPr>
        <w:tc>
          <w:tcPr>
            <w:tcW w:w="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313" w:lineRule="exact"/>
        <w:rPr>
          <w:sz w:val="20"/>
          <w:szCs w:val="20"/>
          <w:color w:val="auto"/>
        </w:rPr>
      </w:pPr>
    </w:p>
    <w:p>
      <w:pPr>
        <w:sectPr>
          <w:pgSz w:w="11900" w:h="16838" w:orient="portrait"/>
          <w:cols w:equalWidth="0" w:num="2">
            <w:col w:w="6280" w:space="160"/>
            <w:col w:w="480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w:t>
            </w:r>
          </w:p>
        </w:tc>
        <w:tc>
          <w:tcPr>
            <w:tcW w:w="518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Registration Rights Agreement, dated December 20, 2018, by and</w:t>
              </w:r>
            </w:hyperlink>
          </w:p>
        </w:tc>
        <w:tc>
          <w:tcPr>
            <w:tcW w:w="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24, 2018</w:t>
            </w:r>
          </w:p>
        </w:tc>
        <w:tc>
          <w:tcPr>
            <w:tcW w:w="20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140" w:type="dxa"/>
            <w:vAlign w:val="bottom"/>
          </w:tcPr>
          <w:p>
            <w:pPr>
              <w:spacing w:after="0"/>
              <w:rPr>
                <w:sz w:val="17"/>
                <w:szCs w:val="17"/>
                <w:color w:val="auto"/>
              </w:rPr>
            </w:pPr>
          </w:p>
        </w:tc>
        <w:tc>
          <w:tcPr>
            <w:tcW w:w="5220" w:type="dxa"/>
            <w:vAlign w:val="bottom"/>
            <w:gridSpan w:val="7"/>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between Aptevo Therapeutics Inc. and Lincoln Park Capital Fund,</w:t>
              </w:r>
            </w:hyperlink>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1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LLC.</w:t>
              </w:r>
            </w:hyperlink>
          </w:p>
        </w:tc>
        <w:tc>
          <w:tcPr>
            <w:tcW w:w="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58"/>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4.4</w:t>
            </w:r>
          </w:p>
        </w:tc>
        <w:tc>
          <w:tcPr>
            <w:tcW w:w="516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Rights Agreement, dated as of November 8, 2020, by and between</w:t>
              </w:r>
            </w:hyperlink>
          </w:p>
        </w:tc>
        <w:tc>
          <w:tcPr>
            <w:tcW w:w="60" w:type="dxa"/>
            <w:vAlign w:val="bottom"/>
            <w:gridSpan w:val="2"/>
          </w:tcPr>
          <w:p>
            <w:pPr>
              <w:spacing w:after="0"/>
              <w:rPr>
                <w:sz w:val="24"/>
                <w:szCs w:val="24"/>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2020</w:t>
            </w:r>
          </w:p>
        </w:tc>
        <w:tc>
          <w:tcPr>
            <w:tcW w:w="20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140" w:type="dxa"/>
            <w:vAlign w:val="bottom"/>
          </w:tcPr>
          <w:p>
            <w:pPr>
              <w:spacing w:after="0"/>
              <w:rPr>
                <w:sz w:val="17"/>
                <w:szCs w:val="17"/>
                <w:color w:val="auto"/>
              </w:rPr>
            </w:pPr>
          </w:p>
        </w:tc>
        <w:tc>
          <w:tcPr>
            <w:tcW w:w="5220" w:type="dxa"/>
            <w:vAlign w:val="bottom"/>
            <w:gridSpan w:val="7"/>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Aptevo Therapeutics Inc. and Broadridge Corporate Issuer Solutions,</w:t>
              </w:r>
            </w:hyperlink>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1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Inc., as rights agent</w:t>
              </w:r>
            </w:hyperlink>
          </w:p>
        </w:tc>
        <w:tc>
          <w:tcPr>
            <w:tcW w:w="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58"/>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4.5</w:t>
            </w:r>
          </w:p>
        </w:tc>
        <w:tc>
          <w:tcPr>
            <w:tcW w:w="5220" w:type="dxa"/>
            <w:vAlign w:val="bottom"/>
            <w:gridSpan w:val="7"/>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Amendment No. 1 to Right Agreement, dated as of November 5, 2021,</w:t>
              </w:r>
            </w:hyperlink>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5, 2021</w:t>
            </w:r>
          </w:p>
        </w:tc>
        <w:tc>
          <w:tcPr>
            <w:tcW w:w="20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001-37746</w:t>
            </w:r>
          </w:p>
        </w:tc>
      </w:tr>
      <w:tr>
        <w:trPr>
          <w:trHeight w:val="20"/>
        </w:trPr>
        <w:tc>
          <w:tcPr>
            <w:tcW w:w="11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gridSpan w:val="7"/>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between the Company and Broadridge Corporate Issuer Solutions, Inc.,</w:t>
              </w:r>
            </w:hyperlink>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as Rights Agent</w:t>
              </w:r>
            </w:hyperlink>
          </w:p>
        </w:tc>
        <w:tc>
          <w:tcPr>
            <w:tcW w:w="398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66"/>
        </w:trPr>
        <w:tc>
          <w:tcPr>
            <w:tcW w:w="1140" w:type="dxa"/>
            <w:vAlign w:val="bottom"/>
          </w:tcPr>
          <w:p>
            <w:pPr>
              <w:spacing w:after="0"/>
              <w:rPr>
                <w:sz w:val="24"/>
                <w:szCs w:val="24"/>
                <w:color w:val="auto"/>
              </w:rPr>
            </w:pPr>
          </w:p>
        </w:tc>
        <w:tc>
          <w:tcPr>
            <w:tcW w:w="5140" w:type="dxa"/>
            <w:vAlign w:val="bottom"/>
            <w:gridSpan w:val="4"/>
          </w:tcPr>
          <w:p>
            <w:pPr>
              <w:ind w:left="434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15"/>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15"/>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66"/>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Amendment No. 2 to Rights Agreement, dated as of November 4,</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2022,  between  the  Company  and  Broadridge  Corporate  Issuer</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Solutions, Inc., as Rights Agent.</w:t>
              </w:r>
            </w:hyperlink>
          </w:p>
        </w:tc>
        <w:tc>
          <w:tcPr>
            <w:tcW w:w="286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Description of Capital Stock of Aptevo Therapeutics</w:t>
              </w:r>
            </w:hyperlink>
          </w:p>
        </w:tc>
        <w:tc>
          <w:tcPr>
            <w:tcW w:w="1400" w:type="dxa"/>
            <w:vAlign w:val="bottom"/>
            <w:gridSpan w:val="12"/>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Agreement to Terminate Registration Rights Agreement between the</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8"/>
              </w:rPr>
            </w:pPr>
            <w:hyperlink r:id="rId251">
              <w:r>
                <w:rPr>
                  <w:rFonts w:ascii="Times New Roman" w:cs="Times New Roman" w:eastAsia="Times New Roman" w:hAnsi="Times New Roman"/>
                  <w:sz w:val="18"/>
                  <w:szCs w:val="18"/>
                  <w:color w:val="0000FF"/>
                  <w:w w:val="98"/>
                </w:rPr>
                <w:t>Company and Intervac L.L.C. and BioVac L.L.C.</w:t>
              </w:r>
            </w:hyperlink>
          </w:p>
        </w:tc>
        <w:tc>
          <w:tcPr>
            <w:tcW w:w="164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Transition Services Agreement, dated July 29, 2016, by and between</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Emergent BioSolutions Inc. and Aptevo Therapeutics Inc.</w:t>
              </w:r>
            </w:hyperlink>
          </w:p>
        </w:tc>
        <w:tc>
          <w:tcPr>
            <w:tcW w:w="10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Tax  Matters  Agreement,  dated  July  29,  2016,  by  and  between</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Emergent BioSolutions Inc. and Aptevo Therapeutics Inc.</w:t>
              </w:r>
            </w:hyperlink>
          </w:p>
        </w:tc>
        <w:tc>
          <w:tcPr>
            <w:tcW w:w="10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Product License Agreement, dated July 29, 2016, by and between</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Emergent BioSolutions Inc. and Aptevo Therapeutics Inc.</w:t>
              </w:r>
            </w:hyperlink>
          </w:p>
        </w:tc>
        <w:tc>
          <w:tcPr>
            <w:tcW w:w="10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7"/>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Aptevo Therapeutics Inc. Amended and Restated 2016 Stock Incentive</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Plan.</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Aptevo Therapeutics Inc. Converted Equity Awards Incentive Plan</w:t>
              </w:r>
            </w:hyperlink>
          </w:p>
        </w:tc>
        <w:tc>
          <w:tcPr>
            <w:tcW w:w="38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Aptevo Therapeutics Inc. Amended and Restated Senior Management</w:t>
              </w:r>
            </w:hyperlink>
          </w:p>
        </w:tc>
        <w:tc>
          <w:tcPr>
            <w:tcW w:w="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 10.6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7"/>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Severance Plan</w:t>
              </w:r>
            </w:hyperlink>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7"/>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Indemnity Agreement for directors and senior officers</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7"/>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Fourth and Battery Office Lease, dated as of April 28, 2003, by and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between Emergent Product Development Seattle, LLC (as successor-</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7"/>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in-interest to Trubion Pharmaceuticals, Inc. and Genecraft, Inc.) and</w:t>
              </w:r>
            </w:hyperlink>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Selig Real Estate Holdings Eight L.L.C. , or the Seattle Office Lease</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top w:val="single" w:sz="8" w:color="0000EE"/>
            </w:tcBorders>
            <w:gridSpan w:val="14"/>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Seattle Office Lease Amendment, dated December 8, 2004</w:t>
              </w:r>
            </w:hyperlink>
          </w:p>
        </w:tc>
        <w:tc>
          <w:tcPr>
            <w:tcW w:w="2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Seattle Office Lease Amendment, dated February 1, 2006</w:t>
              </w:r>
            </w:hyperlink>
          </w:p>
        </w:tc>
        <w:tc>
          <w:tcPr>
            <w:tcW w:w="60" w:type="dxa"/>
            <w:vAlign w:val="bottom"/>
            <w:tcBorders>
              <w:top w:val="single" w:sz="8" w:color="0000EE"/>
            </w:tcBorders>
            <w:gridSpan w:val="2"/>
          </w:tcPr>
          <w:p>
            <w:pPr>
              <w:spacing w:after="0"/>
              <w:rPr>
                <w:sz w:val="24"/>
                <w:szCs w:val="24"/>
                <w:color w:val="auto"/>
              </w:rPr>
            </w:pPr>
          </w:p>
        </w:tc>
        <w:tc>
          <w:tcPr>
            <w:tcW w:w="96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EE"/>
            </w:tcBorders>
            <w:gridSpan w:val="7"/>
          </w:tcPr>
          <w:p>
            <w:pPr>
              <w:spacing w:after="0"/>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Seattle Office Lease Amendment, dated February 2, 2007</w:t>
              </w:r>
            </w:hyperlink>
          </w:p>
        </w:tc>
        <w:tc>
          <w:tcPr>
            <w:tcW w:w="1040" w:type="dxa"/>
            <w:vAlign w:val="bottom"/>
            <w:gridSpan w:val="10"/>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Seattle Office Lease Amendment, dated June 7, 2010</w:t>
              </w:r>
            </w:hyperlink>
          </w:p>
        </w:tc>
        <w:tc>
          <w:tcPr>
            <w:tcW w:w="136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Seattle Office Lease Amendment, dated December 21, 2010</w:t>
              </w:r>
            </w:hyperlink>
          </w:p>
        </w:tc>
        <w:tc>
          <w:tcPr>
            <w:tcW w:w="86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000" w:type="dxa"/>
            <w:vAlign w:val="bottom"/>
          </w:tcPr>
          <w:p>
            <w:pPr>
              <w:spacing w:after="0"/>
              <w:rPr>
                <w:sz w:val="24"/>
                <w:szCs w:val="24"/>
                <w:color w:val="auto"/>
              </w:rPr>
            </w:pPr>
          </w:p>
        </w:tc>
        <w:tc>
          <w:tcPr>
            <w:tcW w:w="4960" w:type="dxa"/>
            <w:vAlign w:val="bottom"/>
            <w:gridSpan w:val="15"/>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gridSpan w:val="7"/>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Seattle Office Lease Amendment, dated July 17, 2012</w:t>
              </w:r>
            </w:hyperlink>
          </w:p>
        </w:tc>
        <w:tc>
          <w:tcPr>
            <w:tcW w:w="1300" w:type="dxa"/>
            <w:vAlign w:val="bottom"/>
            <w:gridSpan w:val="6"/>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Seventh Amendment to Seattle Office Lease, dated December 5, 2014</w:t>
              </w:r>
            </w:hyperlink>
          </w:p>
        </w:tc>
        <w:tc>
          <w:tcPr>
            <w:tcW w:w="140" w:type="dxa"/>
            <w:vAlign w:val="bottom"/>
            <w:gridSpan w:val="3"/>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License and Co-Development Agreement, dated as of August 19,</w:t>
              </w:r>
            </w:hyperlink>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2014, by and between Emergent Product Development Seattle, LLC</w:t>
              </w:r>
            </w:hyperlink>
          </w:p>
        </w:tc>
        <w:tc>
          <w:tcPr>
            <w:tcW w:w="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and MorphoSys AG, or the MorphoSys Collaboration Agreement</w:t>
              </w:r>
            </w:hyperlink>
          </w:p>
        </w:tc>
        <w:tc>
          <w:tcPr>
            <w:tcW w:w="4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ind w:right="353"/>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First Amendment to MorphoSys Collaboration Agreement, dated June</w:t>
              </w:r>
            </w:hyperlink>
          </w:p>
        </w:tc>
        <w:tc>
          <w:tcPr>
            <w:tcW w:w="60" w:type="dxa"/>
            <w:vAlign w:val="bottom"/>
            <w:gridSpan w:val="2"/>
          </w:tcPr>
          <w:p>
            <w:pPr>
              <w:spacing w:after="0"/>
              <w:rPr>
                <w:sz w:val="18"/>
                <w:szCs w:val="18"/>
                <w:color w:val="auto"/>
              </w:rPr>
            </w:pP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8"/>
              </w:rPr>
            </w:pPr>
            <w:hyperlink r:id="rId270">
              <w:r>
                <w:rPr>
                  <w:rFonts w:ascii="Times New Roman" w:cs="Times New Roman" w:eastAsia="Times New Roman" w:hAnsi="Times New Roman"/>
                  <w:sz w:val="18"/>
                  <w:szCs w:val="18"/>
                  <w:color w:val="0000FF"/>
                  <w:w w:val="98"/>
                </w:rPr>
                <w:t>19, 2015</w:t>
              </w:r>
            </w:hyperlink>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Second Amendment to MorphoSys Collaboration Agreement, dated</w:t>
              </w:r>
            </w:hyperlink>
          </w:p>
        </w:tc>
        <w:tc>
          <w:tcPr>
            <w:tcW w:w="6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2"/>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December 7, 2015</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2"/>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Third Amendment to MorphoSys Collaboration Agreement, dated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FF"/>
                <w:w w:val="98"/>
              </w:rPr>
            </w:pPr>
            <w:hyperlink r:id="rId272">
              <w:r>
                <w:rPr>
                  <w:rFonts w:ascii="Times New Roman" w:cs="Times New Roman" w:eastAsia="Times New Roman" w:hAnsi="Times New Roman"/>
                  <w:sz w:val="18"/>
                  <w:szCs w:val="18"/>
                  <w:color w:val="0000FF"/>
                  <w:w w:val="98"/>
                </w:rPr>
                <w:t>December 12, 2016</w:t>
              </w:r>
            </w:hyperlink>
          </w:p>
        </w:tc>
        <w:tc>
          <w:tcPr>
            <w:tcW w:w="372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2"/>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Fourth Amendment MorphoSys Collaboration Agreement, dated June</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FF"/>
                <w:w w:val="97"/>
              </w:rPr>
            </w:pPr>
            <w:hyperlink r:id="rId273">
              <w:r>
                <w:rPr>
                  <w:rFonts w:ascii="Times New Roman" w:cs="Times New Roman" w:eastAsia="Times New Roman" w:hAnsi="Times New Roman"/>
                  <w:sz w:val="18"/>
                  <w:szCs w:val="18"/>
                  <w:color w:val="0000FF"/>
                  <w:w w:val="97"/>
                </w:rPr>
                <w:t>19, 2017.</w:t>
              </w:r>
            </w:hyperlink>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Equity Distribution Agreement, dated November 9, 2017, between</w:t>
              </w:r>
            </w:hyperlink>
          </w:p>
        </w:tc>
        <w:tc>
          <w:tcPr>
            <w:tcW w:w="6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2"/>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Aptevo Therapeutics, Inc. and Piper Jaffray and Company LLC.</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2"/>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Collaboration and Option Agreement, dated as of July 20, 2017, by</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and between Aptevo Research and Development LLC, and Alligator</w:t>
              </w:r>
            </w:hyperlink>
          </w:p>
        </w:tc>
        <w:tc>
          <w:tcPr>
            <w:tcW w:w="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Bioscience AB.</w:t>
              </w:r>
            </w:hyperlink>
          </w:p>
        </w:tc>
        <w:tc>
          <w:tcPr>
            <w:tcW w:w="40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Amendment No. 3 to Credit and Security Agreement, dated as of</w:t>
              </w:r>
            </w:hyperlink>
          </w:p>
        </w:tc>
        <w:tc>
          <w:tcPr>
            <w:tcW w:w="6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2"/>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February 23, 2018, by and among Aptevo Therapeutics Inc. and certain</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140"/>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of its subsidiaries and Midcap Financial Trust.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1189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211899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10.24</w:t>
            </w:r>
          </w:p>
        </w:tc>
        <w:tc>
          <w:tcPr>
            <w:tcW w:w="5140" w:type="dxa"/>
            <w:vAlign w:val="bottom"/>
            <w:gridSpan w:val="5"/>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Aptevo Therapeutics Inc. 2018 Stock Incentive Plan</w:t>
              </w:r>
            </w:hyperlink>
            <w:r>
              <w:rPr>
                <w:rFonts w:ascii="Times New Roman" w:cs="Times New Roman" w:eastAsia="Times New Roman" w:hAnsi="Times New Roman"/>
                <w:sz w:val="21"/>
                <w:szCs w:val="21"/>
                <w:color w:val="0000FF"/>
              </w:rPr>
              <w:t>.</w:t>
            </w:r>
          </w:p>
        </w:tc>
      </w:tr>
      <w:tr>
        <w:trPr>
          <w:trHeight w:val="20"/>
        </w:trPr>
        <w:tc>
          <w:tcPr>
            <w:tcW w:w="9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8"/>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10.25</w:t>
            </w:r>
          </w:p>
        </w:tc>
        <w:tc>
          <w:tcPr>
            <w:tcW w:w="5140" w:type="dxa"/>
            <w:vAlign w:val="bottom"/>
            <w:gridSpan w:val="5"/>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Aptevo Therapeutics Inc. Non-Statutory Stock Option Agreement.</w:t>
              </w:r>
            </w:hyperlink>
          </w:p>
        </w:tc>
      </w:tr>
      <w:tr>
        <w:trPr>
          <w:trHeight w:val="20"/>
        </w:trPr>
        <w:tc>
          <w:tcPr>
            <w:tcW w:w="9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10.26</w:t>
            </w:r>
          </w:p>
        </w:tc>
        <w:tc>
          <w:tcPr>
            <w:tcW w:w="514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Purchase Agreement, dated December 20, 2018, by and between</w:t>
              </w:r>
            </w:hyperlink>
          </w:p>
        </w:tc>
      </w:tr>
      <w:tr>
        <w:trPr>
          <w:trHeight w:val="196"/>
        </w:trPr>
        <w:tc>
          <w:tcPr>
            <w:tcW w:w="980" w:type="dxa"/>
            <w:vAlign w:val="bottom"/>
          </w:tcPr>
          <w:p>
            <w:pPr>
              <w:spacing w:after="0"/>
              <w:rPr>
                <w:sz w:val="17"/>
                <w:szCs w:val="17"/>
                <w:color w:val="auto"/>
              </w:rPr>
            </w:pPr>
          </w:p>
        </w:tc>
        <w:tc>
          <w:tcPr>
            <w:tcW w:w="5140" w:type="dxa"/>
            <w:vAlign w:val="bottom"/>
            <w:gridSpan w:val="5"/>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Aptevo Therapeutics Inc. and Lincoln Park Capital Fund, LLC.</w:t>
              </w:r>
            </w:hyperlink>
          </w:p>
        </w:tc>
      </w:tr>
      <w:tr>
        <w:trPr>
          <w:trHeight w:val="20"/>
        </w:trPr>
        <w:tc>
          <w:tcPr>
            <w:tcW w:w="9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58"/>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10.27</w:t>
            </w:r>
          </w:p>
        </w:tc>
        <w:tc>
          <w:tcPr>
            <w:tcW w:w="514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Eighth Amendment to Office Lease, dated as of March 19, 2019, by</w:t>
              </w:r>
            </w:hyperlink>
          </w:p>
        </w:tc>
      </w:tr>
      <w:tr>
        <w:trPr>
          <w:trHeight w:val="196"/>
        </w:trPr>
        <w:tc>
          <w:tcPr>
            <w:tcW w:w="98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and between Aptevo Therapeutics Inc. and Selig Real Estate Holdings</w:t>
              </w:r>
            </w:hyperlink>
          </w:p>
        </w:tc>
      </w:tr>
      <w:tr>
        <w:trPr>
          <w:trHeight w:val="196"/>
        </w:trPr>
        <w:tc>
          <w:tcPr>
            <w:tcW w:w="9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8"/>
              </w:rPr>
            </w:pPr>
            <w:hyperlink r:id="rId281">
              <w:r>
                <w:rPr>
                  <w:rFonts w:ascii="Times New Roman" w:cs="Times New Roman" w:eastAsia="Times New Roman" w:hAnsi="Times New Roman"/>
                  <w:sz w:val="18"/>
                  <w:szCs w:val="18"/>
                  <w:color w:val="0000FF"/>
                  <w:w w:val="98"/>
                </w:rPr>
                <w:t>Eight L.L.C.</w:t>
              </w:r>
            </w:hyperlink>
          </w:p>
        </w:tc>
        <w:tc>
          <w:tcPr>
            <w:tcW w:w="4220" w:type="dxa"/>
            <w:vAlign w:val="bottom"/>
            <w:gridSpan w:val="4"/>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405"/>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91"/>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24,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94"/>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529" w:lineRule="exact"/>
        <w:rPr>
          <w:sz w:val="20"/>
          <w:szCs w:val="20"/>
          <w:color w:val="auto"/>
        </w:rPr>
      </w:pPr>
    </w:p>
    <w:p>
      <w:pPr>
        <w:sectPr>
          <w:pgSz w:w="11900" w:h="16838" w:orient="portrait"/>
          <w:cols w:equalWidth="0" w:num="2">
            <w:col w:w="6280" w:space="120"/>
            <w:col w:w="4840"/>
          </w:cols>
          <w:pgMar w:left="320" w:top="332" w:right="339" w:bottom="1440" w:gutter="0" w:footer="0" w:header="0"/>
          <w:type w:val="continuous"/>
        </w:sectPr>
      </w:pPr>
    </w:p>
    <w:tbl>
      <w:tblPr>
        <w:tblLayout w:type="fixed"/>
        <w:tblInd w:w="160" w:type="dxa"/>
        <w:tblCellMar>
          <w:top w:w="0" w:type="dxa"/>
          <w:left w:w="0" w:type="dxa"/>
          <w:bottom w:w="0" w:type="dxa"/>
          <w:right w:w="0" w:type="dxa"/>
        </w:tblCellMar>
      </w:tblPr>
      <w:tr>
        <w:trPr>
          <w:trHeight w:val="227"/>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10.28</w:t>
            </w:r>
          </w:p>
        </w:tc>
        <w:tc>
          <w:tcPr>
            <w:tcW w:w="5160" w:type="dxa"/>
            <w:vAlign w:val="bottom"/>
            <w:tcBorders>
              <w:bottom w:val="single" w:sz="8" w:color="0000EE"/>
            </w:tcBorders>
            <w:gridSpan w:val="3"/>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Ninth Amendment to Office Lease, dated May 26, 2022, by and</w:t>
              </w:r>
            </w:hyperlink>
          </w:p>
        </w:tc>
        <w:tc>
          <w:tcPr>
            <w:tcW w:w="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98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between Aptevo Therapeutics Inc. and Selig Real Estate Holdings</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8"/>
              </w:rPr>
            </w:pPr>
            <w:hyperlink r:id="rId282">
              <w:r>
                <w:rPr>
                  <w:rFonts w:ascii="Times New Roman" w:cs="Times New Roman" w:eastAsia="Times New Roman" w:hAnsi="Times New Roman"/>
                  <w:sz w:val="18"/>
                  <w:szCs w:val="18"/>
                  <w:color w:val="0000FF"/>
                  <w:w w:val="98"/>
                </w:rPr>
                <w:t>Eight L.L.C.</w:t>
              </w:r>
            </w:hyperlink>
          </w:p>
        </w:tc>
        <w:tc>
          <w:tcPr>
            <w:tcW w:w="42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8"/>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10.29</w:t>
            </w:r>
          </w:p>
        </w:tc>
        <w:tc>
          <w:tcPr>
            <w:tcW w:w="514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Amendment to LLC Purchase Agreement, dated as of August 31,</w:t>
              </w:r>
            </w:hyperlink>
          </w:p>
        </w:tc>
        <w:tc>
          <w:tcPr>
            <w:tcW w:w="6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980" w:type="dxa"/>
            <w:vAlign w:val="bottom"/>
          </w:tcPr>
          <w:p>
            <w:pPr>
              <w:spacing w:after="0"/>
              <w:rPr>
                <w:sz w:val="17"/>
                <w:szCs w:val="17"/>
                <w:color w:val="auto"/>
              </w:rPr>
            </w:pPr>
          </w:p>
        </w:tc>
        <w:tc>
          <w:tcPr>
            <w:tcW w:w="5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2017,  by  and  among  Aptevo  BioTherapeutics  LLC,  Aptevo</w:t>
              </w:r>
            </w:hyperlink>
          </w:p>
        </w:tc>
        <w:tc>
          <w:tcPr>
            <w:tcW w:w="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9" w:lineRule="exact"/>
        <w:rPr>
          <w:sz w:val="20"/>
          <w:szCs w:val="20"/>
          <w:color w:val="auto"/>
        </w:rPr>
      </w:pPr>
    </w:p>
    <w:p>
      <w:pPr>
        <w:ind w:left="1140"/>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Therapeutics  Inc.,  Venus  Bio  Therapeutics  Sub  LLC,  and  Saol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32658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1140"/>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International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-19050</wp:posOffset>
            </wp:positionV>
            <wp:extent cx="10026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0" w:type="dxa"/>
            <w:vAlign w:val="bottom"/>
            <w:gridSpan w:val="11"/>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11"/>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Collaboration and License Agreement, dated as of December 19, 2005,</w:t>
              </w:r>
            </w:hyperlink>
          </w:p>
        </w:tc>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3"/>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by and among Wyeth Pharmaceuticals and Trubion Pharmaceuticals,</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FF"/>
                <w:w w:val="94"/>
              </w:rPr>
            </w:pPr>
            <w:hyperlink r:id="rId287">
              <w:r>
                <w:rPr>
                  <w:rFonts w:ascii="Times New Roman" w:cs="Times New Roman" w:eastAsia="Times New Roman" w:hAnsi="Times New Roman"/>
                  <w:sz w:val="18"/>
                  <w:szCs w:val="18"/>
                  <w:color w:val="0000FF"/>
                  <w:w w:val="94"/>
                </w:rPr>
                <w:t>Inc.</w:t>
              </w:r>
            </w:hyperlink>
          </w:p>
        </w:tc>
        <w:tc>
          <w:tcPr>
            <w:tcW w:w="4860" w:type="dxa"/>
            <w:vAlign w:val="bottom"/>
            <w:tcBorders>
              <w:top w:val="single" w:sz="8" w:color="0000EE"/>
            </w:tcBorders>
            <w:gridSpan w:val="9"/>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3"/>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Amendment No. 1 to the Collaboration and License Agreement dated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as of December 19, 2005 (the “Agreement”) by and between Trubion</w:t>
              </w:r>
            </w:hyperlink>
          </w:p>
        </w:tc>
        <w:tc>
          <w:tcPr>
            <w:tcW w:w="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Pharmaceuticals, Inc. (“Trubion”) and Wyeth, acting through its Wyeth</w:t>
              </w:r>
            </w:hyperlink>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3"/>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Pharmaceuticals Division (“Wyeth”).</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3"/>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Amendment No. 2 to the Collaboration and License Agreement dated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as of December 19, 2005 (as previously amended, the “Agreement”)</w:t>
              </w:r>
            </w:hyperlink>
          </w:p>
        </w:tc>
        <w:tc>
          <w:tcPr>
            <w:tcW w:w="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by and between Trubion Pharmaceuticals, Inc. (“Trubion”) and Wyeth</w:t>
              </w:r>
            </w:hyperlink>
          </w:p>
        </w:tc>
        <w:tc>
          <w:tcPr>
            <w:tcW w:w="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LLC  (formerly  known  as  Wyeth),  acting  through  its  Wyeth</w:t>
              </w:r>
            </w:hyperlink>
          </w:p>
        </w:tc>
        <w:tc>
          <w:tcPr>
            <w:tcW w:w="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3"/>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Pharmaceuticals Division (“Wyeth”).</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3"/>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Amendment No. 3 to the Collaboration and License Agreement dated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as of December 19, 2005 (as previously amended, the “Agreement”)</w:t>
              </w:r>
            </w:hyperlink>
          </w:p>
        </w:tc>
        <w:tc>
          <w:tcPr>
            <w:tcW w:w="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by  and  between  Emergent  Product  Development  Seattle,  LLC</w:t>
              </w:r>
            </w:hyperlink>
          </w:p>
        </w:tc>
        <w:tc>
          <w:tcPr>
            <w:tcW w:w="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(successor to Trubion Pharmaceuticals, Inc. (“Trubion”)) (“EPDS”)</w:t>
              </w:r>
            </w:hyperlink>
          </w:p>
        </w:tc>
        <w:tc>
          <w:tcPr>
            <w:tcW w:w="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3"/>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and Wyeth LLC (formerly known as Wyeth), acting through its Wyeth</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Pharmaceuticals Division (“Wyeth”).</w:t>
              </w:r>
            </w:hyperlink>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3"/>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Amendment No. 4 to the Collaboration and License Agreement dated</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as of December 19, 2005 (as previously amended, the “Agreement”)</w:t>
              </w:r>
            </w:hyperlink>
          </w:p>
        </w:tc>
        <w:tc>
          <w:tcPr>
            <w:tcW w:w="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by  and  between  Emergent  Product  Development  Seattle,  LLC</w:t>
              </w:r>
            </w:hyperlink>
          </w:p>
        </w:tc>
        <w:tc>
          <w:tcPr>
            <w:tcW w:w="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(successor to Trubion Pharmaceuticals, Inc. (“Trubion”)) and Wyeth</w:t>
              </w:r>
            </w:hyperlink>
          </w:p>
        </w:tc>
        <w:tc>
          <w:tcPr>
            <w:tcW w:w="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LLC  (formerly  known  as  Wyeth),  acting  through  its  Wyeth</w:t>
              </w:r>
            </w:hyperlink>
          </w:p>
        </w:tc>
        <w:tc>
          <w:tcPr>
            <w:tcW w:w="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3"/>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Pharmaceuticals Division (“Wyeth”).</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Credit and Security Agreement, dated as of August 5, 2020, by and</w:t>
              </w:r>
            </w:hyperlink>
          </w:p>
        </w:tc>
        <w:tc>
          <w:tcPr>
            <w:tcW w:w="60" w:type="dxa"/>
            <w:vAlign w:val="bottom"/>
            <w:gridSpan w:val="5"/>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2019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3"/>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among Aptevo Therapeutics Inc., and MidCap Financial Trust.</w:t>
              </w:r>
            </w:hyperlink>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Equity Distribution Agreement, dated December 14, 2020, between</w:t>
              </w:r>
            </w:hyperlink>
          </w:p>
        </w:tc>
        <w:tc>
          <w:tcPr>
            <w:tcW w:w="40" w:type="dxa"/>
            <w:vAlign w:val="bottom"/>
            <w:gridSpan w:val="4"/>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Aptevo Therapeutics Inc. and Piper Sandler &amp; Co.</w:t>
              </w:r>
            </w:hyperlink>
          </w:p>
        </w:tc>
        <w:tc>
          <w:tcPr>
            <w:tcW w:w="15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Royalty Purchase Agreement by and among Aptevo Therapeutics Inc.</w:t>
              </w:r>
            </w:hyperlink>
          </w:p>
        </w:tc>
        <w:tc>
          <w:tcPr>
            <w:tcW w:w="60" w:type="dxa"/>
            <w:vAlign w:val="bottom"/>
            <w:gridSpan w:val="5"/>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w w:val="98"/>
              </w:rPr>
            </w:pPr>
            <w:hyperlink r:id="rId294">
              <w:r>
                <w:rPr>
                  <w:rFonts w:ascii="Times New Roman" w:cs="Times New Roman" w:eastAsia="Times New Roman" w:hAnsi="Times New Roman"/>
                  <w:sz w:val="18"/>
                  <w:szCs w:val="18"/>
                  <w:color w:val="0000FF"/>
                  <w:w w:val="98"/>
                </w:rPr>
                <w:t>and Healthcare Royalty Partners IV, LP. dated as of March 30, 2021.</w:t>
              </w:r>
            </w:hyperlink>
          </w:p>
        </w:tc>
        <w:tc>
          <w:tcPr>
            <w:tcW w:w="26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3"/>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Amendment to Royalty Purchase Agreement dated June 7, 2022.</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First Amendment to Credit and Security Agreement dated March 30,</w:t>
              </w:r>
            </w:hyperlink>
          </w:p>
        </w:tc>
        <w:tc>
          <w:tcPr>
            <w:tcW w:w="60" w:type="dxa"/>
            <w:vAlign w:val="bottom"/>
            <w:gridSpan w:val="5"/>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2680" w:type="dxa"/>
            <w:vAlign w:val="bottom"/>
            <w:gridSpan w:val="3"/>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2021.</w:t>
              </w:r>
            </w:hyperlink>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0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0" w:type="dxa"/>
            <w:vAlign w:val="bottom"/>
            <w:tcBorders>
              <w:top w:val="single" w:sz="8" w:color="0000EE"/>
            </w:tcBorders>
            <w:gridSpan w:val="2"/>
          </w:tcPr>
          <w:p>
            <w:pPr>
              <w:spacing w:after="0"/>
              <w:rPr>
                <w:sz w:val="24"/>
                <w:szCs w:val="24"/>
                <w:color w:val="auto"/>
              </w:rPr>
            </w:pPr>
          </w:p>
        </w:tc>
        <w:tc>
          <w:tcPr>
            <w:tcW w:w="4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12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0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332" w:right="339" w:bottom="1440" w:gutter="0" w:footer="0" w:header="0"/>
        </w:sectPr>
      </w:pPr>
    </w:p>
    <w:p>
      <w:pPr>
        <w:ind w:left="1140" w:hanging="985"/>
        <w:spacing w:after="0" w:line="282"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10.40</w:t>
      </w:r>
      <w:r>
        <w:rPr>
          <w:sz w:val="20"/>
          <w:szCs w:val="20"/>
          <w:color w:val="auto"/>
        </w:rPr>
        <w:tab/>
      </w:r>
      <w:hyperlink r:id="rId299">
        <w:r>
          <w:rPr>
            <w:rFonts w:ascii="Times New Roman" w:cs="Times New Roman" w:eastAsia="Times New Roman" w:hAnsi="Times New Roman"/>
            <w:sz w:val="18"/>
            <w:szCs w:val="18"/>
            <w:color w:val="0000FF"/>
          </w:rPr>
          <w:t>Limited consent and Second Amendment to Credit and Security</w:t>
        </w:r>
      </w:hyperlink>
      <w:r>
        <w:rPr>
          <w:rFonts w:ascii="Times New Roman" w:cs="Times New Roman" w:eastAsia="Times New Roman" w:hAnsi="Times New Roman"/>
          <w:sz w:val="18"/>
          <w:szCs w:val="18"/>
          <w:color w:val="0000FF"/>
        </w:rPr>
        <w:t xml:space="preserve"> </w:t>
      </w:r>
      <w:hyperlink r:id="rId299">
        <w:r>
          <w:rPr>
            <w:rFonts w:ascii="Times New Roman" w:cs="Times New Roman" w:eastAsia="Times New Roman" w:hAnsi="Times New Roman"/>
            <w:sz w:val="18"/>
            <w:szCs w:val="18"/>
            <w:color w:val="0000FF"/>
          </w:rPr>
          <w:t>Agreement dated June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-185420</wp:posOffset>
            </wp:positionV>
            <wp:extent cx="32600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32600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-48260</wp:posOffset>
            </wp:positionV>
            <wp:extent cx="14211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8" w:lineRule="exact"/>
        <w:rPr>
          <w:sz w:val="20"/>
          <w:szCs w:val="20"/>
          <w:color w:val="auto"/>
        </w:rPr>
      </w:pPr>
    </w:p>
    <w:p>
      <w:pPr>
        <w:ind w:left="160"/>
        <w:spacing w:after="0"/>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10.41</w:t>
      </w:r>
      <w:r>
        <w:rPr>
          <w:sz w:val="20"/>
          <w:szCs w:val="20"/>
          <w:color w:val="auto"/>
        </w:rPr>
        <w:tab/>
      </w:r>
      <w:hyperlink r:id="rId302">
        <w:r>
          <w:rPr>
            <w:rFonts w:ascii="Times New Roman" w:cs="Times New Roman" w:eastAsia="Times New Roman" w:hAnsi="Times New Roman"/>
            <w:sz w:val="18"/>
            <w:szCs w:val="18"/>
            <w:color w:val="0000FF"/>
          </w:rPr>
          <w:t>Third Amendment to Credit and Security Agreement dated August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32581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3">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7" w:lineRule="exact"/>
        <w:rPr>
          <w:sz w:val="20"/>
          <w:szCs w:val="20"/>
          <w:color w:val="auto"/>
        </w:rPr>
      </w:pPr>
    </w:p>
    <w:p>
      <w:pPr>
        <w:ind w:left="1140"/>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-19050</wp:posOffset>
            </wp:positionV>
            <wp:extent cx="2571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33" w:lineRule="exact"/>
        <w:rPr>
          <w:sz w:val="20"/>
          <w:szCs w:val="20"/>
          <w:color w:val="auto"/>
        </w:rPr>
      </w:pPr>
    </w:p>
    <w:p>
      <w:pPr>
        <w:ind w:left="160"/>
        <w:spacing w:after="0"/>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10.42</w:t>
      </w:r>
      <w:r>
        <w:rPr>
          <w:sz w:val="20"/>
          <w:szCs w:val="20"/>
          <w:color w:val="auto"/>
        </w:rPr>
        <w:tab/>
      </w:r>
      <w:hyperlink r:id="rId305">
        <w:r>
          <w:rPr>
            <w:rFonts w:ascii="Times New Roman" w:cs="Times New Roman" w:eastAsia="Times New Roman" w:hAnsi="Times New Roman"/>
            <w:sz w:val="17"/>
            <w:szCs w:val="17"/>
            <w:color w:val="0000FF"/>
          </w:rPr>
          <w:t>Executive Transition Services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19310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6">
                      <a:extLst>
                        <a:ext uri="{28A0092B-C50C-407E-A947-70E740481C1C}"/>
                      </a:extLst>
                    </a:blip>
                    <a:srcRect/>
                    <a:stretch>
                      <a:fillRect/>
                    </a:stretch>
                  </pic:blipFill>
                  <pic:spPr bwMode="auto">
                    <a:xfrm>
                      <a:off x="0" y="0"/>
                      <a:ext cx="1931035" cy="8255"/>
                    </a:xfrm>
                    <a:prstGeom prst="rect">
                      <a:avLst/>
                    </a:prstGeom>
                    <a:noFill/>
                  </pic:spPr>
                </pic:pic>
              </a:graphicData>
            </a:graphic>
          </wp:anchor>
        </w:drawing>
      </w:r>
    </w:p>
    <w:p>
      <w:pPr>
        <w:spacing w:after="0" w:line="165" w:lineRule="exact"/>
        <w:rPr>
          <w:sz w:val="20"/>
          <w:szCs w:val="20"/>
          <w:color w:val="auto"/>
        </w:rPr>
      </w:pPr>
    </w:p>
    <w:p>
      <w:pPr>
        <w:ind w:left="160"/>
        <w:spacing w:after="0"/>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10.43</w:t>
      </w:r>
      <w:r>
        <w:rPr>
          <w:sz w:val="20"/>
          <w:szCs w:val="20"/>
          <w:color w:val="auto"/>
        </w:rPr>
        <w:tab/>
      </w:r>
      <w:hyperlink r:id="rId307">
        <w:r>
          <w:rPr>
            <w:rFonts w:ascii="Times New Roman" w:cs="Times New Roman" w:eastAsia="Times New Roman" w:hAnsi="Times New Roman"/>
            <w:sz w:val="17"/>
            <w:szCs w:val="17"/>
            <w:color w:val="0000FF"/>
          </w:rPr>
          <w:t>Amendment to Executive Transition Services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6422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8">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165" w:lineRule="exact"/>
        <w:rPr>
          <w:sz w:val="20"/>
          <w:szCs w:val="20"/>
          <w:color w:val="auto"/>
        </w:rPr>
      </w:pPr>
    </w:p>
    <w:p>
      <w:pPr>
        <w:ind w:left="160"/>
        <w:spacing w:after="0"/>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10.44</w:t>
      </w:r>
      <w:r>
        <w:rPr>
          <w:sz w:val="20"/>
          <w:szCs w:val="20"/>
          <w:color w:val="auto"/>
        </w:rPr>
        <w:tab/>
      </w:r>
      <w:hyperlink r:id="rId309">
        <w:r>
          <w:rPr>
            <w:rFonts w:ascii="Times New Roman" w:cs="Times New Roman" w:eastAsia="Times New Roman" w:hAnsi="Times New Roman"/>
            <w:sz w:val="18"/>
            <w:szCs w:val="18"/>
            <w:color w:val="0000FF"/>
          </w:rPr>
          <w:t>Purchase Agreement, dated February 16, 2022, by and between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32619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0">
                      <a:extLst>
                        <a:ext uri="{28A0092B-C50C-407E-A947-70E740481C1C}"/>
                      </a:extLst>
                    </a:blip>
                    <a:srcRect/>
                    <a:stretch>
                      <a:fillRect/>
                    </a:stretch>
                  </pic:blipFill>
                  <pic:spPr bwMode="auto">
                    <a:xfrm>
                      <a:off x="0" y="0"/>
                      <a:ext cx="3261995" cy="8890"/>
                    </a:xfrm>
                    <a:prstGeom prst="rect">
                      <a:avLst/>
                    </a:prstGeom>
                    <a:noFill/>
                  </pic:spPr>
                </pic:pic>
              </a:graphicData>
            </a:graphic>
          </wp:anchor>
        </w:drawing>
      </w:r>
    </w:p>
    <w:p>
      <w:pPr>
        <w:spacing w:after="0" w:line="4" w:lineRule="exact"/>
        <w:rPr>
          <w:sz w:val="20"/>
          <w:szCs w:val="20"/>
          <w:color w:val="auto"/>
        </w:rPr>
      </w:pPr>
    </w:p>
    <w:p>
      <w:pPr>
        <w:ind w:left="1140"/>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Company and Lincoln Park</w:t>
        </w:r>
        <w:r>
          <w:rPr>
            <w:rFonts w:ascii="Times New Roman" w:cs="Times New Roman" w:eastAsia="Times New Roman" w:hAnsi="Times New Roman"/>
            <w:sz w:val="21"/>
            <w:szCs w:val="21"/>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-22225</wp:posOffset>
            </wp:positionV>
            <wp:extent cx="12598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1">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94"/>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94"/>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92"/>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91"/>
        </w:trPr>
        <w:tc>
          <w:tcPr>
            <w:tcW w:w="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339" w:lineRule="exact"/>
        <w:rPr>
          <w:sz w:val="20"/>
          <w:szCs w:val="20"/>
          <w:color w:val="auto"/>
        </w:rPr>
      </w:pPr>
    </w:p>
    <w:p>
      <w:pPr>
        <w:sectPr>
          <w:pgSz w:w="11900" w:h="16838" w:orient="portrait"/>
          <w:cols w:equalWidth="0" w:num="2">
            <w:col w:w="6280" w:space="120"/>
            <w:col w:w="4840"/>
          </w:cols>
          <w:pgMar w:left="320" w:top="332" w:right="339" w:bottom="1440" w:gutter="0" w:footer="0" w:header="0"/>
          <w:type w:val="continuous"/>
        </w:sectPr>
      </w:pPr>
    </w:p>
    <w:tbl>
      <w:tblPr>
        <w:tblLayout w:type="fixed"/>
        <w:tblInd w:w="160" w:type="dxa"/>
        <w:tblCellMar>
          <w:top w:w="0" w:type="dxa"/>
          <w:left w:w="0" w:type="dxa"/>
          <w:bottom w:w="0" w:type="dxa"/>
          <w:right w:w="0" w:type="dxa"/>
        </w:tblCellMar>
      </w:tblPr>
      <w:tr>
        <w:trPr>
          <w:trHeight w:val="22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5740" w:type="dxa"/>
            <w:vAlign w:val="bottom"/>
            <w:gridSpan w:val="7"/>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 xml:space="preserve">Registration Rights Agreement, dated February 16, 2022, by and  </w:t>
              </w:r>
            </w:hyperlink>
            <w:r>
              <w:rPr>
                <w:rFonts w:ascii="Times New Roman" w:cs="Times New Roman" w:eastAsia="Times New Roman" w:hAnsi="Times New Roman"/>
                <w:sz w:val="18"/>
                <w:szCs w:val="18"/>
                <w:color w:val="000000"/>
              </w:rPr>
              <w:t>8-K</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17,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980" w:type="dxa"/>
            <w:vAlign w:val="bottom"/>
          </w:tcPr>
          <w:p>
            <w:pPr>
              <w:spacing w:after="0"/>
              <w:rPr>
                <w:sz w:val="17"/>
                <w:szCs w:val="17"/>
                <w:color w:val="auto"/>
              </w:rPr>
            </w:pPr>
          </w:p>
        </w:tc>
        <w:tc>
          <w:tcPr>
            <w:tcW w:w="51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between the Company and Lincoln Park.</w:t>
              </w:r>
            </w:hyperlink>
          </w:p>
        </w:tc>
        <w:tc>
          <w:tcPr>
            <w:tcW w:w="6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5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Subsidiaries of Aptevo Therapeutics Inc.</w:t>
            </w:r>
          </w:p>
        </w:tc>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96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438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1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6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56" w:lineRule="exact"/>
        <w:rPr>
          <w:sz w:val="20"/>
          <w:szCs w:val="20"/>
          <w:color w:val="auto"/>
        </w:rPr>
      </w:pPr>
    </w:p>
    <w:p>
      <w:pPr>
        <w:sectPr>
          <w:pgSz w:w="11900" w:h="16838" w:orient="portrait"/>
          <w:cols w:equalWidth="0" w:num="2">
            <w:col w:w="10160" w:space="560"/>
            <w:col w:w="520"/>
          </w:cols>
          <w:pgMar w:left="320" w:top="332"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31.2</w:t>
            </w:r>
          </w:p>
        </w:tc>
        <w:tc>
          <w:tcPr>
            <w:tcW w:w="5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140" w:type="dxa"/>
            <w:vAlign w:val="bottom"/>
          </w:tcPr>
          <w:p>
            <w:pPr>
              <w:spacing w:after="0"/>
              <w:rPr>
                <w:sz w:val="17"/>
                <w:szCs w:val="17"/>
                <w:color w:val="auto"/>
              </w:rPr>
            </w:pPr>
          </w:p>
        </w:tc>
        <w:tc>
          <w:tcPr>
            <w:tcW w:w="51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49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800" w:type="dxa"/>
            <w:vAlign w:val="bottom"/>
            <w:gridSpan w:val="3"/>
          </w:tcPr>
          <w:p>
            <w:pPr>
              <w:spacing w:after="0"/>
              <w:rPr>
                <w:sz w:val="17"/>
                <w:szCs w:val="17"/>
                <w:color w:val="auto"/>
              </w:rPr>
            </w:pPr>
          </w:p>
        </w:tc>
        <w:tc>
          <w:tcPr>
            <w:tcW w:w="4960" w:type="dxa"/>
            <w:vAlign w:val="bottom"/>
          </w:tcPr>
          <w:p>
            <w:pPr>
              <w:spacing w:after="0"/>
              <w:rPr>
                <w:sz w:val="17"/>
                <w:szCs w:val="17"/>
                <w:color w:val="auto"/>
              </w:rPr>
            </w:pPr>
          </w:p>
        </w:tc>
      </w:tr>
      <w:tr>
        <w:trPr>
          <w:trHeight w:val="358"/>
        </w:trPr>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4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360" w:type="dxa"/>
            <w:vAlign w:val="bottom"/>
            <w:gridSpan w:val="2"/>
          </w:tcPr>
          <w:p>
            <w:pPr>
              <w:spacing w:after="0"/>
              <w:rPr>
                <w:sz w:val="24"/>
                <w:szCs w:val="24"/>
                <w:color w:val="auto"/>
              </w:rPr>
            </w:pP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140" w:type="dxa"/>
            <w:vAlign w:val="bottom"/>
          </w:tcPr>
          <w:p>
            <w:pPr>
              <w:spacing w:after="0"/>
              <w:rPr>
                <w:sz w:val="17"/>
                <w:szCs w:val="17"/>
                <w:color w:val="auto"/>
              </w:rPr>
            </w:pPr>
          </w:p>
        </w:tc>
        <w:tc>
          <w:tcPr>
            <w:tcW w:w="5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3400" w:type="dxa"/>
            <w:vAlign w:val="bottom"/>
            <w:tcBorders>
              <w:top w:val="single" w:sz="8" w:color="0000FF"/>
            </w:tcBorders>
            <w:gridSpan w:val="4"/>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358"/>
        </w:trPr>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32.2*</w:t>
            </w:r>
          </w:p>
        </w:tc>
        <w:tc>
          <w:tcPr>
            <w:tcW w:w="5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140" w:type="dxa"/>
            <w:vAlign w:val="bottom"/>
          </w:tcPr>
          <w:p>
            <w:pPr>
              <w:spacing w:after="0"/>
              <w:rPr>
                <w:sz w:val="17"/>
                <w:szCs w:val="17"/>
                <w:color w:val="auto"/>
              </w:rPr>
            </w:pPr>
          </w:p>
        </w:tc>
        <w:tc>
          <w:tcPr>
            <w:tcW w:w="51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3720" w:type="dxa"/>
            <w:vAlign w:val="bottom"/>
            <w:gridSpan w:val="5"/>
          </w:tcPr>
          <w:p>
            <w:pPr>
              <w:spacing w:after="0"/>
              <w:rPr>
                <w:sz w:val="17"/>
                <w:szCs w:val="17"/>
                <w:color w:val="auto"/>
              </w:rPr>
            </w:pPr>
          </w:p>
        </w:tc>
        <w:tc>
          <w:tcPr>
            <w:tcW w:w="4960" w:type="dxa"/>
            <w:vAlign w:val="bottom"/>
          </w:tcPr>
          <w:p>
            <w:pPr>
              <w:spacing w:after="0"/>
              <w:rPr>
                <w:sz w:val="17"/>
                <w:szCs w:val="17"/>
                <w:color w:val="auto"/>
              </w:rPr>
            </w:pPr>
          </w:p>
        </w:tc>
      </w:tr>
      <w:tr>
        <w:trPr>
          <w:trHeight w:val="412"/>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392"/>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391"/>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392"/>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391"/>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392"/>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9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X</w:t>
            </w:r>
          </w:p>
        </w:tc>
      </w:tr>
      <w:tr>
        <w:trPr>
          <w:trHeight w:val="594"/>
        </w:trPr>
        <w:tc>
          <w:tcPr>
            <w:tcW w:w="1140" w:type="dxa"/>
            <w:vAlign w:val="bottom"/>
          </w:tcPr>
          <w:p>
            <w:pPr>
              <w:spacing w:after="0"/>
              <w:rPr>
                <w:sz w:val="24"/>
                <w:szCs w:val="24"/>
                <w:color w:val="auto"/>
              </w:rPr>
            </w:pPr>
          </w:p>
        </w:tc>
        <w:tc>
          <w:tcPr>
            <w:tcW w:w="4780" w:type="dxa"/>
            <w:vAlign w:val="bottom"/>
            <w:gridSpan w:val="5"/>
          </w:tcPr>
          <w:p>
            <w:pPr>
              <w:ind w:left="434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22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52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40"/>
        </w:trPr>
        <w:tc>
          <w:tcPr>
            <w:tcW w:w="100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jc w:val="center"/>
              <w:ind w:left="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 taxonomy extension information contained in Exhibits 101)</w:t>
            </w: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8"/>
        <w:spacing w:after="0" w:line="261" w:lineRule="auto"/>
        <w:tabs>
          <w:tab w:leader="none" w:pos="1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granted from the Securities and Exchange Commission as to certain portions, which portions have been omitted and filed separately with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Management contract or compensatory plan.</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have been omitted pursuant to Item 601(b)(2) of Regulation S-K. Aptevo will furnish copies of any such schedules to the Securities and Exchange Commission upon request.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chosen not to include the summary permitted by this Item 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Company Name</w:t>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6640" w:val="left"/>
          <w:tab w:leader="none" w:pos="722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27305</wp:posOffset>
            </wp:positionV>
            <wp:extent cx="25546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Marvin L. White</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6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740"/>
        <w:spacing w:after="0"/>
        <w:tabs>
          <w:tab w:leader="none" w:pos="6260" w:val="left"/>
          <w:tab w:leader="none" w:pos="99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5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/s/Marvin L. White</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/s/Daphne Taylor</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i w:val="1"/>
          <w:iCs w:val="1"/>
          <w:color w:val="auto"/>
        </w:rPr>
        <w:t>/s/John E. Niederhuber, M.D.</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John E. Niederhuber,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/s/Daniel J. Abdun-Nabi</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Daniel J. Abdun-Nabi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/s/Grady Grant, III</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Grady Grant,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/s/Zsolt Harsanyi, Ph. D</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Zsolt Harsanyi,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/s/Barbara Lopez Kunz</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Barbara Lopez Kunz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March 30, 2023</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347"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color w:val="auto"/>
        </w:rPr>
        <w:t>Senior Vice President and Chief Financial Officer</w:t>
      </w:r>
      <w:r>
        <w:rPr>
          <w:sz w:val="20"/>
          <w:szCs w:val="20"/>
          <w:color w:val="auto"/>
        </w:rPr>
        <w:tab/>
      </w:r>
      <w:r>
        <w:rPr>
          <w:rFonts w:ascii="Times New Roman" w:cs="Times New Roman" w:eastAsia="Times New Roman" w:hAnsi="Times New Roman"/>
          <w:sz w:val="17"/>
          <w:szCs w:val="17"/>
          <w:color w:val="auto"/>
        </w:rPr>
        <w:t>March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347"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color w:val="auto"/>
        </w:rPr>
        <w:t>Chairman of the Board of Directors</w:t>
      </w:r>
      <w:r>
        <w:rPr>
          <w:sz w:val="20"/>
          <w:szCs w:val="20"/>
          <w:color w:val="auto"/>
        </w:rPr>
        <w:tab/>
      </w:r>
      <w:r>
        <w:rPr>
          <w:rFonts w:ascii="Times New Roman" w:cs="Times New Roman" w:eastAsia="Times New Roman" w:hAnsi="Times New Roman"/>
          <w:sz w:val="17"/>
          <w:szCs w:val="17"/>
          <w:color w:val="auto"/>
        </w:rPr>
        <w:t>March 30, 2023</w:t>
      </w:r>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30, 2023</w:t>
      </w: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30, 2023</w:t>
      </w: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30, 2023</w:t>
      </w: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30, 2023</w:t>
      </w:r>
    </w:p>
    <w:p>
      <w:pPr>
        <w:spacing w:after="0" w:line="388" w:lineRule="exact"/>
        <w:rPr>
          <w:sz w:val="20"/>
          <w:szCs w:val="20"/>
          <w:color w:val="auto"/>
        </w:rPr>
      </w:pPr>
    </w:p>
    <w:p>
      <w:pPr>
        <w:sectPr>
          <w:pgSz w:w="11900" w:h="16838" w:orient="portrait"/>
          <w:cols w:equalWidth="0" w:num="2">
            <w:col w:w="3240" w:space="720"/>
            <w:col w:w="7280"/>
          </w:cols>
          <w:pgMar w:left="320" w:top="333" w:right="339" w:bottom="1440" w:gutter="0" w:footer="0" w:header="0"/>
          <w:type w:val="continuous"/>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Aptevo Research and Development LLC</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824865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Aptevo Therapeutics Inc. of our report dated March 30, 2023, relating to the 2022 consolidated financial statements of Aptevo Therapeutics Inc., appearing in this Annual Report on Form 10-K for the year ended December 31, 2022.</w:t>
      </w:r>
    </w:p>
    <w:p>
      <w:pPr>
        <w:spacing w:after="0" w:line="95" w:lineRule="exact"/>
        <w:rPr>
          <w:sz w:val="20"/>
          <w:szCs w:val="20"/>
          <w:color w:val="auto"/>
        </w:rPr>
      </w:pPr>
    </w:p>
    <w:p>
      <w:pPr>
        <w:ind w:left="760" w:right="580" w:hanging="378"/>
        <w:spacing w:after="0" w:line="254" w:lineRule="auto"/>
        <w:tabs>
          <w:tab w:leader="none" w:pos="7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Registration Statement on Form S-8 (No. 333-265468) pertaining to the 2018 Stock Incentive Plan (as Amended and Restated) of Aptevo Therapeutics Inc.,</w:t>
      </w:r>
    </w:p>
    <w:p>
      <w:pPr>
        <w:ind w:left="760" w:right="80" w:hanging="378"/>
        <w:spacing w:after="0" w:line="243" w:lineRule="auto"/>
        <w:tabs>
          <w:tab w:leader="none" w:pos="7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Registration Statement on Form S-8 (No. 333-213108) pertaining to the Converted Equity Awards Incentive Plan and 2016 Stock Incentive Plan of Aptevo Therapeutics Inc.,</w:t>
      </w:r>
    </w:p>
    <w:p>
      <w:pPr>
        <w:spacing w:after="0" w:line="1" w:lineRule="exact"/>
        <w:rPr>
          <w:rFonts w:ascii="Times New Roman" w:cs="Times New Roman" w:eastAsia="Times New Roman" w:hAnsi="Times New Roman"/>
          <w:sz w:val="19"/>
          <w:szCs w:val="19"/>
          <w:color w:val="auto"/>
        </w:rPr>
      </w:pPr>
    </w:p>
    <w:p>
      <w:pPr>
        <w:ind w:left="760" w:hanging="378"/>
        <w:spacing w:after="0" w:line="237" w:lineRule="auto"/>
        <w:tabs>
          <w:tab w:leader="none" w:pos="7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Registration Statement on Form S-8 (No. 333-219875) pertaining to the 2016 Stock Incentive Plan of Aptevo Therapeutics Inc.,</w:t>
      </w:r>
    </w:p>
    <w:p>
      <w:pPr>
        <w:spacing w:after="0" w:line="1" w:lineRule="exact"/>
        <w:rPr>
          <w:rFonts w:ascii="Times New Roman" w:cs="Times New Roman" w:eastAsia="Times New Roman" w:hAnsi="Times New Roman"/>
          <w:sz w:val="19"/>
          <w:szCs w:val="19"/>
          <w:color w:val="auto"/>
        </w:rPr>
      </w:pPr>
    </w:p>
    <w:p>
      <w:pPr>
        <w:ind w:left="760" w:hanging="378"/>
        <w:spacing w:after="0" w:line="235" w:lineRule="auto"/>
        <w:tabs>
          <w:tab w:leader="none" w:pos="7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Registration Statement on Form S-8 (No. 333-226717) pertaining to the 2018 Stock Incentive Plan of Aptevo Therapeutics Inc., and</w:t>
      </w:r>
    </w:p>
    <w:p>
      <w:pPr>
        <w:spacing w:after="0" w:line="2" w:lineRule="exact"/>
        <w:rPr>
          <w:rFonts w:ascii="Times New Roman" w:cs="Times New Roman" w:eastAsia="Times New Roman" w:hAnsi="Times New Roman"/>
          <w:sz w:val="19"/>
          <w:szCs w:val="19"/>
          <w:color w:val="auto"/>
        </w:rPr>
      </w:pPr>
    </w:p>
    <w:p>
      <w:pPr>
        <w:ind w:left="760" w:hanging="378"/>
        <w:spacing w:after="0" w:line="235" w:lineRule="auto"/>
        <w:tabs>
          <w:tab w:leader="none" w:pos="7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Registration Statement on Form S-3 (No. 333-251318) of Aptevo Therapeutics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6640" w:val="left"/>
          <w:tab w:leader="none" w:pos="840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26035</wp:posOffset>
            </wp:positionV>
            <wp:extent cx="26828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1"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6640" w:val="left"/>
          <w:tab w:leader="none" w:pos="846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26035</wp:posOffset>
            </wp:positionV>
            <wp:extent cx="26828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1"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3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lvl w:ilvl="1">
      <w:lvlJc w:val="left"/>
      <w:lvlText w:val="o"/>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3"/>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3"/>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2"/>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77"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97" Type="http://schemas.openxmlformats.org/officeDocument/2006/relationships/image" Target="media/image234.png"/><Relationship Id="rId298"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3" Type="http://schemas.openxmlformats.org/officeDocument/2006/relationships/image" Target="media/image238.png"/><Relationship Id="rId304" Type="http://schemas.openxmlformats.org/officeDocument/2006/relationships/image" Target="media/image239.png"/><Relationship Id="rId306" Type="http://schemas.openxmlformats.org/officeDocument/2006/relationships/image" Target="media/image240.png"/><Relationship Id="rId308" Type="http://schemas.openxmlformats.org/officeDocument/2006/relationships/image" Target="media/image241.png"/><Relationship Id="rId310" Type="http://schemas.openxmlformats.org/officeDocument/2006/relationships/image" Target="media/image242.png"/><Relationship Id="rId311" Type="http://schemas.openxmlformats.org/officeDocument/2006/relationships/image" Target="media/image243.png"/><Relationship Id="rId313" Type="http://schemas.openxmlformats.org/officeDocument/2006/relationships/image" Target="media/image244.png"/><Relationship Id="rId314" Type="http://schemas.openxmlformats.org/officeDocument/2006/relationships/image" Target="media/image245.png"/><Relationship Id="rId315" Type="http://schemas.openxmlformats.org/officeDocument/2006/relationships/image" Target="media/image246.png"/><Relationship Id="rId316" Type="http://schemas.openxmlformats.org/officeDocument/2006/relationships/image" Target="media/image247.png"/><Relationship Id="rId317" Type="http://schemas.openxmlformats.org/officeDocument/2006/relationships/image" Target="media/image248.png"/><Relationship Id="rId318" Type="http://schemas.openxmlformats.org/officeDocument/2006/relationships/image" Target="media/image249.png"/><Relationship Id="rId319" Type="http://schemas.openxmlformats.org/officeDocument/2006/relationships/image" Target="media/image250.png"/><Relationship Id="rId320" Type="http://schemas.openxmlformats.org/officeDocument/2006/relationships/image" Target="media/image251.png"/><Relationship Id="rId321" Type="http://schemas.openxmlformats.org/officeDocument/2006/relationships/image" Target="media/image252.png"/><Relationship Id="rId322" Type="http://schemas.openxmlformats.org/officeDocument/2006/relationships/image" Target="media/image253.png"/><Relationship Id="rId323" Type="http://schemas.openxmlformats.org/officeDocument/2006/relationships/image" Target="media/image254.png"/><Relationship Id="rId324" Type="http://schemas.openxmlformats.org/officeDocument/2006/relationships/image" Target="media/image255.png"/><Relationship Id="rId325" Type="http://schemas.openxmlformats.org/officeDocument/2006/relationships/image" Target="media/image256.png"/><Relationship Id="rId326" Type="http://schemas.openxmlformats.org/officeDocument/2006/relationships/image" Target="media/image257.png"/><Relationship Id="rId327" Type="http://schemas.openxmlformats.org/officeDocument/2006/relationships/image" Target="media/image258.png"/><Relationship Id="rId328" Type="http://schemas.openxmlformats.org/officeDocument/2006/relationships/image" Target="media/image259.png"/><Relationship Id="rId329" Type="http://schemas.openxmlformats.org/officeDocument/2006/relationships/image" Target="media/image260.png"/><Relationship Id="rId330" Type="http://schemas.openxmlformats.org/officeDocument/2006/relationships/image" Target="media/image261.png"/><Relationship Id="rId331" Type="http://schemas.openxmlformats.org/officeDocument/2006/relationships/image" Target="media/image262.png"/><Relationship Id="rId332" Type="http://schemas.openxmlformats.org/officeDocument/2006/relationships/image" Target="media/image263.png"/><Relationship Id="rId333" Type="http://schemas.openxmlformats.org/officeDocument/2006/relationships/image" Target="media/image264.png"/><Relationship Id="rId334" Type="http://schemas.openxmlformats.org/officeDocument/2006/relationships/image" Target="media/image265.png"/><Relationship Id="rId335" Type="http://schemas.openxmlformats.org/officeDocument/2006/relationships/image" Target="media/image266.png"/><Relationship Id="rId233" Type="http://schemas.openxmlformats.org/officeDocument/2006/relationships/hyperlink" Target="https://www.sec.gov/Archives/edgar/data/1671584/000156459016022097/apvo-ex21_6.htm" TargetMode="External"/><Relationship Id="rId234" Type="http://schemas.openxmlformats.org/officeDocument/2006/relationships/hyperlink" Target="https://www.sec.gov/Archives/edgar/data/1671584/000156459016022097/apvo-ex22_69.htm" TargetMode="External"/><Relationship Id="rId235" Type="http://schemas.openxmlformats.org/officeDocument/2006/relationships/hyperlink" Target="https://www.sec.gov/Archives/edgar/data/1671584/000156459017023382/apvo-ex21_142.htm" TargetMode="External"/><Relationship Id="rId236" Type="http://schemas.openxmlformats.org/officeDocument/2006/relationships/hyperlink" Target="https://www.sec.gov/Archives/edgar/data/0001671584/000119312520059183/d872623dex21.htm" TargetMode="External"/><Relationship Id="rId237" Type="http://schemas.openxmlformats.org/officeDocument/2006/relationships/hyperlink" Target="https://www.sec.gov/Archives/edgar/data/1671584/000156459016022097/apvo-ex31_68.htm" TargetMode="External"/><Relationship Id="rId238" Type="http://schemas.openxmlformats.org/officeDocument/2006/relationships/hyperlink" Target="https://www.sec.gov/Archives/edgar/data/1671584/000156459022037287/apvo-ex31_124.htm" TargetMode="External"/><Relationship Id="rId239" Type="http://schemas.openxmlformats.org/officeDocument/2006/relationships/hyperlink" Target="https://www.sec.gov/Archives/edgar/data/1671584/000119312520087225/d865645dex31.htm" TargetMode="External"/><Relationship Id="rId240" Type="http://schemas.openxmlformats.org/officeDocument/2006/relationships/hyperlink" Target="https://www.sec.gov/Archives/edgar/data/1671584/000101905620000553/ex3_1.htm" TargetMode="External"/><Relationship Id="rId241" Type="http://schemas.openxmlformats.org/officeDocument/2006/relationships/hyperlink" Target="https://www.sec.gov/Archives/edgar/data/1671584/000156459020055632/apvo-ex31_6.htm" TargetMode="External"/><Relationship Id="rId242" Type="http://schemas.openxmlformats.org/officeDocument/2006/relationships/hyperlink" Target="https://www.sec.gov/Archives/edgar/data/1671584/000119312516634950/d26473dex41.htm" TargetMode="External"/><Relationship Id="rId243" Type="http://schemas.openxmlformats.org/officeDocument/2006/relationships/hyperlink" Target="https://www.sec.gov/Archives/edgar/data/1671584/000156459016022097/apvo-ex40_66.htm" TargetMode="External"/><Relationship Id="rId244" Type="http://schemas.openxmlformats.org/officeDocument/2006/relationships/hyperlink" Target="https://www.sec.gov/Archives/edgar/data/1671584/000156459018031354/apvo-ex102_6.htm" TargetMode="External"/><Relationship Id="rId245" Type="http://schemas.openxmlformats.org/officeDocument/2006/relationships/hyperlink" Target="https://www.sec.gov/Archives/edgar/data/1671584/000101905620000553/ex4_1.htm" TargetMode="External"/><Relationship Id="rId246" Type="http://schemas.openxmlformats.org/officeDocument/2006/relationships/hyperlink" Target="https://www.sec.gov/Archives/edgar/data/0001671584/000156459021054903/apvo-ex41_6.htm" TargetMode="External"/><Relationship Id="rId249" Type="http://schemas.openxmlformats.org/officeDocument/2006/relationships/hyperlink" Target="https://www.sec.gov/Archives/edgar/data/0001671584/000156459022036769/apvo-ex41_6.htm" TargetMode="External"/><Relationship Id="rId250" Type="http://schemas.openxmlformats.org/officeDocument/2006/relationships/hyperlink" Target="https://www.sec.gov/Archives/edgar/data/1671584/000156459021016875/apvo-ex45_509.htm" TargetMode="External"/><Relationship Id="rId251" Type="http://schemas.openxmlformats.org/officeDocument/2006/relationships/hyperlink" Target="https://www.sec.gov/Archives/edgar/data/1671584/000156459022011575/apvo-ex47_128.htm" TargetMode="External"/><Relationship Id="rId252" Type="http://schemas.openxmlformats.org/officeDocument/2006/relationships/hyperlink" Target="https://www.sec.gov/Archives/edgar/data/1671584/000156459016022097/apvo-ex102_64.htm" TargetMode="External"/><Relationship Id="rId253" Type="http://schemas.openxmlformats.org/officeDocument/2006/relationships/hyperlink" Target="https://www.sec.gov/Archives/edgar/data/1671584/000156459016022097/apvo-ex103_62.htm" TargetMode="External"/><Relationship Id="rId254" Type="http://schemas.openxmlformats.org/officeDocument/2006/relationships/hyperlink" Target="https://www.sec.gov/Archives/edgar/data/1671584/000156459016022097/apvo-ex108_58.htm" TargetMode="External"/><Relationship Id="rId255" Type="http://schemas.openxmlformats.org/officeDocument/2006/relationships/hyperlink" Target="https://www.sec.gov/Archives/edgar/data/1671584/000156459017017132/apvo-ex41_104.htm" TargetMode="External"/><Relationship Id="rId256" Type="http://schemas.openxmlformats.org/officeDocument/2006/relationships/hyperlink" Target="https://www.sec.gov/Archives/edgar/data/1671584/000156459016022097/apvo-ex1010_56.htm" TargetMode="External"/><Relationship Id="rId257" Type="http://schemas.openxmlformats.org/officeDocument/2006/relationships/hyperlink" Target="https://www.sec.gov/Archives/edgar/data/1671584/000156459022011575/apvo-ex106_519.htm" TargetMode="External"/><Relationship Id="rId258" Type="http://schemas.openxmlformats.org/officeDocument/2006/relationships/hyperlink" Target="https://www.sec.gov/Archives/edgar/data/1671584/000119312516543367/d26473dex109.htm" TargetMode="External"/><Relationship Id="rId259" Type="http://schemas.openxmlformats.org/officeDocument/2006/relationships/hyperlink" Target="https://www.sec.gov/Archives/edgar/data/1671584/000119312516543367/d26473dex1012.htm" TargetMode="External"/><Relationship Id="rId260" Type="http://schemas.openxmlformats.org/officeDocument/2006/relationships/hyperlink" Target="https://www.sec.gov/Archives/edgar/data/1671584/000119312516543367/d26473dex1013.htm" TargetMode="External"/><Relationship Id="rId261" Type="http://schemas.openxmlformats.org/officeDocument/2006/relationships/hyperlink" Target="https://www.sec.gov/Archives/edgar/data/1671584/000119312516543367/d26473dex1014.htm" TargetMode="External"/><Relationship Id="rId262" Type="http://schemas.openxmlformats.org/officeDocument/2006/relationships/hyperlink" Target="https://www.sec.gov/Archives/edgar/data/1671584/000119312516543367/d26473dex1015.htm" TargetMode="External"/><Relationship Id="rId263" Type="http://schemas.openxmlformats.org/officeDocument/2006/relationships/hyperlink" Target="https://www.sec.gov/Archives/edgar/data/1671584/000119312516543367/d26473dex1016.htm" TargetMode="External"/><Relationship Id="rId264" Type="http://schemas.openxmlformats.org/officeDocument/2006/relationships/hyperlink" Target="https://www.sec.gov/Archives/edgar/data/1671584/000119312516543367/d26473dex1017.htm" TargetMode="External"/><Relationship Id="rId267" Type="http://schemas.openxmlformats.org/officeDocument/2006/relationships/hyperlink" Target="https://www.sec.gov/Archives/edgar/data/1671584/000119312516543367/d26473dex1018.htm" TargetMode="External"/><Relationship Id="rId268" Type="http://schemas.openxmlformats.org/officeDocument/2006/relationships/hyperlink" Target="https://www.sec.gov/Archives/edgar/data/1671584/000119312516543367/d26473dex1019.htm" TargetMode="External"/><Relationship Id="rId269" Type="http://schemas.openxmlformats.org/officeDocument/2006/relationships/hyperlink" Target="https://www.sec.gov/Archives/edgar/data/1671584/000119312516543367/d26473dex1020.htm" TargetMode="External"/><Relationship Id="rId270" Type="http://schemas.openxmlformats.org/officeDocument/2006/relationships/hyperlink" Target="https://www.sec.gov/Archives/edgar/data/1671584/000119312516543367/d26473dex1021.htm" TargetMode="External"/><Relationship Id="rId271" Type="http://schemas.openxmlformats.org/officeDocument/2006/relationships/hyperlink" Target="https://www.sec.gov/Archives/edgar/data/1671584/000119312516543367/d26473dex1022.htm" TargetMode="External"/><Relationship Id="rId272" Type="http://schemas.openxmlformats.org/officeDocument/2006/relationships/hyperlink" Target="https://www.sec.gov/Archives/edgar/data/1671584/000156459016030242/apvo-ex101_6.htm" TargetMode="External"/><Relationship Id="rId273" Type="http://schemas.openxmlformats.org/officeDocument/2006/relationships/hyperlink" Target="https://www.sec.gov/Archives/edgar/data/1671584/000156459017017132/apvo-ex103_14.htm" TargetMode="External"/><Relationship Id="rId274" Type="http://schemas.openxmlformats.org/officeDocument/2006/relationships/hyperlink" Target="https://www.sec.gov/Archives/edgar/data/1671584/000156459017023280/apvo-ex11_503.htm" TargetMode="External"/><Relationship Id="rId275" Type="http://schemas.openxmlformats.org/officeDocument/2006/relationships/hyperlink" Target="https://www.sec.gov/Archives/edgar/data/1671584/000156459017023382/apvo-ex102_143.htm" TargetMode="External"/><Relationship Id="rId276" Type="http://schemas.openxmlformats.org/officeDocument/2006/relationships/hyperlink" Target="https://www.sec.gov/Archives/edgar/data/1671584/000156459018005384/apvo-ex1038_189.htm" TargetMode="External"/><Relationship Id="rId278" Type="http://schemas.openxmlformats.org/officeDocument/2006/relationships/hyperlink" Target="https://www.sec.gov/Archives/edgar/data/1671584/000156459018020781/apvo-ex101_214.htm" TargetMode="External"/><Relationship Id="rId279" Type="http://schemas.openxmlformats.org/officeDocument/2006/relationships/hyperlink" Target="https://www.sec.gov/Archives/edgar/data/1671584/000156459018020781/apvo-ex102_257.htm" TargetMode="External"/><Relationship Id="rId280" Type="http://schemas.openxmlformats.org/officeDocument/2006/relationships/hyperlink" Target="https://www.sec.gov/Archives/edgar/data/1671584/000156459018031354/apvo-ex101_7.htm" TargetMode="External"/><Relationship Id="rId281" Type="http://schemas.openxmlformats.org/officeDocument/2006/relationships/hyperlink" Target="https://www.sec.gov/Archives/edgar/data/1671584/000119312519083529/d708427dex101.htm" TargetMode="External"/><Relationship Id="rId282" Type="http://schemas.openxmlformats.org/officeDocument/2006/relationships/hyperlink" Target="https://www.sec.gov/Archives/edgar/data/1671584/000156459022029025/apvo-ex103_77.htm" TargetMode="External"/><Relationship Id="rId283" Type="http://schemas.openxmlformats.org/officeDocument/2006/relationships/hyperlink" Target="https://www.sec.gov/Archives/edgar/data/1671584/000156459019031118/apvo-ex101_204.htm" TargetMode="External"/><Relationship Id="rId287" Type="http://schemas.openxmlformats.org/officeDocument/2006/relationships/hyperlink" Target="https://www.sec.gov/Archives/edgar/data/1671584/000156459020040295/exhibit10_1.htm" TargetMode="External"/><Relationship Id="rId288" Type="http://schemas.openxmlformats.org/officeDocument/2006/relationships/hyperlink" Target="https://www.sec.gov/Archives/edgar/data/1671584/000156459020040295/exhibit10_2.htm" TargetMode="External"/><Relationship Id="rId289" Type="http://schemas.openxmlformats.org/officeDocument/2006/relationships/hyperlink" Target="https://www.sec.gov/Archives/edgar/data/1671584/000156459020040295/exhibit10_3.htm" TargetMode="External"/><Relationship Id="rId290" Type="http://schemas.openxmlformats.org/officeDocument/2006/relationships/hyperlink" Target="https://www.sec.gov/Archives/edgar/data/1671584/000156459020040295/exhibit10_4.htm" TargetMode="External"/><Relationship Id="rId291" Type="http://schemas.openxmlformats.org/officeDocument/2006/relationships/hyperlink" Target="https://www.sec.gov/Archives/edgar/data/1671584/000156459020040295/exhibit10_5.htm" TargetMode="External"/><Relationship Id="rId292" Type="http://schemas.openxmlformats.org/officeDocument/2006/relationships/hyperlink" Target="https://www.sec.gov/Archives/edgar/data/1671584/000156459020053058/apvo-ex106_127.htm" TargetMode="External"/><Relationship Id="rId293" Type="http://schemas.openxmlformats.org/officeDocument/2006/relationships/hyperlink" Target="https://www.sec.gov/Archives/edgar/data/1671584/000156459020056954/apvo-ex11_7.htm" TargetMode="External"/><Relationship Id="rId294" Type="http://schemas.openxmlformats.org/officeDocument/2006/relationships/hyperlink" Target="https://www.sec.gov/Archives/edgar/data/0001671584/000156459021026319/apvo-ex101_98.htm" TargetMode="External"/><Relationship Id="rId295" Type="http://schemas.openxmlformats.org/officeDocument/2006/relationships/hyperlink" Target="https://www.sec.gov/Archives/edgar/data/1671584/000156459022029025/apvo-ex101_12.htm" TargetMode="External"/><Relationship Id="rId296" Type="http://schemas.openxmlformats.org/officeDocument/2006/relationships/hyperlink" Target="https://www.sec.gov/Archives/edgar/data/0001671584/000156459021026319/apvo-ex102_97.htm" TargetMode="External"/><Relationship Id="rId299" Type="http://schemas.openxmlformats.org/officeDocument/2006/relationships/hyperlink" Target="https://www.sec.gov/Archives/edgar/data/1671584/000156459022029025/apvo-ex102_13.htm" TargetMode="External"/><Relationship Id="rId302" Type="http://schemas.openxmlformats.org/officeDocument/2006/relationships/hyperlink" Target="https://www.sec.gov/Archives/edgar/data/0001671584/000156459022037287/apvo-ex101_33.htm" TargetMode="External"/><Relationship Id="rId305" Type="http://schemas.openxmlformats.org/officeDocument/2006/relationships/hyperlink" Target="https://www.sec.gov/Archives/edgar/data/0001671584/000156459021056494/apvo-ex103_46.htm" TargetMode="External"/><Relationship Id="rId307" Type="http://schemas.openxmlformats.org/officeDocument/2006/relationships/hyperlink" Target="https://www.sec.gov/Archives/edgar/data/0001671584/000156459021056494/apvo-ex104_47.htm" TargetMode="External"/><Relationship Id="rId309" Type="http://schemas.openxmlformats.org/officeDocument/2006/relationships/hyperlink" Target="https://www.sec.gov/Archives/edgar/data/0001671584/000156459022005567/apvo-ex101_33.htm" TargetMode="External"/><Relationship Id="rId312" Type="http://schemas.openxmlformats.org/officeDocument/2006/relationships/hyperlink" Target="https://www.sec.gov/Archives/edgar/data/0001671584/000156459022005567/apvo-ex102_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2023-03-30T07:09:42Z</dcterms:created>
  <dcterms:modified xsi:type="dcterms:W3CDTF">2023-03-30T07:09:42Z</dcterms:modified>
</cp:coreProperties>
</file>