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3"/>
          <w:szCs w:val="23"/>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2866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-154305</wp:posOffset>
            </wp:positionV>
            <wp:extent cx="72866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635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3"/>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67945</wp:posOffset>
            </wp:positionV>
            <wp:extent cx="145478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4785" cy="6350"/>
                    </a:xfrm>
                    <a:prstGeom prst="rect">
                      <a:avLst/>
                    </a:prstGeom>
                    <a:noFill/>
                  </pic:spPr>
                </pic:pic>
              </a:graphicData>
            </a:graphic>
          </wp:anchor>
        </w:drawing>
      </w:r>
    </w:p>
    <w:p>
      <w:pPr>
        <w:spacing w:after="0" w:line="143" w:lineRule="exact"/>
        <w:rPr>
          <w:sz w:val="24"/>
          <w:szCs w:val="24"/>
          <w:color w:val="auto"/>
        </w:rPr>
      </w:pPr>
    </w:p>
    <w:p>
      <w:pPr>
        <w:jc w:val="center"/>
        <w:ind w:right="-3"/>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74930</wp:posOffset>
            </wp:positionV>
            <wp:extent cx="145478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4785" cy="6350"/>
                    </a:xfrm>
                    <a:prstGeom prst="rect">
                      <a:avLst/>
                    </a:prstGeom>
                    <a:noFill/>
                  </pic:spPr>
                </pic:pic>
              </a:graphicData>
            </a:graphic>
          </wp:anchor>
        </w:drawing>
      </w:r>
    </w:p>
    <w:p>
      <w:pPr>
        <w:spacing w:after="0" w:line="172" w:lineRule="exact"/>
        <w:rPr>
          <w:sz w:val="24"/>
          <w:szCs w:val="24"/>
          <w:color w:val="auto"/>
        </w:rPr>
      </w:pPr>
    </w:p>
    <w:p>
      <w:pPr>
        <w:ind w:left="4"/>
        <w:spacing w:after="0"/>
        <w:rPr>
          <w:sz w:val="20"/>
          <w:szCs w:val="20"/>
          <w:color w:val="auto"/>
        </w:rPr>
      </w:pPr>
      <w:r>
        <w:rPr>
          <w:rFonts w:ascii="Arial" w:cs="Arial" w:eastAsia="Arial" w:hAnsi="Arial"/>
          <w:sz w:val="13"/>
          <w:szCs w:val="13"/>
          <w:b w:val="1"/>
          <w:bCs w:val="1"/>
          <w:color w:val="auto"/>
        </w:rPr>
        <w:t>(Mark One)</w:t>
      </w:r>
    </w:p>
    <w:p>
      <w:pPr>
        <w:spacing w:after="0" w:line="14" w:lineRule="exact"/>
        <w:rPr>
          <w:sz w:val="24"/>
          <w:szCs w:val="24"/>
          <w:color w:val="auto"/>
        </w:rPr>
      </w:pPr>
    </w:p>
    <w:p>
      <w:pPr>
        <w:ind w:left="524" w:hanging="524"/>
        <w:spacing w:after="0"/>
        <w:tabs>
          <w:tab w:leader="none" w:pos="524"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QUARTERLY REPORT PURSUANT TO SECTION 13 OR 15(d) OF THE SECURITIES EXCHANGE ACT OF 1934</w:t>
      </w:r>
    </w:p>
    <w:p>
      <w:pPr>
        <w:spacing w:after="0" w:line="75"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 the quarterly period ended September 30, 2018</w:t>
      </w:r>
    </w:p>
    <w:p>
      <w:pPr>
        <w:spacing w:after="0" w:line="108"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OR</w:t>
      </w:r>
    </w:p>
    <w:p>
      <w:pPr>
        <w:spacing w:after="0" w:line="14" w:lineRule="exact"/>
        <w:rPr>
          <w:sz w:val="24"/>
          <w:szCs w:val="24"/>
          <w:color w:val="auto"/>
        </w:rPr>
      </w:pPr>
    </w:p>
    <w:p>
      <w:pPr>
        <w:ind w:left="524" w:hanging="524"/>
        <w:spacing w:after="0"/>
        <w:tabs>
          <w:tab w:leader="none" w:pos="524"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23" w:lineRule="exact"/>
        <w:rPr>
          <w:sz w:val="24"/>
          <w:szCs w:val="24"/>
          <w:color w:val="auto"/>
        </w:rPr>
      </w:pPr>
    </w:p>
    <w:p>
      <w:pPr>
        <w:ind w:left="3244"/>
        <w:spacing w:after="0"/>
        <w:tabs>
          <w:tab w:leader="none" w:pos="5343"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3105785</wp:posOffset>
            </wp:positionH>
            <wp:positionV relativeFrom="paragraph">
              <wp:posOffset>-7620</wp:posOffset>
            </wp:positionV>
            <wp:extent cx="6724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465" cy="6350"/>
                    </a:xfrm>
                    <a:prstGeom prst="rect">
                      <a:avLst/>
                    </a:prstGeom>
                    <a:noFill/>
                  </pic:spPr>
                </pic:pic>
              </a:graphicData>
            </a:graphic>
          </wp:anchor>
        </w:drawing>
      </w: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Commission File Number: 001-37746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71120</wp:posOffset>
            </wp:positionV>
            <wp:extent cx="145478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4785" cy="6350"/>
                    </a:xfrm>
                    <a:prstGeom prst="rect">
                      <a:avLst/>
                    </a:prstGeom>
                    <a:noFill/>
                  </pic:spPr>
                </pic:pic>
              </a:graphicData>
            </a:graphic>
          </wp:anchor>
        </w:drawing>
      </w:r>
    </w:p>
    <w:p>
      <w:pPr>
        <w:spacing w:after="0" w:line="129" w:lineRule="exact"/>
        <w:rPr>
          <w:sz w:val="24"/>
          <w:szCs w:val="24"/>
          <w:color w:val="auto"/>
        </w:rPr>
      </w:pPr>
    </w:p>
    <w:p>
      <w:pPr>
        <w:jc w:val="center"/>
        <w:ind w:right="-3"/>
        <w:spacing w:after="0"/>
        <w:rPr>
          <w:sz w:val="20"/>
          <w:szCs w:val="20"/>
          <w:color w:val="auto"/>
        </w:rPr>
      </w:pPr>
      <w:r>
        <w:rPr>
          <w:rFonts w:ascii="Arial" w:cs="Arial" w:eastAsia="Arial" w:hAnsi="Arial"/>
          <w:sz w:val="31"/>
          <w:szCs w:val="31"/>
          <w:b w:val="1"/>
          <w:bCs w:val="1"/>
          <w:color w:val="auto"/>
        </w:rPr>
        <w:t>APTEVO THERAPEUTICS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62230</wp:posOffset>
            </wp:positionV>
            <wp:extent cx="14547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4785" cy="6350"/>
                    </a:xfrm>
                    <a:prstGeom prst="rect">
                      <a:avLst/>
                    </a:prstGeom>
                    <a:noFill/>
                  </pic:spPr>
                </pic:pic>
              </a:graphicData>
            </a:graphic>
          </wp:anchor>
        </w:drawing>
      </w:r>
    </w:p>
    <w:p>
      <w:pPr>
        <w:spacing w:after="0" w:line="160" w:lineRule="exact"/>
        <w:rPr>
          <w:sz w:val="24"/>
          <w:szCs w:val="24"/>
          <w:color w:val="auto"/>
        </w:rPr>
      </w:pPr>
    </w:p>
    <w:tbl>
      <w:tblPr>
        <w:tblLayout w:type="fixed"/>
        <w:tblInd w:w="2024" w:type="dxa"/>
        <w:tblCellMar>
          <w:top w:w="0" w:type="dxa"/>
          <w:left w:w="0" w:type="dxa"/>
          <w:bottom w:w="0" w:type="dxa"/>
          <w:right w:w="0" w:type="dxa"/>
        </w:tblCellMar>
      </w:tblPr>
      <w:tr>
        <w:trPr>
          <w:trHeight w:val="151"/>
        </w:trPr>
        <w:tc>
          <w:tcPr>
            <w:tcW w:w="1780" w:type="dxa"/>
            <w:vAlign w:val="bottom"/>
          </w:tcPr>
          <w:p>
            <w:pPr>
              <w:jc w:val="center"/>
              <w:ind w:right="43"/>
              <w:spacing w:after="0"/>
              <w:rPr>
                <w:sz w:val="20"/>
                <w:szCs w:val="20"/>
                <w:color w:val="auto"/>
              </w:rPr>
            </w:pPr>
            <w:r>
              <w:rPr>
                <w:rFonts w:ascii="Arial" w:cs="Arial" w:eastAsia="Arial" w:hAnsi="Arial"/>
                <w:sz w:val="13"/>
                <w:szCs w:val="13"/>
                <w:b w:val="1"/>
                <w:bCs w:val="1"/>
                <w:color w:val="auto"/>
                <w:w w:val="91"/>
              </w:rPr>
              <w:t>Delaware</w:t>
            </w:r>
          </w:p>
        </w:tc>
        <w:tc>
          <w:tcPr>
            <w:tcW w:w="5200" w:type="dxa"/>
            <w:vAlign w:val="bottom"/>
          </w:tcPr>
          <w:p>
            <w:pPr>
              <w:jc w:val="right"/>
              <w:ind w:right="23"/>
              <w:spacing w:after="0"/>
              <w:rPr>
                <w:sz w:val="20"/>
                <w:szCs w:val="20"/>
                <w:color w:val="auto"/>
              </w:rPr>
            </w:pPr>
            <w:r>
              <w:rPr>
                <w:rFonts w:ascii="Arial" w:cs="Arial" w:eastAsia="Arial" w:hAnsi="Arial"/>
                <w:sz w:val="13"/>
                <w:szCs w:val="13"/>
                <w:b w:val="1"/>
                <w:bCs w:val="1"/>
                <w:color w:val="auto"/>
              </w:rPr>
              <w:t>81-1567056</w:t>
            </w:r>
          </w:p>
        </w:tc>
      </w:tr>
      <w:tr>
        <w:trPr>
          <w:trHeight w:val="105"/>
        </w:trPr>
        <w:tc>
          <w:tcPr>
            <w:tcW w:w="1780" w:type="dxa"/>
            <w:vAlign w:val="bottom"/>
          </w:tcPr>
          <w:p>
            <w:pPr>
              <w:jc w:val="center"/>
              <w:ind w:right="43"/>
              <w:spacing w:after="0" w:line="105" w:lineRule="exact"/>
              <w:rPr>
                <w:sz w:val="20"/>
                <w:szCs w:val="20"/>
                <w:color w:val="auto"/>
              </w:rPr>
            </w:pPr>
            <w:r>
              <w:rPr>
                <w:rFonts w:ascii="Arial" w:cs="Arial" w:eastAsia="Arial" w:hAnsi="Arial"/>
                <w:sz w:val="10"/>
                <w:szCs w:val="10"/>
                <w:b w:val="1"/>
                <w:bCs w:val="1"/>
                <w:color w:val="auto"/>
                <w:w w:val="93"/>
              </w:rPr>
              <w:t>(State or other jurisdiction of</w:t>
            </w:r>
          </w:p>
        </w:tc>
        <w:tc>
          <w:tcPr>
            <w:tcW w:w="5200" w:type="dxa"/>
            <w:vAlign w:val="bottom"/>
          </w:tcPr>
          <w:p>
            <w:pPr>
              <w:jc w:val="center"/>
              <w:ind w:left="4363"/>
              <w:spacing w:after="0" w:line="105" w:lineRule="exact"/>
              <w:rPr>
                <w:sz w:val="20"/>
                <w:szCs w:val="20"/>
                <w:color w:val="auto"/>
              </w:rPr>
            </w:pPr>
            <w:r>
              <w:rPr>
                <w:rFonts w:ascii="Arial" w:cs="Arial" w:eastAsia="Arial" w:hAnsi="Arial"/>
                <w:sz w:val="10"/>
                <w:szCs w:val="10"/>
                <w:b w:val="1"/>
                <w:bCs w:val="1"/>
                <w:color w:val="auto"/>
                <w:w w:val="96"/>
              </w:rPr>
              <w:t>(I.R.S. Employer</w:t>
            </w:r>
          </w:p>
        </w:tc>
      </w:tr>
      <w:tr>
        <w:trPr>
          <w:trHeight w:val="131"/>
        </w:trPr>
        <w:tc>
          <w:tcPr>
            <w:tcW w:w="1780" w:type="dxa"/>
            <w:vAlign w:val="bottom"/>
          </w:tcPr>
          <w:p>
            <w:pPr>
              <w:jc w:val="center"/>
              <w:ind w:right="43"/>
              <w:spacing w:after="0"/>
              <w:rPr>
                <w:sz w:val="20"/>
                <w:szCs w:val="20"/>
                <w:color w:val="auto"/>
              </w:rPr>
            </w:pPr>
            <w:r>
              <w:rPr>
                <w:rFonts w:ascii="Arial" w:cs="Arial" w:eastAsia="Arial" w:hAnsi="Arial"/>
                <w:sz w:val="10"/>
                <w:szCs w:val="10"/>
                <w:b w:val="1"/>
                <w:bCs w:val="1"/>
                <w:color w:val="auto"/>
                <w:w w:val="92"/>
              </w:rPr>
              <w:t>incorporation or organization)</w:t>
            </w:r>
          </w:p>
        </w:tc>
        <w:tc>
          <w:tcPr>
            <w:tcW w:w="5200" w:type="dxa"/>
            <w:vAlign w:val="bottom"/>
          </w:tcPr>
          <w:p>
            <w:pPr>
              <w:jc w:val="center"/>
              <w:ind w:left="4343"/>
              <w:spacing w:after="0"/>
              <w:rPr>
                <w:sz w:val="20"/>
                <w:szCs w:val="20"/>
                <w:color w:val="auto"/>
              </w:rPr>
            </w:pPr>
            <w:r>
              <w:rPr>
                <w:rFonts w:ascii="Arial" w:cs="Arial" w:eastAsia="Arial" w:hAnsi="Arial"/>
                <w:sz w:val="10"/>
                <w:szCs w:val="10"/>
                <w:b w:val="1"/>
                <w:bCs w:val="1"/>
                <w:color w:val="auto"/>
                <w:w w:val="94"/>
              </w:rPr>
              <w:t>Identification No.)</w:t>
            </w:r>
          </w:p>
        </w:tc>
      </w:tr>
      <w:tr>
        <w:trPr>
          <w:trHeight w:val="215"/>
        </w:trPr>
        <w:tc>
          <w:tcPr>
            <w:tcW w:w="1780" w:type="dxa"/>
            <w:vAlign w:val="bottom"/>
          </w:tcPr>
          <w:p>
            <w:pPr>
              <w:jc w:val="center"/>
              <w:ind w:right="23"/>
              <w:spacing w:after="0"/>
              <w:rPr>
                <w:sz w:val="20"/>
                <w:szCs w:val="20"/>
                <w:color w:val="auto"/>
              </w:rPr>
            </w:pPr>
            <w:r>
              <w:rPr>
                <w:rFonts w:ascii="Arial" w:cs="Arial" w:eastAsia="Arial" w:hAnsi="Arial"/>
                <w:sz w:val="13"/>
                <w:szCs w:val="13"/>
                <w:b w:val="1"/>
                <w:bCs w:val="1"/>
                <w:color w:val="auto"/>
                <w:w w:val="87"/>
              </w:rPr>
              <w:t>2401 4</w:t>
            </w:r>
            <w:r>
              <w:rPr>
                <w:rFonts w:ascii="Arial" w:cs="Arial" w:eastAsia="Arial" w:hAnsi="Arial"/>
                <w:sz w:val="10"/>
                <w:szCs w:val="10"/>
                <w:b w:val="1"/>
                <w:bCs w:val="1"/>
                <w:color w:val="auto"/>
                <w:w w:val="87"/>
              </w:rPr>
              <w:t>th</w:t>
            </w:r>
            <w:r>
              <w:rPr>
                <w:rFonts w:ascii="Arial" w:cs="Arial" w:eastAsia="Arial" w:hAnsi="Arial"/>
                <w:sz w:val="13"/>
                <w:szCs w:val="13"/>
                <w:b w:val="1"/>
                <w:bCs w:val="1"/>
                <w:color w:val="auto"/>
                <w:w w:val="87"/>
              </w:rPr>
              <w:t xml:space="preserve"> Avenue, Suite 1050</w:t>
            </w:r>
          </w:p>
        </w:tc>
        <w:tc>
          <w:tcPr>
            <w:tcW w:w="5200" w:type="dxa"/>
            <w:vAlign w:val="bottom"/>
          </w:tcPr>
          <w:p>
            <w:pPr>
              <w:spacing w:after="0"/>
              <w:rPr>
                <w:sz w:val="18"/>
                <w:szCs w:val="18"/>
                <w:color w:val="auto"/>
              </w:rPr>
            </w:pPr>
          </w:p>
        </w:tc>
      </w:tr>
      <w:tr>
        <w:trPr>
          <w:trHeight w:val="151"/>
        </w:trPr>
        <w:tc>
          <w:tcPr>
            <w:tcW w:w="1780" w:type="dxa"/>
            <w:vAlign w:val="bottom"/>
          </w:tcPr>
          <w:p>
            <w:pPr>
              <w:jc w:val="center"/>
              <w:ind w:right="43"/>
              <w:spacing w:after="0"/>
              <w:rPr>
                <w:sz w:val="20"/>
                <w:szCs w:val="20"/>
                <w:color w:val="auto"/>
              </w:rPr>
            </w:pPr>
            <w:r>
              <w:rPr>
                <w:rFonts w:ascii="Arial" w:cs="Arial" w:eastAsia="Arial" w:hAnsi="Arial"/>
                <w:sz w:val="13"/>
                <w:szCs w:val="13"/>
                <w:b w:val="1"/>
                <w:bCs w:val="1"/>
                <w:color w:val="auto"/>
                <w:w w:val="86"/>
              </w:rPr>
              <w:t>Seattle, Washington</w:t>
            </w:r>
          </w:p>
        </w:tc>
        <w:tc>
          <w:tcPr>
            <w:tcW w:w="5200" w:type="dxa"/>
            <w:vAlign w:val="bottom"/>
          </w:tcPr>
          <w:p>
            <w:pPr>
              <w:jc w:val="right"/>
              <w:ind w:right="183"/>
              <w:spacing w:after="0"/>
              <w:rPr>
                <w:sz w:val="20"/>
                <w:szCs w:val="20"/>
                <w:color w:val="auto"/>
              </w:rPr>
            </w:pPr>
            <w:r>
              <w:rPr>
                <w:rFonts w:ascii="Arial" w:cs="Arial" w:eastAsia="Arial" w:hAnsi="Arial"/>
                <w:sz w:val="13"/>
                <w:szCs w:val="13"/>
                <w:b w:val="1"/>
                <w:bCs w:val="1"/>
                <w:color w:val="auto"/>
              </w:rPr>
              <w:t>98121</w:t>
            </w:r>
          </w:p>
        </w:tc>
      </w:tr>
      <w:tr>
        <w:trPr>
          <w:trHeight w:val="131"/>
        </w:trPr>
        <w:tc>
          <w:tcPr>
            <w:tcW w:w="1780" w:type="dxa"/>
            <w:vAlign w:val="bottom"/>
          </w:tcPr>
          <w:p>
            <w:pPr>
              <w:jc w:val="center"/>
              <w:ind w:right="43"/>
              <w:spacing w:after="0"/>
              <w:rPr>
                <w:sz w:val="20"/>
                <w:szCs w:val="20"/>
                <w:color w:val="auto"/>
              </w:rPr>
            </w:pPr>
            <w:r>
              <w:rPr>
                <w:rFonts w:ascii="Arial" w:cs="Arial" w:eastAsia="Arial" w:hAnsi="Arial"/>
                <w:sz w:val="10"/>
                <w:szCs w:val="10"/>
                <w:b w:val="1"/>
                <w:bCs w:val="1"/>
                <w:color w:val="auto"/>
                <w:w w:val="89"/>
              </w:rPr>
              <w:t>(Address of principal executive offices)</w:t>
            </w:r>
          </w:p>
        </w:tc>
        <w:tc>
          <w:tcPr>
            <w:tcW w:w="5200" w:type="dxa"/>
            <w:vAlign w:val="bottom"/>
          </w:tcPr>
          <w:p>
            <w:pPr>
              <w:jc w:val="center"/>
              <w:ind w:left="4343"/>
              <w:spacing w:after="0"/>
              <w:rPr>
                <w:sz w:val="20"/>
                <w:szCs w:val="20"/>
                <w:color w:val="auto"/>
              </w:rPr>
            </w:pPr>
            <w:r>
              <w:rPr>
                <w:rFonts w:ascii="Arial" w:cs="Arial" w:eastAsia="Arial" w:hAnsi="Arial"/>
                <w:sz w:val="10"/>
                <w:szCs w:val="10"/>
                <w:b w:val="1"/>
                <w:bCs w:val="1"/>
                <w:color w:val="auto"/>
                <w:w w:val="96"/>
              </w:rPr>
              <w:t>(Zip Code)</w:t>
            </w:r>
          </w:p>
        </w:tc>
      </w:tr>
      <w:tr>
        <w:trPr>
          <w:trHeight w:val="228"/>
        </w:trPr>
        <w:tc>
          <w:tcPr>
            <w:tcW w:w="1780" w:type="dxa"/>
            <w:vAlign w:val="bottom"/>
          </w:tcPr>
          <w:p>
            <w:pPr>
              <w:spacing w:after="0"/>
              <w:rPr>
                <w:sz w:val="19"/>
                <w:szCs w:val="19"/>
                <w:color w:val="auto"/>
              </w:rPr>
            </w:pPr>
          </w:p>
        </w:tc>
        <w:tc>
          <w:tcPr>
            <w:tcW w:w="5200" w:type="dxa"/>
            <w:vAlign w:val="bottom"/>
          </w:tcPr>
          <w:p>
            <w:pPr>
              <w:ind w:left="100"/>
              <w:spacing w:after="0"/>
              <w:rPr>
                <w:sz w:val="20"/>
                <w:szCs w:val="20"/>
                <w:color w:val="auto"/>
              </w:rPr>
            </w:pPr>
            <w:r>
              <w:rPr>
                <w:rFonts w:ascii="Arial" w:cs="Arial" w:eastAsia="Arial" w:hAnsi="Arial"/>
                <w:sz w:val="13"/>
                <w:szCs w:val="13"/>
                <w:b w:val="1"/>
                <w:bCs w:val="1"/>
                <w:color w:val="auto"/>
              </w:rPr>
              <w:t>Registrant’s telephone number, including area code: (206) 838-0500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60960</wp:posOffset>
            </wp:positionV>
            <wp:extent cx="145478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4785" cy="6350"/>
                    </a:xfrm>
                    <a:prstGeom prst="rect">
                      <a:avLst/>
                    </a:prstGeom>
                    <a:noFill/>
                  </pic:spPr>
                </pic:pic>
              </a:graphicData>
            </a:graphic>
          </wp:anchor>
        </w:drawing>
      </w:r>
    </w:p>
    <w:p>
      <w:pPr>
        <w:spacing w:after="0" w:line="134" w:lineRule="exact"/>
        <w:rPr>
          <w:sz w:val="24"/>
          <w:szCs w:val="24"/>
          <w:color w:val="auto"/>
        </w:rPr>
      </w:pPr>
    </w:p>
    <w:p>
      <w:pPr>
        <w:ind w:left="4" w:right="20" w:firstLine="521"/>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left="4" w:firstLine="521"/>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6" w:lineRule="exact"/>
        <w:rPr>
          <w:sz w:val="24"/>
          <w:szCs w:val="24"/>
          <w:color w:val="auto"/>
        </w:rPr>
      </w:pPr>
    </w:p>
    <w:p>
      <w:pPr>
        <w:ind w:left="4" w:right="20" w:firstLine="521"/>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4" w:type="dxa"/>
        <w:tblCellMar>
          <w:top w:w="0" w:type="dxa"/>
          <w:left w:w="0" w:type="dxa"/>
          <w:bottom w:w="0" w:type="dxa"/>
          <w:right w:w="0" w:type="dxa"/>
        </w:tblCellMar>
      </w:tblPr>
      <w:tr>
        <w:trPr>
          <w:trHeight w:val="200"/>
        </w:trPr>
        <w:tc>
          <w:tcPr>
            <w:tcW w:w="16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26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9"/>
        </w:trPr>
        <w:tc>
          <w:tcPr>
            <w:tcW w:w="16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160" w:type="dxa"/>
            <w:vAlign w:val="bottom"/>
          </w:tcPr>
          <w:p>
            <w:pPr>
              <w:ind w:left="326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0"/>
        </w:trPr>
        <w:tc>
          <w:tcPr>
            <w:tcW w:w="1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160" w:type="dxa"/>
            <w:vAlign w:val="bottom"/>
          </w:tcPr>
          <w:p>
            <w:pPr>
              <w:ind w:left="3260"/>
              <w:spacing w:after="0"/>
              <w:rPr>
                <w:sz w:val="20"/>
                <w:szCs w:val="20"/>
                <w:color w:val="auto"/>
              </w:rPr>
            </w:pPr>
            <w:r>
              <w:rPr>
                <w:rFonts w:ascii="Arial" w:cs="Arial" w:eastAsia="Arial" w:hAnsi="Arial"/>
                <w:sz w:val="13"/>
                <w:szCs w:val="13"/>
                <w:color w:val="auto"/>
              </w:rPr>
              <w:t>Emerging growth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3" w:lineRule="exact"/>
        <w:rPr>
          <w:sz w:val="24"/>
          <w:szCs w:val="24"/>
          <w:color w:val="auto"/>
        </w:rPr>
      </w:pPr>
    </w:p>
    <w:p>
      <w:pPr>
        <w:ind w:left="4" w:firstLine="521"/>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3"/>
          <w:szCs w:val="13"/>
          <w:color w:val="auto"/>
        </w:rPr>
        <w:t>☒</w:t>
      </w:r>
    </w:p>
    <w:p>
      <w:pPr>
        <w:spacing w:after="0" w:line="30" w:lineRule="exact"/>
        <w:rPr>
          <w:sz w:val="24"/>
          <w:szCs w:val="24"/>
          <w:color w:val="auto"/>
        </w:rPr>
      </w:pPr>
    </w:p>
    <w:p>
      <w:pPr>
        <w:ind w:left="524" w:right="4240"/>
        <w:spacing w:after="0" w:line="20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November 9, 2018, the number of shares of the registrant’s common stock outstanding was 22,687,854.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8662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662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78740</wp:posOffset>
            </wp:positionV>
            <wp:extent cx="728662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6625"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169545</wp:posOffset>
            </wp:positionV>
            <wp:extent cx="732409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4"/>
          </w:cols>
          <w:pgMar w:left="216" w:top="434"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120" w:type="dxa"/>
            <w:vAlign w:val="bottom"/>
            <w:gridSpan w:val="2"/>
          </w:tcPr>
          <w:p>
            <w:pPr>
              <w:ind w:left="720"/>
              <w:spacing w:after="0"/>
              <w:rPr>
                <w:sz w:val="20"/>
                <w:szCs w:val="20"/>
                <w:color w:val="auto"/>
              </w:rPr>
            </w:pPr>
            <w:r>
              <w:rPr>
                <w:rFonts w:ascii="Arial" w:cs="Arial" w:eastAsia="Arial" w:hAnsi="Arial"/>
                <w:sz w:val="13"/>
                <w:szCs w:val="13"/>
                <w:b w:val="1"/>
                <w:bCs w:val="1"/>
                <w:color w:val="auto"/>
              </w:rPr>
              <w:t>Table of Contents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PART I.</w:t>
            </w:r>
          </w:p>
        </w:tc>
        <w:tc>
          <w:tcPr>
            <w:tcW w:w="1700" w:type="dxa"/>
            <w:vAlign w:val="bottom"/>
            <w:gridSpan w:val="9"/>
            <w:vMerge w:val="restart"/>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FINANCIAL INFORMATION</w:t>
              </w:r>
            </w:hyperlink>
          </w:p>
        </w:tc>
        <w:tc>
          <w:tcPr>
            <w:tcW w:w="7800" w:type="dxa"/>
            <w:vAlign w:val="bottom"/>
            <w:gridSpan w:val="10"/>
            <w:vMerge w:val="restart"/>
          </w:tcPr>
          <w:p>
            <w:pPr>
              <w:spacing w:after="0"/>
              <w:rPr>
                <w:sz w:val="23"/>
                <w:szCs w:val="23"/>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9"/>
        </w:trPr>
        <w:tc>
          <w:tcPr>
            <w:tcW w:w="1160" w:type="dxa"/>
            <w:vAlign w:val="bottom"/>
            <w:gridSpan w:val="2"/>
            <w:vMerge w:val="continue"/>
          </w:tcPr>
          <w:p>
            <w:pPr>
              <w:spacing w:after="0"/>
              <w:rPr>
                <w:sz w:val="9"/>
                <w:szCs w:val="9"/>
                <w:color w:val="auto"/>
              </w:rPr>
            </w:pPr>
          </w:p>
        </w:tc>
        <w:tc>
          <w:tcPr>
            <w:tcW w:w="1700" w:type="dxa"/>
            <w:vAlign w:val="bottom"/>
            <w:tcBorders>
              <w:bottom w:val="single" w:sz="8" w:color="0000EE"/>
            </w:tcBorders>
            <w:gridSpan w:val="9"/>
            <w:vMerge w:val="continue"/>
          </w:tcPr>
          <w:p>
            <w:pPr>
              <w:spacing w:after="0"/>
              <w:rPr>
                <w:sz w:val="9"/>
                <w:szCs w:val="9"/>
                <w:color w:val="auto"/>
              </w:rPr>
            </w:pPr>
          </w:p>
        </w:tc>
        <w:tc>
          <w:tcPr>
            <w:tcW w:w="7800" w:type="dxa"/>
            <w:vAlign w:val="bottom"/>
            <w:gridSpan w:val="10"/>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160" w:type="dxa"/>
            <w:vAlign w:val="bottom"/>
            <w:gridSpan w:val="2"/>
          </w:tcPr>
          <w:p>
            <w:pPr>
              <w:spacing w:after="0"/>
              <w:rPr>
                <w:sz w:val="20"/>
                <w:szCs w:val="20"/>
                <w:color w:val="auto"/>
              </w:rPr>
            </w:pPr>
            <w:r>
              <w:rPr>
                <w:rFonts w:ascii="Arial" w:cs="Arial" w:eastAsia="Arial" w:hAnsi="Arial"/>
                <w:sz w:val="13"/>
                <w:szCs w:val="13"/>
                <w:color w:val="auto"/>
              </w:rPr>
              <w:t>Item 1.</w:t>
            </w:r>
          </w:p>
        </w:tc>
        <w:tc>
          <w:tcPr>
            <w:tcW w:w="1720" w:type="dxa"/>
            <w:vAlign w:val="bottom"/>
            <w:tcBorders>
              <w:bottom w:val="single" w:sz="8" w:color="0000EE"/>
            </w:tcBorders>
            <w:gridSpan w:val="10"/>
          </w:tcPr>
          <w:p>
            <w:pPr>
              <w:spacing w:after="0"/>
              <w:rPr>
                <w:rFonts w:ascii="Arial" w:cs="Arial" w:eastAsia="Arial" w:hAnsi="Arial"/>
                <w:sz w:val="13"/>
                <w:szCs w:val="13"/>
                <w:color w:val="0000EE"/>
                <w:w w:val="88"/>
              </w:rPr>
            </w:pPr>
            <w:hyperlink w:anchor="page3">
              <w:r>
                <w:rPr>
                  <w:rFonts w:ascii="Arial" w:cs="Arial" w:eastAsia="Arial" w:hAnsi="Arial"/>
                  <w:sz w:val="13"/>
                  <w:szCs w:val="13"/>
                  <w:color w:val="0000EE"/>
                  <w:w w:val="88"/>
                </w:rPr>
                <w:t>Financial Statements (Unaudited)</w:t>
              </w:r>
            </w:hyperlink>
          </w:p>
        </w:tc>
        <w:tc>
          <w:tcPr>
            <w:tcW w:w="7780" w:type="dxa"/>
            <w:vAlign w:val="bottom"/>
            <w:gridSpan w:val="9"/>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tcBorders>
              <w:bottom w:val="single" w:sz="8" w:color="0000EE"/>
            </w:tcBorders>
            <w:gridSpan w:val="10"/>
          </w:tcPr>
          <w:p>
            <w:pPr>
              <w:spacing w:after="0" w:line="143" w:lineRule="exact"/>
              <w:rPr>
                <w:rFonts w:ascii="Arial" w:cs="Arial" w:eastAsia="Arial" w:hAnsi="Arial"/>
                <w:sz w:val="13"/>
                <w:szCs w:val="13"/>
                <w:color w:val="0000EE"/>
                <w:w w:val="85"/>
              </w:rPr>
            </w:pPr>
            <w:hyperlink w:anchor="page3">
              <w:r>
                <w:rPr>
                  <w:rFonts w:ascii="Arial" w:cs="Arial" w:eastAsia="Arial" w:hAnsi="Arial"/>
                  <w:sz w:val="13"/>
                  <w:szCs w:val="13"/>
                  <w:color w:val="0000EE"/>
                  <w:w w:val="85"/>
                </w:rPr>
                <w:t>Condensed Consolidated Balance Sheets</w:t>
              </w:r>
            </w:hyperlink>
          </w:p>
        </w:tc>
        <w:tc>
          <w:tcPr>
            <w:tcW w:w="7140" w:type="dxa"/>
            <w:vAlign w:val="bottom"/>
            <w:gridSpan w:val="8"/>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20" w:type="dxa"/>
            <w:vAlign w:val="bottom"/>
            <w:gridSpan w:val="18"/>
          </w:tcPr>
          <w:p>
            <w:pPr>
              <w:spacing w:after="0" w:line="143" w:lineRule="exact"/>
              <w:rPr>
                <w:rFonts w:ascii="Arial" w:cs="Arial" w:eastAsia="Arial" w:hAnsi="Arial"/>
                <w:sz w:val="13"/>
                <w:szCs w:val="13"/>
                <w:color w:val="0000EE"/>
              </w:rPr>
            </w:pPr>
            <w:hyperlink w:anchor="page4">
              <w:r>
                <w:rPr>
                  <w:rFonts w:ascii="Arial" w:cs="Arial" w:eastAsia="Arial" w:hAnsi="Arial"/>
                  <w:sz w:val="13"/>
                  <w:szCs w:val="13"/>
                  <w:color w:val="0000EE"/>
                </w:rPr>
                <w:t>Condensed Consolidated Statements of Operations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00" w:type="dxa"/>
            <w:vAlign w:val="bottom"/>
            <w:tcBorders>
              <w:bottom w:val="single" w:sz="8" w:color="0000EE"/>
            </w:tcBorders>
            <w:gridSpan w:val="16"/>
          </w:tcPr>
          <w:p>
            <w:pPr>
              <w:spacing w:after="0" w:line="143" w:lineRule="exact"/>
              <w:rPr>
                <w:rFonts w:ascii="Arial" w:cs="Arial" w:eastAsia="Arial" w:hAnsi="Arial"/>
                <w:sz w:val="13"/>
                <w:szCs w:val="13"/>
                <w:color w:val="0000EE"/>
                <w:w w:val="86"/>
              </w:rPr>
            </w:pPr>
            <w:hyperlink w:anchor="page5">
              <w:r>
                <w:rPr>
                  <w:rFonts w:ascii="Arial" w:cs="Arial" w:eastAsia="Arial" w:hAnsi="Arial"/>
                  <w:sz w:val="13"/>
                  <w:szCs w:val="13"/>
                  <w:color w:val="0000EE"/>
                  <w:w w:val="86"/>
                </w:rPr>
                <w:t>Condensed Consolidated Statements of Comprehensive Loss</w:t>
              </w:r>
            </w:hyperlink>
          </w:p>
        </w:tc>
        <w:tc>
          <w:tcPr>
            <w:tcW w:w="6120" w:type="dxa"/>
            <w:vAlign w:val="bottom"/>
            <w:gridSpan w:val="2"/>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20" w:type="dxa"/>
            <w:vAlign w:val="bottom"/>
            <w:gridSpan w:val="18"/>
          </w:tcPr>
          <w:p>
            <w:pPr>
              <w:spacing w:after="0" w:line="143" w:lineRule="exact"/>
              <w:rPr>
                <w:rFonts w:ascii="Arial" w:cs="Arial" w:eastAsia="Arial" w:hAnsi="Arial"/>
                <w:sz w:val="13"/>
                <w:szCs w:val="13"/>
                <w:color w:val="0000EE"/>
              </w:rPr>
            </w:pPr>
            <w:hyperlink w:anchor="page6">
              <w:r>
                <w:rPr>
                  <w:rFonts w:ascii="Arial" w:cs="Arial" w:eastAsia="Arial" w:hAnsi="Arial"/>
                  <w:sz w:val="13"/>
                  <w:szCs w:val="13"/>
                  <w:color w:val="0000EE"/>
                </w:rPr>
                <w:t>Condensed Consolidated Statements of Cash Flows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Borders>
              <w:bottom w:val="single" w:sz="8" w:color="0000EE"/>
            </w:tcBorders>
            <w:gridSpan w:val="15"/>
          </w:tcPr>
          <w:p>
            <w:pPr>
              <w:spacing w:after="0" w:line="143" w:lineRule="exact"/>
              <w:rPr>
                <w:rFonts w:ascii="Arial" w:cs="Arial" w:eastAsia="Arial" w:hAnsi="Arial"/>
                <w:sz w:val="13"/>
                <w:szCs w:val="13"/>
                <w:color w:val="0000EE"/>
                <w:w w:val="87"/>
              </w:rPr>
            </w:pPr>
            <w:hyperlink w:anchor="page7">
              <w:r>
                <w:rPr>
                  <w:rFonts w:ascii="Arial" w:cs="Arial" w:eastAsia="Arial" w:hAnsi="Arial"/>
                  <w:sz w:val="13"/>
                  <w:szCs w:val="13"/>
                  <w:color w:val="0000EE"/>
                  <w:w w:val="87"/>
                </w:rPr>
                <w:t>Notes to Condensed Consolidated Financial Statements</w:t>
              </w:r>
            </w:hyperlink>
          </w:p>
        </w:tc>
        <w:tc>
          <w:tcPr>
            <w:tcW w:w="6380" w:type="dxa"/>
            <w:vAlign w:val="bottom"/>
            <w:gridSpan w:val="3"/>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2.</w:t>
            </w:r>
          </w:p>
        </w:tc>
        <w:tc>
          <w:tcPr>
            <w:tcW w:w="9500" w:type="dxa"/>
            <w:vAlign w:val="bottom"/>
            <w:gridSpan w:val="19"/>
          </w:tcPr>
          <w:p>
            <w:pPr>
              <w:spacing w:after="0" w:line="143" w:lineRule="exact"/>
              <w:rPr>
                <w:rFonts w:ascii="Arial" w:cs="Arial" w:eastAsia="Arial" w:hAnsi="Arial"/>
                <w:sz w:val="13"/>
                <w:szCs w:val="13"/>
                <w:color w:val="0000EE"/>
              </w:rPr>
            </w:pPr>
            <w:hyperlink w:anchor="page20">
              <w:r>
                <w:rPr>
                  <w:rFonts w:ascii="Arial" w:cs="Arial" w:eastAsia="Arial" w:hAnsi="Arial"/>
                  <w:sz w:val="13"/>
                  <w:szCs w:val="13"/>
                  <w:color w:val="0000EE"/>
                </w:rPr>
                <w:t>Management’s Discussion and Analysis of Financial Condition and Results of Operations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3.</w:t>
            </w:r>
          </w:p>
        </w:tc>
        <w:tc>
          <w:tcPr>
            <w:tcW w:w="3100" w:type="dxa"/>
            <w:vAlign w:val="bottom"/>
            <w:tcBorders>
              <w:top w:val="single" w:sz="8" w:color="0000EE"/>
              <w:bottom w:val="single" w:sz="8" w:color="0000EE"/>
            </w:tcBorders>
            <w:gridSpan w:val="15"/>
          </w:tcPr>
          <w:p>
            <w:pPr>
              <w:spacing w:after="0" w:line="143" w:lineRule="exact"/>
              <w:rPr>
                <w:rFonts w:ascii="Arial" w:cs="Arial" w:eastAsia="Arial" w:hAnsi="Arial"/>
                <w:sz w:val="13"/>
                <w:szCs w:val="13"/>
                <w:color w:val="0000EE"/>
                <w:w w:val="90"/>
              </w:rPr>
            </w:pPr>
            <w:hyperlink w:anchor="page29">
              <w:r>
                <w:rPr>
                  <w:rFonts w:ascii="Arial" w:cs="Arial" w:eastAsia="Arial" w:hAnsi="Arial"/>
                  <w:sz w:val="13"/>
                  <w:szCs w:val="13"/>
                  <w:color w:val="0000EE"/>
                  <w:w w:val="90"/>
                </w:rPr>
                <w:t>Quantitative and Qualitative Disclosures About Market Risk</w:t>
              </w:r>
            </w:hyperlink>
          </w:p>
        </w:tc>
        <w:tc>
          <w:tcPr>
            <w:tcW w:w="1460" w:type="dxa"/>
            <w:vAlign w:val="bottom"/>
            <w:tcBorders>
              <w:top w:val="single" w:sz="8" w:color="0000EE"/>
            </w:tcBorders>
            <w:gridSpan w:val="3"/>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4.</w:t>
            </w:r>
          </w:p>
        </w:tc>
        <w:tc>
          <w:tcPr>
            <w:tcW w:w="1260" w:type="dxa"/>
            <w:vAlign w:val="bottom"/>
            <w:tcBorders>
              <w:bottom w:val="single" w:sz="8" w:color="0000EE"/>
            </w:tcBorders>
            <w:gridSpan w:val="6"/>
          </w:tcPr>
          <w:p>
            <w:pPr>
              <w:spacing w:after="0" w:line="143" w:lineRule="exact"/>
              <w:rPr>
                <w:rFonts w:ascii="Arial" w:cs="Arial" w:eastAsia="Arial" w:hAnsi="Arial"/>
                <w:sz w:val="13"/>
                <w:szCs w:val="13"/>
                <w:color w:val="0000EE"/>
                <w:w w:val="86"/>
              </w:rPr>
            </w:pPr>
            <w:hyperlink w:anchor="page29">
              <w:r>
                <w:rPr>
                  <w:rFonts w:ascii="Arial" w:cs="Arial" w:eastAsia="Arial" w:hAnsi="Arial"/>
                  <w:sz w:val="13"/>
                  <w:szCs w:val="13"/>
                  <w:color w:val="0000EE"/>
                  <w:w w:val="86"/>
                </w:rPr>
                <w:t>Controls and Procedures</w:t>
              </w:r>
            </w:hyperlink>
          </w:p>
        </w:tc>
        <w:tc>
          <w:tcPr>
            <w:tcW w:w="8240" w:type="dxa"/>
            <w:vAlign w:val="bottom"/>
            <w:gridSpan w:val="13"/>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305"/>
        </w:trPr>
        <w:tc>
          <w:tcPr>
            <w:tcW w:w="1160" w:type="dxa"/>
            <w:vAlign w:val="bottom"/>
            <w:gridSpan w:val="2"/>
          </w:tcPr>
          <w:p>
            <w:pPr>
              <w:spacing w:after="0"/>
              <w:rPr>
                <w:sz w:val="20"/>
                <w:szCs w:val="20"/>
                <w:color w:val="auto"/>
              </w:rPr>
            </w:pPr>
            <w:r>
              <w:rPr>
                <w:rFonts w:ascii="Arial" w:cs="Arial" w:eastAsia="Arial" w:hAnsi="Arial"/>
                <w:sz w:val="13"/>
                <w:szCs w:val="13"/>
                <w:b w:val="1"/>
                <w:bCs w:val="1"/>
                <w:color w:val="auto"/>
              </w:rPr>
              <w:t>PART II.</w:t>
            </w:r>
          </w:p>
        </w:tc>
        <w:tc>
          <w:tcPr>
            <w:tcW w:w="1440" w:type="dxa"/>
            <w:vAlign w:val="bottom"/>
            <w:tcBorders>
              <w:bottom w:val="single" w:sz="8" w:color="0000EE"/>
            </w:tcBorders>
            <w:gridSpan w:val="7"/>
          </w:tcPr>
          <w:p>
            <w:pPr>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OTHER INFORMATION</w:t>
              </w:r>
            </w:hyperlink>
          </w:p>
        </w:tc>
        <w:tc>
          <w:tcPr>
            <w:tcW w:w="8060" w:type="dxa"/>
            <w:vAlign w:val="bottom"/>
            <w:gridSpan w:val="1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1.</w:t>
            </w:r>
          </w:p>
        </w:tc>
        <w:tc>
          <w:tcPr>
            <w:tcW w:w="960" w:type="dxa"/>
            <w:vAlign w:val="bottom"/>
            <w:tcBorders>
              <w:bottom w:val="single" w:sz="8" w:color="0000EE"/>
            </w:tcBorders>
            <w:gridSpan w:val="5"/>
          </w:tcPr>
          <w:p>
            <w:pPr>
              <w:spacing w:after="0" w:line="143" w:lineRule="exact"/>
              <w:rPr>
                <w:rFonts w:ascii="Arial" w:cs="Arial" w:eastAsia="Arial" w:hAnsi="Arial"/>
                <w:sz w:val="13"/>
                <w:szCs w:val="13"/>
                <w:color w:val="0000EE"/>
                <w:w w:val="87"/>
              </w:rPr>
            </w:pPr>
            <w:hyperlink w:anchor="page30">
              <w:r>
                <w:rPr>
                  <w:rFonts w:ascii="Arial" w:cs="Arial" w:eastAsia="Arial" w:hAnsi="Arial"/>
                  <w:sz w:val="13"/>
                  <w:szCs w:val="13"/>
                  <w:color w:val="0000EE"/>
                  <w:w w:val="87"/>
                </w:rPr>
                <w:t>Legal Proceedings</w:t>
              </w:r>
            </w:hyperlink>
          </w:p>
        </w:tc>
        <w:tc>
          <w:tcPr>
            <w:tcW w:w="8540" w:type="dxa"/>
            <w:vAlign w:val="bottom"/>
            <w:gridSpan w:val="14"/>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1A.</w:t>
            </w:r>
          </w:p>
        </w:tc>
        <w:tc>
          <w:tcPr>
            <w:tcW w:w="9500" w:type="dxa"/>
            <w:vAlign w:val="bottom"/>
            <w:gridSpan w:val="19"/>
          </w:tcPr>
          <w:p>
            <w:pPr>
              <w:spacing w:after="0" w:line="143" w:lineRule="exact"/>
              <w:rPr>
                <w:rFonts w:ascii="Arial" w:cs="Arial" w:eastAsia="Arial" w:hAnsi="Arial"/>
                <w:sz w:val="13"/>
                <w:szCs w:val="13"/>
                <w:color w:val="0000EE"/>
              </w:rPr>
            </w:pPr>
            <w:hyperlink w:anchor="page30">
              <w:r>
                <w:rPr>
                  <w:rFonts w:ascii="Arial" w:cs="Arial" w:eastAsia="Arial" w:hAnsi="Arial"/>
                  <w:sz w:val="13"/>
                  <w:szCs w:val="13"/>
                  <w:color w:val="0000EE"/>
                </w:rPr>
                <w:t>Risk Factors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2.</w:t>
            </w:r>
          </w:p>
        </w:tc>
        <w:tc>
          <w:tcPr>
            <w:tcW w:w="3080" w:type="dxa"/>
            <w:vAlign w:val="bottom"/>
            <w:tcBorders>
              <w:bottom w:val="single" w:sz="8" w:color="0000EE"/>
            </w:tcBorders>
            <w:gridSpan w:val="14"/>
          </w:tcPr>
          <w:p>
            <w:pPr>
              <w:spacing w:after="0" w:line="143" w:lineRule="exact"/>
              <w:rPr>
                <w:rFonts w:ascii="Arial" w:cs="Arial" w:eastAsia="Arial" w:hAnsi="Arial"/>
                <w:sz w:val="13"/>
                <w:szCs w:val="13"/>
                <w:color w:val="0000EE"/>
                <w:w w:val="87"/>
              </w:rPr>
            </w:pPr>
            <w:hyperlink w:anchor="page53">
              <w:r>
                <w:rPr>
                  <w:rFonts w:ascii="Arial" w:cs="Arial" w:eastAsia="Arial" w:hAnsi="Arial"/>
                  <w:sz w:val="13"/>
                  <w:szCs w:val="13"/>
                  <w:color w:val="0000EE"/>
                  <w:w w:val="87"/>
                </w:rPr>
                <w:t>Unregistered Sales of Equity Securities and Use of Proceeds</w:t>
              </w:r>
            </w:hyperlink>
          </w:p>
        </w:tc>
        <w:tc>
          <w:tcPr>
            <w:tcW w:w="6420" w:type="dxa"/>
            <w:vAlign w:val="bottom"/>
            <w:gridSpan w:val="5"/>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3.</w:t>
            </w:r>
          </w:p>
        </w:tc>
        <w:tc>
          <w:tcPr>
            <w:tcW w:w="9500" w:type="dxa"/>
            <w:vAlign w:val="bottom"/>
            <w:gridSpan w:val="19"/>
          </w:tcPr>
          <w:p>
            <w:pPr>
              <w:spacing w:after="0" w:line="143" w:lineRule="exact"/>
              <w:rPr>
                <w:rFonts w:ascii="Arial" w:cs="Arial" w:eastAsia="Arial" w:hAnsi="Arial"/>
                <w:sz w:val="13"/>
                <w:szCs w:val="13"/>
                <w:color w:val="0000EE"/>
              </w:rPr>
            </w:pPr>
            <w:hyperlink w:anchor="page53">
              <w:r>
                <w:rPr>
                  <w:rFonts w:ascii="Arial" w:cs="Arial" w:eastAsia="Arial" w:hAnsi="Arial"/>
                  <w:sz w:val="13"/>
                  <w:szCs w:val="13"/>
                  <w:color w:val="0000EE"/>
                </w:rPr>
                <w:t>Defaults Upon Senior Securities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4.</w:t>
            </w:r>
          </w:p>
        </w:tc>
        <w:tc>
          <w:tcPr>
            <w:tcW w:w="1260" w:type="dxa"/>
            <w:vAlign w:val="bottom"/>
            <w:tcBorders>
              <w:top w:val="single" w:sz="8" w:color="0000EE"/>
              <w:bottom w:val="single" w:sz="8" w:color="0000EE"/>
            </w:tcBorders>
            <w:gridSpan w:val="6"/>
          </w:tcPr>
          <w:p>
            <w:pPr>
              <w:spacing w:after="0" w:line="143" w:lineRule="exact"/>
              <w:rPr>
                <w:rFonts w:ascii="Arial" w:cs="Arial" w:eastAsia="Arial" w:hAnsi="Arial"/>
                <w:sz w:val="13"/>
                <w:szCs w:val="13"/>
                <w:color w:val="0000EE"/>
                <w:w w:val="88"/>
              </w:rPr>
            </w:pPr>
            <w:hyperlink w:anchor="page53">
              <w:r>
                <w:rPr>
                  <w:rFonts w:ascii="Arial" w:cs="Arial" w:eastAsia="Arial" w:hAnsi="Arial"/>
                  <w:sz w:val="13"/>
                  <w:szCs w:val="13"/>
                  <w:color w:val="0000EE"/>
                  <w:w w:val="88"/>
                </w:rPr>
                <w:t>Mine Safety Disclosures</w:t>
              </w:r>
            </w:hyperlink>
          </w:p>
        </w:tc>
        <w:tc>
          <w:tcPr>
            <w:tcW w:w="380" w:type="dxa"/>
            <w:vAlign w:val="bottom"/>
            <w:tcBorders>
              <w:top w:val="single" w:sz="8" w:color="0000EE"/>
            </w:tcBorders>
            <w:gridSpan w:val="2"/>
          </w:tcPr>
          <w:p>
            <w:pPr>
              <w:spacing w:after="0"/>
              <w:rPr>
                <w:sz w:val="12"/>
                <w:szCs w:val="12"/>
                <w:color w:val="auto"/>
              </w:rPr>
            </w:pPr>
          </w:p>
        </w:tc>
        <w:tc>
          <w:tcPr>
            <w:tcW w:w="7860" w:type="dxa"/>
            <w:vAlign w:val="bottom"/>
            <w:gridSpan w:val="11"/>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5.</w:t>
            </w:r>
          </w:p>
        </w:tc>
        <w:tc>
          <w:tcPr>
            <w:tcW w:w="940" w:type="dxa"/>
            <w:vAlign w:val="bottom"/>
            <w:tcBorders>
              <w:bottom w:val="single" w:sz="8" w:color="0000EE"/>
            </w:tcBorders>
            <w:gridSpan w:val="4"/>
          </w:tcPr>
          <w:p>
            <w:pPr>
              <w:spacing w:after="0" w:line="143" w:lineRule="exact"/>
              <w:rPr>
                <w:rFonts w:ascii="Arial" w:cs="Arial" w:eastAsia="Arial" w:hAnsi="Arial"/>
                <w:sz w:val="13"/>
                <w:szCs w:val="13"/>
                <w:color w:val="0000EE"/>
                <w:w w:val="90"/>
              </w:rPr>
            </w:pPr>
            <w:hyperlink w:anchor="page53">
              <w:r>
                <w:rPr>
                  <w:rFonts w:ascii="Arial" w:cs="Arial" w:eastAsia="Arial" w:hAnsi="Arial"/>
                  <w:sz w:val="13"/>
                  <w:szCs w:val="13"/>
                  <w:color w:val="0000EE"/>
                  <w:w w:val="90"/>
                </w:rPr>
                <w:t>Other Information</w:t>
              </w:r>
            </w:hyperlink>
          </w:p>
        </w:tc>
        <w:tc>
          <w:tcPr>
            <w:tcW w:w="8560" w:type="dxa"/>
            <w:vAlign w:val="bottom"/>
            <w:gridSpan w:val="15"/>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42"/>
        </w:trPr>
        <w:tc>
          <w:tcPr>
            <w:tcW w:w="1160" w:type="dxa"/>
            <w:vAlign w:val="bottom"/>
            <w:gridSpan w:val="2"/>
          </w:tcPr>
          <w:p>
            <w:pPr>
              <w:spacing w:after="0" w:line="143" w:lineRule="exact"/>
              <w:rPr>
                <w:sz w:val="20"/>
                <w:szCs w:val="20"/>
                <w:color w:val="auto"/>
              </w:rPr>
            </w:pPr>
            <w:r>
              <w:rPr>
                <w:rFonts w:ascii="Arial" w:cs="Arial" w:eastAsia="Arial" w:hAnsi="Arial"/>
                <w:sz w:val="13"/>
                <w:szCs w:val="13"/>
                <w:color w:val="auto"/>
              </w:rPr>
              <w:t>Item 6.</w:t>
            </w:r>
          </w:p>
        </w:tc>
        <w:tc>
          <w:tcPr>
            <w:tcW w:w="9500" w:type="dxa"/>
            <w:vAlign w:val="bottom"/>
            <w:gridSpan w:val="19"/>
          </w:tcPr>
          <w:p>
            <w:pPr>
              <w:spacing w:after="0" w:line="143" w:lineRule="exact"/>
              <w:rPr>
                <w:rFonts w:ascii="Arial" w:cs="Arial" w:eastAsia="Arial" w:hAnsi="Arial"/>
                <w:sz w:val="13"/>
                <w:szCs w:val="13"/>
                <w:color w:val="0000EE"/>
              </w:rPr>
            </w:pPr>
            <w:hyperlink w:anchor="page54">
              <w:r>
                <w:rPr>
                  <w:rFonts w:ascii="Arial" w:cs="Arial" w:eastAsia="Arial" w:hAnsi="Arial"/>
                  <w:sz w:val="13"/>
                  <w:szCs w:val="13"/>
                  <w:color w:val="0000EE"/>
                </w:rPr>
                <w:t>Exhibits</w:t>
              </w:r>
            </w:hyperlink>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42"/>
        </w:trPr>
        <w:tc>
          <w:tcPr>
            <w:tcW w:w="540" w:type="dxa"/>
            <w:vAlign w:val="bottom"/>
            <w:tcBorders>
              <w:bottom w:val="single" w:sz="8" w:color="0000EE"/>
            </w:tcBorders>
          </w:tcPr>
          <w:p>
            <w:pPr>
              <w:spacing w:after="0" w:line="143" w:lineRule="exact"/>
              <w:rPr>
                <w:rFonts w:ascii="Arial" w:cs="Arial" w:eastAsia="Arial" w:hAnsi="Arial"/>
                <w:sz w:val="13"/>
                <w:szCs w:val="13"/>
                <w:color w:val="0000EE"/>
                <w:w w:val="83"/>
              </w:rPr>
            </w:pPr>
            <w:hyperlink w:anchor="page55">
              <w:r>
                <w:rPr>
                  <w:rFonts w:ascii="Arial" w:cs="Arial" w:eastAsia="Arial" w:hAnsi="Arial"/>
                  <w:sz w:val="13"/>
                  <w:szCs w:val="13"/>
                  <w:color w:val="0000EE"/>
                  <w:w w:val="83"/>
                </w:rPr>
                <w:t>Signatures</w:t>
              </w:r>
            </w:hyperlink>
          </w:p>
        </w:tc>
        <w:tc>
          <w:tcPr>
            <w:tcW w:w="620" w:type="dxa"/>
            <w:vAlign w:val="bottom"/>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In this Quarterly Report on Form 10-Q, “we,” “our,” “us,” “Aptevo,” and “the Company” refer to Aptevo Therapeutics Inc. and, where appropriate, its consolidated subsidiaries.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t>PART I—FINANCIAL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Aptevo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September 30, 2018</w:t>
            </w:r>
          </w:p>
        </w:tc>
        <w:tc>
          <w:tcPr>
            <w:tcW w:w="220" w:type="dxa"/>
            <w:vAlign w:val="bottom"/>
          </w:tcPr>
          <w:p>
            <w:pPr>
              <w:spacing w:after="0"/>
              <w:rPr>
                <w:sz w:val="10"/>
                <w:szCs w:val="1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December 31, 2017</w:t>
            </w:r>
          </w:p>
        </w:tc>
      </w:tr>
      <w:tr>
        <w:trPr>
          <w:trHeight w:val="152"/>
        </w:trPr>
        <w:tc>
          <w:tcPr>
            <w:tcW w:w="7900" w:type="dxa"/>
            <w:vAlign w:val="bottom"/>
            <w:tcBorders>
              <w:top w:val="single" w:sz="8" w:color="CFF0FC"/>
            </w:tcBorders>
            <w:shd w:val="clear" w:color="auto" w:fill="CFF0FC"/>
          </w:tcPr>
          <w:p>
            <w:pPr>
              <w:ind w:left="36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28,447</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7,095</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Short-term investments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9,192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73,688</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6,202</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2,141</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Inventories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3,969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1,028</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Prepaid expenses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5,195</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4,022</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Other current assets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6,990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6,710</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Restricted cash</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2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FF0FC"/>
          </w:tcPr>
          <w:p>
            <w:pPr>
              <w:spacing w:after="0"/>
              <w:rPr>
                <w:sz w:val="14"/>
                <w:szCs w:val="14"/>
                <w:color w:val="auto"/>
              </w:rPr>
            </w:pPr>
          </w:p>
        </w:tc>
      </w:tr>
      <w:tr>
        <w:trPr>
          <w:trHeight w:val="152"/>
        </w:trPr>
        <w:tc>
          <w:tcPr>
            <w:tcW w:w="7900" w:type="dxa"/>
            <w:vAlign w:val="bottom"/>
          </w:tcPr>
          <w:p>
            <w:pPr>
              <w:ind w:left="340"/>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60,395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95,084</w:t>
            </w:r>
          </w:p>
        </w:tc>
        <w:tc>
          <w:tcPr>
            <w:tcW w:w="140" w:type="dxa"/>
            <w:vAlign w:val="bottom"/>
          </w:tcPr>
          <w:p>
            <w:pPr>
              <w:spacing w:after="0"/>
              <w:rPr>
                <w:sz w:val="13"/>
                <w:szCs w:val="13"/>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Restricted cash, net of current portion</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7,448</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Property and equipment, net</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5,608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5,843</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Intangible assets, net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5,458</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6,080</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72"/>
        </w:trPr>
        <w:tc>
          <w:tcPr>
            <w:tcW w:w="7900" w:type="dxa"/>
            <w:vAlign w:val="bottom"/>
            <w:tcBorders>
              <w:top w:val="single" w:sz="8" w:color="CFF0FC"/>
              <w:bottom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Total assets</w:t>
            </w:r>
          </w:p>
        </w:tc>
        <w:tc>
          <w:tcPr>
            <w:tcW w:w="22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78,934</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117,007</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51"/>
        </w:trPr>
        <w:tc>
          <w:tcPr>
            <w:tcW w:w="7900" w:type="dxa"/>
            <w:vAlign w:val="bottom"/>
          </w:tcPr>
          <w:p>
            <w:pPr>
              <w:ind w:left="248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Current liabilities:</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Accounts payable and other accrued liabilities</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9,808</w:t>
            </w:r>
          </w:p>
        </w:tc>
        <w:tc>
          <w:tcPr>
            <w:tcW w:w="28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7,350</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Accrued compensation</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3,875</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4,626</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Sales rebates and discounts payable</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936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623</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Current portion of long-term debt</w:t>
            </w: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Other short-term liabilities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2,578</w:t>
            </w:r>
          </w:p>
        </w:tc>
        <w:tc>
          <w:tcPr>
            <w:tcW w:w="140" w:type="dxa"/>
            <w:vAlign w:val="bottom"/>
            <w:tcBorders>
              <w:bottom w:val="single" w:sz="8" w:color="CFF0FC"/>
            </w:tcBorders>
          </w:tcPr>
          <w:p>
            <w:pPr>
              <w:spacing w:after="0"/>
              <w:rPr>
                <w:sz w:val="14"/>
                <w:szCs w:val="14"/>
                <w:color w:val="auto"/>
              </w:rPr>
            </w:pPr>
          </w:p>
        </w:tc>
      </w:tr>
      <w:tr>
        <w:trPr>
          <w:trHeight w:val="152"/>
        </w:trPr>
        <w:tc>
          <w:tcPr>
            <w:tcW w:w="79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15,442</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18,510</w:t>
            </w:r>
          </w:p>
        </w:tc>
        <w:tc>
          <w:tcPr>
            <w:tcW w:w="140" w:type="dxa"/>
            <w:vAlign w:val="bottom"/>
            <w:shd w:val="clear" w:color="auto" w:fill="CFF0FC"/>
          </w:tcPr>
          <w:p>
            <w:pPr>
              <w:spacing w:after="0"/>
              <w:rPr>
                <w:sz w:val="13"/>
                <w:szCs w:val="13"/>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Long-term debt, net</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19,143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15,728</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349</w:t>
            </w:r>
          </w:p>
        </w:tc>
        <w:tc>
          <w:tcPr>
            <w:tcW w:w="2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734</w:t>
            </w:r>
          </w:p>
        </w:tc>
        <w:tc>
          <w:tcPr>
            <w:tcW w:w="140" w:type="dxa"/>
            <w:vAlign w:val="bottom"/>
            <w:shd w:val="clear" w:color="auto" w:fill="CFF0FC"/>
          </w:tcPr>
          <w:p>
            <w:pPr>
              <w:spacing w:after="0"/>
              <w:rPr>
                <w:sz w:val="14"/>
                <w:szCs w:val="14"/>
                <w:color w:val="auto"/>
              </w:rPr>
            </w:pPr>
          </w:p>
        </w:tc>
      </w:tr>
      <w:tr>
        <w:trPr>
          <w:trHeight w:val="152"/>
        </w:trPr>
        <w:tc>
          <w:tcPr>
            <w:tcW w:w="7900" w:type="dxa"/>
            <w:vAlign w:val="bottom"/>
            <w:tcBorders>
              <w:bottom w:val="single" w:sz="8" w:color="CFF0FC"/>
            </w:tcBorders>
          </w:tcPr>
          <w:p>
            <w:pPr>
              <w:ind w:left="34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34,934</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34,972</w:t>
            </w:r>
          </w:p>
        </w:tc>
        <w:tc>
          <w:tcPr>
            <w:tcW w:w="140" w:type="dxa"/>
            <w:vAlign w:val="bottom"/>
            <w:tcBorders>
              <w:bottom w:val="single" w:sz="8" w:color="CFF0FC"/>
            </w:tcBorders>
          </w:tcPr>
          <w:p>
            <w:pPr>
              <w:spacing w:after="0"/>
              <w:rPr>
                <w:sz w:val="13"/>
                <w:szCs w:val="13"/>
                <w:color w:val="auto"/>
              </w:rPr>
            </w:pPr>
          </w:p>
        </w:tc>
      </w:tr>
      <w:tr>
        <w:trPr>
          <w:trHeight w:val="152"/>
        </w:trPr>
        <w:tc>
          <w:tcPr>
            <w:tcW w:w="7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Stockholders' equity:</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4"/>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 $0.001 par value; 15,000,000 shares authorized, zero shares</w:t>
            </w: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2"/>
        </w:trPr>
        <w:tc>
          <w:tcPr>
            <w:tcW w:w="7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issued or outstanding</w:t>
            </w: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53"/>
        </w:trPr>
        <w:tc>
          <w:tcPr>
            <w:tcW w:w="7900" w:type="dxa"/>
            <w:vAlign w:val="bottom"/>
          </w:tcPr>
          <w:p>
            <w:pPr>
              <w:spacing w:after="0"/>
              <w:rPr>
                <w:sz w:val="20"/>
                <w:szCs w:val="20"/>
                <w:color w:val="auto"/>
              </w:rPr>
            </w:pPr>
            <w:r>
              <w:rPr>
                <w:rFonts w:ascii="Arial" w:cs="Arial" w:eastAsia="Arial" w:hAnsi="Arial"/>
                <w:sz w:val="13"/>
                <w:szCs w:val="13"/>
                <w:color w:val="auto"/>
              </w:rPr>
              <w:t>Common stock: $0.001 par value; 500,000,000 shares authorized; 22,677,270</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7900" w:type="dxa"/>
            <w:vAlign w:val="bottom"/>
          </w:tcPr>
          <w:p>
            <w:pPr>
              <w:ind w:left="100"/>
              <w:spacing w:after="0"/>
              <w:rPr>
                <w:sz w:val="20"/>
                <w:szCs w:val="20"/>
                <w:color w:val="auto"/>
              </w:rPr>
            </w:pPr>
            <w:r>
              <w:rPr>
                <w:rFonts w:ascii="Arial" w:cs="Arial" w:eastAsia="Arial" w:hAnsi="Arial"/>
                <w:sz w:val="13"/>
                <w:szCs w:val="13"/>
                <w:color w:val="auto"/>
              </w:rPr>
              <w:t>and 21,605,716 shares issued and outstanding at September 30, 2018 and</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7900" w:type="dxa"/>
            <w:vAlign w:val="bottom"/>
          </w:tcPr>
          <w:p>
            <w:pPr>
              <w:ind w:left="100"/>
              <w:spacing w:after="0"/>
              <w:rPr>
                <w:sz w:val="20"/>
                <w:szCs w:val="20"/>
                <w:color w:val="auto"/>
              </w:rPr>
            </w:pPr>
            <w:r>
              <w:rPr>
                <w:rFonts w:ascii="Arial" w:cs="Arial" w:eastAsia="Arial" w:hAnsi="Arial"/>
                <w:sz w:val="13"/>
                <w:szCs w:val="13"/>
                <w:color w:val="auto"/>
              </w:rPr>
              <w:t>December 31, 2017, respectively</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Additional paid-in capital</w:t>
            </w: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157,258</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155,837</w:t>
            </w:r>
          </w:p>
        </w:tc>
        <w:tc>
          <w:tcPr>
            <w:tcW w:w="140" w:type="dxa"/>
            <w:vAlign w:val="bottom"/>
            <w:shd w:val="clear" w:color="auto" w:fill="CFF0FC"/>
          </w:tcPr>
          <w:p>
            <w:pPr>
              <w:spacing w:after="0"/>
              <w:rPr>
                <w:sz w:val="14"/>
                <w:szCs w:val="14"/>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Accumulated deficit</w:t>
            </w:r>
          </w:p>
        </w:tc>
        <w:tc>
          <w:tcPr>
            <w:tcW w:w="22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(113,279)</w:t>
            </w:r>
          </w:p>
        </w:tc>
        <w:tc>
          <w:tcPr>
            <w:tcW w:w="22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(73,719)</w:t>
            </w:r>
          </w:p>
        </w:tc>
      </w:tr>
      <w:tr>
        <w:trPr>
          <w:trHeight w:val="152"/>
        </w:trPr>
        <w:tc>
          <w:tcPr>
            <w:tcW w:w="79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Total stockholders' equity</w:t>
            </w: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44,000</w:t>
            </w:r>
          </w:p>
        </w:tc>
        <w:tc>
          <w:tcPr>
            <w:tcW w:w="2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82,035</w:t>
            </w:r>
          </w:p>
        </w:tc>
        <w:tc>
          <w:tcPr>
            <w:tcW w:w="140" w:type="dxa"/>
            <w:vAlign w:val="bottom"/>
            <w:tcBorders>
              <w:bottom w:val="single" w:sz="8" w:color="CFF0FC"/>
            </w:tcBorders>
          </w:tcPr>
          <w:p>
            <w:pPr>
              <w:spacing w:after="0"/>
              <w:rPr>
                <w:sz w:val="13"/>
                <w:szCs w:val="13"/>
                <w:color w:val="auto"/>
              </w:rPr>
            </w:pPr>
          </w:p>
        </w:tc>
      </w:tr>
      <w:tr>
        <w:trPr>
          <w:trHeight w:val="161"/>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 liabilities and stockholders' equity</w:t>
            </w: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78,934</w:t>
            </w:r>
          </w:p>
        </w:tc>
        <w:tc>
          <w:tcPr>
            <w:tcW w:w="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117,007</w:t>
            </w:r>
          </w:p>
        </w:tc>
        <w:tc>
          <w:tcPr>
            <w:tcW w:w="140" w:type="dxa"/>
            <w:vAlign w:val="bottom"/>
            <w:tcBorders>
              <w:bottom w:val="single" w:sz="8" w:color="CFF0FC"/>
            </w:tcBorders>
            <w:shd w:val="clear" w:color="auto" w:fill="CFF0FC"/>
          </w:tcPr>
          <w:p>
            <w:pPr>
              <w:spacing w:after="0"/>
              <w:rPr>
                <w:sz w:val="13"/>
                <w:szCs w:val="13"/>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3"/>
          <w:szCs w:val="13"/>
          <w:b w:val="1"/>
          <w:bCs w:val="1"/>
          <w:color w:val="auto"/>
        </w:rPr>
        <w:t>Aptevo Therapeutics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except share and per share amounts,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4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0"/>
                <w:szCs w:val="10"/>
                <w:b w:val="1"/>
                <w:bCs w:val="1"/>
                <w:color w:val="auto"/>
                <w:w w:val="98"/>
              </w:rPr>
              <w:t>For the Three Months Ended September 30,</w:t>
            </w:r>
          </w:p>
        </w:tc>
        <w:tc>
          <w:tcPr>
            <w:tcW w:w="220" w:type="dxa"/>
            <w:vAlign w:val="bottom"/>
          </w:tcPr>
          <w:p>
            <w:pPr>
              <w:spacing w:after="0"/>
              <w:rPr>
                <w:sz w:val="10"/>
                <w:szCs w:val="10"/>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0"/>
                <w:szCs w:val="10"/>
                <w:b w:val="1"/>
                <w:bCs w:val="1"/>
                <w:color w:val="auto"/>
                <w:w w:val="98"/>
              </w:rPr>
              <w:t>For the Nine Months Ended September 30,</w:t>
            </w:r>
          </w:p>
        </w:tc>
        <w:tc>
          <w:tcPr>
            <w:tcW w:w="0" w:type="dxa"/>
            <w:vAlign w:val="bottom"/>
          </w:tcPr>
          <w:p>
            <w:pPr>
              <w:spacing w:after="0"/>
              <w:rPr>
                <w:sz w:val="1"/>
                <w:szCs w:val="1"/>
                <w:color w:val="auto"/>
              </w:rPr>
            </w:pPr>
          </w:p>
        </w:tc>
      </w:tr>
      <w:tr>
        <w:trPr>
          <w:trHeight w:val="104"/>
        </w:trPr>
        <w:tc>
          <w:tcPr>
            <w:tcW w:w="4400" w:type="dxa"/>
            <w:vAlign w:val="bottom"/>
            <w:tcBorders>
              <w:bottom w:val="single" w:sz="8" w:color="CFF0FC"/>
            </w:tcBorders>
          </w:tcPr>
          <w:p>
            <w:pPr>
              <w:spacing w:after="0"/>
              <w:rPr>
                <w:sz w:val="9"/>
                <w:szCs w:val="9"/>
                <w:color w:val="auto"/>
              </w:rPr>
            </w:pPr>
          </w:p>
        </w:tc>
        <w:tc>
          <w:tcPr>
            <w:tcW w:w="1540" w:type="dxa"/>
            <w:vAlign w:val="bottom"/>
            <w:tcBorders>
              <w:bottom w:val="single" w:sz="8" w:color="CFF0FC"/>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17"/>
              <w:spacing w:after="0" w:line="104"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top w:val="single" w:sz="8" w:color="auto"/>
              <w:bottom w:val="single" w:sz="8" w:color="CFF0FC"/>
            </w:tcBorders>
          </w:tcPr>
          <w:p>
            <w:pPr>
              <w:spacing w:after="0"/>
              <w:rPr>
                <w:sz w:val="9"/>
                <w:szCs w:val="9"/>
                <w:color w:val="auto"/>
              </w:rPr>
            </w:pPr>
          </w:p>
        </w:tc>
        <w:tc>
          <w:tcPr>
            <w:tcW w:w="100" w:type="dxa"/>
            <w:vAlign w:val="bottom"/>
            <w:tcBorders>
              <w:top w:val="single" w:sz="8" w:color="auto"/>
              <w:bottom w:val="single" w:sz="8" w:color="CFF0FC"/>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437"/>
              <w:spacing w:after="0" w:line="104"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417"/>
              <w:spacing w:after="0" w:line="104"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top w:val="single" w:sz="8" w:color="auto"/>
              <w:bottom w:val="single" w:sz="8" w:color="CFF0FC"/>
            </w:tcBorders>
          </w:tcPr>
          <w:p>
            <w:pPr>
              <w:spacing w:after="0"/>
              <w:rPr>
                <w:sz w:val="9"/>
                <w:szCs w:val="9"/>
                <w:color w:val="auto"/>
              </w:rPr>
            </w:pPr>
          </w:p>
        </w:tc>
        <w:tc>
          <w:tcPr>
            <w:tcW w:w="100" w:type="dxa"/>
            <w:vAlign w:val="bottom"/>
            <w:tcBorders>
              <w:top w:val="single" w:sz="8" w:color="auto"/>
              <w:bottom w:val="single" w:sz="8" w:color="CFF0FC"/>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417"/>
              <w:spacing w:after="0" w:line="104"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Revenues: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80"/>
              <w:spacing w:after="0"/>
              <w:rPr>
                <w:sz w:val="20"/>
                <w:szCs w:val="20"/>
                <w:color w:val="auto"/>
              </w:rPr>
            </w:pPr>
            <w:r>
              <w:rPr>
                <w:rFonts w:ascii="Arial" w:cs="Arial" w:eastAsia="Arial" w:hAnsi="Arial"/>
                <w:sz w:val="13"/>
                <w:szCs w:val="13"/>
                <w:color w:val="auto"/>
              </w:rPr>
              <w:t>Product sales</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5,824</w:t>
            </w:r>
          </w:p>
        </w:tc>
        <w:tc>
          <w:tcPr>
            <w:tcW w:w="1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2,506</w:t>
            </w:r>
          </w:p>
        </w:tc>
        <w:tc>
          <w:tcPr>
            <w:tcW w:w="24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16,721</w:t>
            </w:r>
          </w:p>
        </w:tc>
        <w:tc>
          <w:tcPr>
            <w:tcW w:w="16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8,131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Collaborations</w:t>
            </w: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Total revenues</w:t>
            </w:r>
          </w:p>
        </w:tc>
        <w:tc>
          <w:tcPr>
            <w:tcW w:w="15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6,172</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11,840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Costs and expenses:</w:t>
            </w: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80"/>
              <w:spacing w:after="0"/>
              <w:rPr>
                <w:sz w:val="20"/>
                <w:szCs w:val="20"/>
                <w:color w:val="auto"/>
              </w:rPr>
            </w:pPr>
            <w:r>
              <w:rPr>
                <w:rFonts w:ascii="Arial" w:cs="Arial" w:eastAsia="Arial" w:hAnsi="Arial"/>
                <w:sz w:val="13"/>
                <w:szCs w:val="13"/>
                <w:color w:val="auto"/>
              </w:rPr>
              <w:t>Cost of product sales</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1,872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Research and development</w:t>
            </w: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26,486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19,835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Selling, general and administrative</w:t>
            </w:r>
          </w:p>
        </w:tc>
        <w:tc>
          <w:tcPr>
            <w:tcW w:w="15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6,940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7,473</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21,556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Loss from operations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(12,127)</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(10,348)</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(38,073)</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(37,128)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80"/>
              <w:spacing w:after="0"/>
              <w:rPr>
                <w:sz w:val="20"/>
                <w:szCs w:val="20"/>
                <w:color w:val="auto"/>
              </w:rPr>
            </w:pPr>
            <w:r>
              <w:rPr>
                <w:rFonts w:ascii="Arial" w:cs="Arial" w:eastAsia="Arial" w:hAnsi="Arial"/>
                <w:sz w:val="13"/>
                <w:szCs w:val="13"/>
                <w:color w:val="auto"/>
              </w:rPr>
              <w:t>Other expense from continuing operations</w:t>
            </w: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(436)</w:t>
            </w:r>
          </w:p>
        </w:tc>
        <w:tc>
          <w:tcPr>
            <w:tcW w:w="2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Loss before income taxes</w:t>
            </w: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00" w:type="dxa"/>
            <w:vAlign w:val="bottom"/>
            <w:vMerge w:val="continue"/>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(12,601)</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(10,784)</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(39,665)</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(38,484)</w:t>
            </w:r>
          </w:p>
        </w:tc>
        <w:tc>
          <w:tcPr>
            <w:tcW w:w="0" w:type="dxa"/>
            <w:vAlign w:val="bottom"/>
          </w:tcPr>
          <w:p>
            <w:pPr>
              <w:spacing w:after="0"/>
              <w:rPr>
                <w:sz w:val="1"/>
                <w:szCs w:val="1"/>
                <w:color w:val="auto"/>
              </w:rPr>
            </w:pPr>
          </w:p>
        </w:tc>
      </w:tr>
      <w:tr>
        <w:trPr>
          <w:trHeight w:val="162"/>
        </w:trPr>
        <w:tc>
          <w:tcPr>
            <w:tcW w:w="44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Benefit from income taxes</w:t>
            </w:r>
          </w:p>
        </w:tc>
        <w:tc>
          <w:tcPr>
            <w:tcW w:w="15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13,768</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15,587</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Net (loss) income from continuing operations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(12,601)</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2,984</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(39,665)</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(22,897)</w:t>
            </w:r>
          </w:p>
        </w:tc>
        <w:tc>
          <w:tcPr>
            <w:tcW w:w="0" w:type="dxa"/>
            <w:vAlign w:val="bottom"/>
          </w:tcPr>
          <w:p>
            <w:pPr>
              <w:spacing w:after="0"/>
              <w:rPr>
                <w:sz w:val="1"/>
                <w:szCs w:val="1"/>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Discontinued operations (Note 2):</w:t>
            </w:r>
          </w:p>
        </w:tc>
        <w:tc>
          <w:tcPr>
            <w:tcW w:w="15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Income from discontinued operations, before income</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taxes</w:t>
            </w: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56,140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62,706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ind w:left="180"/>
              <w:spacing w:after="0"/>
              <w:rPr>
                <w:sz w:val="20"/>
                <w:szCs w:val="20"/>
                <w:color w:val="auto"/>
              </w:rPr>
            </w:pPr>
            <w:r>
              <w:rPr>
                <w:rFonts w:ascii="Arial" w:cs="Arial" w:eastAsia="Arial" w:hAnsi="Arial"/>
                <w:sz w:val="13"/>
                <w:szCs w:val="13"/>
                <w:color w:val="auto"/>
              </w:rPr>
              <w:t>Income tax expense</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(21,257)</w:t>
            </w:r>
          </w:p>
        </w:tc>
        <w:tc>
          <w:tcPr>
            <w:tcW w:w="2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(23,076)</w:t>
            </w:r>
          </w:p>
        </w:tc>
        <w:tc>
          <w:tcPr>
            <w:tcW w:w="0" w:type="dxa"/>
            <w:vAlign w:val="bottom"/>
          </w:tcPr>
          <w:p>
            <w:pPr>
              <w:spacing w:after="0"/>
              <w:rPr>
                <w:sz w:val="1"/>
                <w:szCs w:val="1"/>
                <w:color w:val="auto"/>
              </w:rPr>
            </w:pPr>
          </w:p>
        </w:tc>
      </w:tr>
      <w:tr>
        <w:trPr>
          <w:trHeight w:val="152"/>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Income from discontinued operations</w:t>
            </w:r>
          </w:p>
        </w:tc>
        <w:tc>
          <w:tcPr>
            <w:tcW w:w="15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34,883</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39,630</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0" w:type="dxa"/>
            <w:vAlign w:val="bottom"/>
          </w:tcPr>
          <w:p>
            <w:pPr>
              <w:spacing w:after="0"/>
              <w:rPr>
                <w:sz w:val="20"/>
                <w:szCs w:val="20"/>
                <w:color w:val="auto"/>
              </w:rPr>
            </w:pPr>
            <w:r>
              <w:rPr>
                <w:rFonts w:ascii="Arial" w:cs="Arial" w:eastAsia="Arial" w:hAnsi="Arial"/>
                <w:sz w:val="13"/>
                <w:szCs w:val="13"/>
                <w:color w:val="auto"/>
              </w:rPr>
              <w:t>Net (loss) income</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(12,562)</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37,867</w:t>
            </w:r>
          </w:p>
        </w:tc>
        <w:tc>
          <w:tcPr>
            <w:tcW w:w="24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(39,561)</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16,733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tcBorders>
              <w:top w:val="single" w:sz="8" w:color="CFF0FC"/>
            </w:tcBorders>
            <w:shd w:val="clear" w:color="auto" w:fill="CFF0FC"/>
          </w:tcPr>
          <w:p>
            <w:pPr>
              <w:spacing w:after="0"/>
              <w:rPr>
                <w:sz w:val="14"/>
                <w:szCs w:val="14"/>
                <w:color w:val="auto"/>
              </w:rPr>
            </w:pPr>
          </w:p>
        </w:tc>
        <w:tc>
          <w:tcPr>
            <w:tcW w:w="15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Basic net (loss) income per share:</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Net (loss) income from continuing operations</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(0.56)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Net income from discontinued operations</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1.63</w:t>
            </w:r>
          </w:p>
        </w:tc>
        <w:tc>
          <w:tcPr>
            <w:tcW w:w="24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(loss) income per basic share</w:t>
            </w: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00" w:type="dxa"/>
            <w:vAlign w:val="bottom"/>
            <w:vMerge w:val="continue"/>
            <w:shd w:val="clear" w:color="auto" w:fill="CFF0FC"/>
          </w:tcPr>
          <w:p>
            <w:pPr>
              <w:spacing w:after="0"/>
              <w:rPr>
                <w:sz w:val="14"/>
                <w:szCs w:val="14"/>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(0.56)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CFF0FC"/>
            </w:tcBorders>
          </w:tcPr>
          <w:p>
            <w:pPr>
              <w:spacing w:after="0" w:line="143" w:lineRule="exact"/>
              <w:rPr>
                <w:sz w:val="20"/>
                <w:szCs w:val="20"/>
                <w:color w:val="auto"/>
              </w:rPr>
            </w:pPr>
            <w:r>
              <w:rPr>
                <w:rFonts w:ascii="Arial" w:cs="Arial" w:eastAsia="Arial" w:hAnsi="Arial"/>
                <w:sz w:val="13"/>
                <w:szCs w:val="13"/>
                <w:color w:val="auto"/>
              </w:rPr>
              <w:t>Weighted-average shares used to compute per share</w:t>
            </w:r>
          </w:p>
        </w:tc>
        <w:tc>
          <w:tcPr>
            <w:tcW w:w="15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100"/>
              <w:spacing w:after="0"/>
              <w:rPr>
                <w:sz w:val="20"/>
                <w:szCs w:val="20"/>
                <w:color w:val="auto"/>
              </w:rPr>
            </w:pPr>
            <w:r>
              <w:rPr>
                <w:rFonts w:ascii="Arial" w:cs="Arial" w:eastAsia="Arial" w:hAnsi="Arial"/>
                <w:sz w:val="13"/>
                <w:szCs w:val="13"/>
                <w:color w:val="auto"/>
              </w:rPr>
              <w:t>calculations</w:t>
            </w: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22,672,721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21,385,381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22,431,146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21,138,332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400" w:type="dxa"/>
            <w:vAlign w:val="bottom"/>
          </w:tcPr>
          <w:p>
            <w:pPr>
              <w:spacing w:after="0"/>
              <w:rPr>
                <w:sz w:val="20"/>
                <w:szCs w:val="20"/>
                <w:color w:val="auto"/>
              </w:rPr>
            </w:pPr>
            <w:r>
              <w:rPr>
                <w:rFonts w:ascii="Arial" w:cs="Arial" w:eastAsia="Arial" w:hAnsi="Arial"/>
                <w:sz w:val="13"/>
                <w:szCs w:val="13"/>
                <w:color w:val="auto"/>
              </w:rPr>
              <w:t>Diluted net (loss) income per share:</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Net (loss) income from continuing operations</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(0.56)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Net income from discontinued operations</w:t>
            </w:r>
          </w:p>
        </w:tc>
        <w:tc>
          <w:tcPr>
            <w:tcW w:w="1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(loss) income per diluted share</w:t>
            </w: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400" w:type="dxa"/>
            <w:vAlign w:val="bottom"/>
            <w:vMerge w:val="continue"/>
            <w:shd w:val="clear" w:color="auto" w:fill="CFF0FC"/>
          </w:tcPr>
          <w:p>
            <w:pPr>
              <w:spacing w:after="0"/>
              <w:rPr>
                <w:sz w:val="14"/>
                <w:szCs w:val="14"/>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(0.56)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(1.77)</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0.79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Borders>
              <w:top w:val="single" w:sz="8" w:color="CFF0FC"/>
            </w:tcBorders>
          </w:tcPr>
          <w:p>
            <w:pPr>
              <w:spacing w:after="0" w:line="143" w:lineRule="exact"/>
              <w:rPr>
                <w:sz w:val="20"/>
                <w:szCs w:val="20"/>
                <w:color w:val="auto"/>
              </w:rPr>
            </w:pPr>
            <w:r>
              <w:rPr>
                <w:rFonts w:ascii="Arial" w:cs="Arial" w:eastAsia="Arial" w:hAnsi="Arial"/>
                <w:sz w:val="13"/>
                <w:szCs w:val="13"/>
                <w:color w:val="auto"/>
              </w:rPr>
              <w:t>Weighted-average shares used to compute per share</w:t>
            </w:r>
          </w:p>
        </w:tc>
        <w:tc>
          <w:tcPr>
            <w:tcW w:w="15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100"/>
              <w:spacing w:after="0"/>
              <w:rPr>
                <w:sz w:val="20"/>
                <w:szCs w:val="20"/>
                <w:color w:val="auto"/>
              </w:rPr>
            </w:pPr>
            <w:r>
              <w:rPr>
                <w:rFonts w:ascii="Arial" w:cs="Arial" w:eastAsia="Arial" w:hAnsi="Arial"/>
                <w:sz w:val="13"/>
                <w:szCs w:val="13"/>
                <w:color w:val="auto"/>
              </w:rPr>
              <w:t>calculations</w:t>
            </w:r>
          </w:p>
        </w:tc>
        <w:tc>
          <w:tcPr>
            <w:tcW w:w="1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22,672,721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21,672,269</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22,431,146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21,138,332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3"/>
          <w:szCs w:val="13"/>
          <w:b w:val="1"/>
          <w:bCs w:val="1"/>
          <w:color w:val="auto"/>
        </w:rPr>
        <w:t>Aptevo Therapeutics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COLSOLIDATED STATEMENTS OF COMPREHENSIVE LOSS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4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820" w:type="dxa"/>
            <w:vAlign w:val="bottom"/>
            <w:gridSpan w:val="7"/>
          </w:tcPr>
          <w:p>
            <w:pPr>
              <w:jc w:val="right"/>
              <w:ind w:right="580"/>
              <w:spacing w:after="0"/>
              <w:rPr>
                <w:sz w:val="20"/>
                <w:szCs w:val="20"/>
                <w:color w:val="auto"/>
              </w:rPr>
            </w:pPr>
            <w:r>
              <w:rPr>
                <w:rFonts w:ascii="Arial" w:cs="Arial" w:eastAsia="Arial" w:hAnsi="Arial"/>
                <w:sz w:val="10"/>
                <w:szCs w:val="10"/>
                <w:b w:val="1"/>
                <w:bCs w:val="1"/>
                <w:color w:val="auto"/>
              </w:rPr>
              <w:t>For the Three Months Ended September 30,</w:t>
            </w:r>
          </w:p>
        </w:tc>
        <w:tc>
          <w:tcPr>
            <w:tcW w:w="220" w:type="dxa"/>
            <w:vAlign w:val="bottom"/>
          </w:tcPr>
          <w:p>
            <w:pPr>
              <w:spacing w:after="0"/>
              <w:rPr>
                <w:sz w:val="10"/>
                <w:szCs w:val="10"/>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0"/>
                <w:szCs w:val="10"/>
                <w:b w:val="1"/>
                <w:bCs w:val="1"/>
                <w:color w:val="auto"/>
                <w:w w:val="98"/>
              </w:rPr>
              <w:t>For the Nine Months Ended September 30,</w:t>
            </w:r>
          </w:p>
        </w:tc>
        <w:tc>
          <w:tcPr>
            <w:tcW w:w="0" w:type="dxa"/>
            <w:vAlign w:val="bottom"/>
          </w:tcPr>
          <w:p>
            <w:pPr>
              <w:spacing w:after="0"/>
              <w:rPr>
                <w:sz w:val="1"/>
                <w:szCs w:val="1"/>
                <w:color w:val="auto"/>
              </w:rPr>
            </w:pPr>
          </w:p>
        </w:tc>
      </w:tr>
      <w:tr>
        <w:trPr>
          <w:trHeight w:val="104"/>
        </w:trPr>
        <w:tc>
          <w:tcPr>
            <w:tcW w:w="4480" w:type="dxa"/>
            <w:vAlign w:val="bottom"/>
            <w:tcBorders>
              <w:bottom w:val="single" w:sz="8" w:color="CFF0FC"/>
            </w:tcBorders>
          </w:tcPr>
          <w:p>
            <w:pPr>
              <w:spacing w:after="0"/>
              <w:rPr>
                <w:sz w:val="9"/>
                <w:szCs w:val="9"/>
                <w:color w:val="auto"/>
              </w:rPr>
            </w:pPr>
          </w:p>
        </w:tc>
        <w:tc>
          <w:tcPr>
            <w:tcW w:w="1460" w:type="dxa"/>
            <w:vAlign w:val="bottom"/>
            <w:tcBorders>
              <w:bottom w:val="single" w:sz="8" w:color="CFF0FC"/>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2018</w:t>
            </w:r>
          </w:p>
        </w:tc>
        <w:tc>
          <w:tcPr>
            <w:tcW w:w="440" w:type="dxa"/>
            <w:vAlign w:val="bottom"/>
            <w:tcBorders>
              <w:top w:val="single" w:sz="8" w:color="auto"/>
              <w:bottom w:val="single" w:sz="8" w:color="auto"/>
            </w:tcBorders>
          </w:tcPr>
          <w:p>
            <w:pPr>
              <w:spacing w:after="0"/>
              <w:rPr>
                <w:sz w:val="9"/>
                <w:szCs w:val="9"/>
                <w:color w:val="auto"/>
              </w:rPr>
            </w:pPr>
          </w:p>
        </w:tc>
        <w:tc>
          <w:tcPr>
            <w:tcW w:w="140" w:type="dxa"/>
            <w:vAlign w:val="bottom"/>
            <w:tcBorders>
              <w:top w:val="single" w:sz="8" w:color="auto"/>
              <w:bottom w:val="single" w:sz="8" w:color="CFF0FC"/>
            </w:tcBorders>
          </w:tcPr>
          <w:p>
            <w:pPr>
              <w:spacing w:after="0"/>
              <w:rPr>
                <w:sz w:val="9"/>
                <w:szCs w:val="9"/>
                <w:color w:val="auto"/>
              </w:rPr>
            </w:pPr>
          </w:p>
        </w:tc>
        <w:tc>
          <w:tcPr>
            <w:tcW w:w="100" w:type="dxa"/>
            <w:vAlign w:val="bottom"/>
            <w:tcBorders>
              <w:top w:val="single" w:sz="8" w:color="auto"/>
              <w:bottom w:val="single" w:sz="8" w:color="CFF0FC"/>
            </w:tcBorders>
          </w:tcPr>
          <w:p>
            <w:pPr>
              <w:spacing w:after="0"/>
              <w:rPr>
                <w:sz w:val="9"/>
                <w:szCs w:val="9"/>
                <w:color w:val="auto"/>
              </w:rPr>
            </w:pPr>
          </w:p>
        </w:tc>
        <w:tc>
          <w:tcPr>
            <w:tcW w:w="28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440"/>
              <w:spacing w:after="0" w:line="104" w:lineRule="exact"/>
              <w:rPr>
                <w:sz w:val="20"/>
                <w:szCs w:val="20"/>
                <w:color w:val="auto"/>
              </w:rPr>
            </w:pPr>
            <w:r>
              <w:rPr>
                <w:rFonts w:ascii="Arial" w:cs="Arial" w:eastAsia="Arial" w:hAnsi="Arial"/>
                <w:sz w:val="10"/>
                <w:szCs w:val="10"/>
                <w:b w:val="1"/>
                <w:bCs w:val="1"/>
                <w:color w:val="auto"/>
              </w:rPr>
              <w:t>2017</w:t>
            </w:r>
          </w:p>
        </w:tc>
        <w:tc>
          <w:tcPr>
            <w:tcW w:w="240" w:type="dxa"/>
            <w:vAlign w:val="bottom"/>
            <w:tcBorders>
              <w:bottom w:val="single" w:sz="8" w:color="CFF0FC"/>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ind w:right="421"/>
              <w:spacing w:after="0" w:line="104"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top w:val="single" w:sz="8" w:color="auto"/>
              <w:bottom w:val="single" w:sz="8" w:color="CFF0FC"/>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420"/>
              <w:spacing w:after="0" w:line="104"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480" w:type="dxa"/>
            <w:vAlign w:val="bottom"/>
            <w:shd w:val="clear" w:color="auto" w:fill="CFF0FC"/>
          </w:tcPr>
          <w:p>
            <w:pPr>
              <w:spacing w:after="0"/>
              <w:rPr>
                <w:sz w:val="20"/>
                <w:szCs w:val="20"/>
                <w:color w:val="auto"/>
              </w:rPr>
            </w:pPr>
            <w:r>
              <w:rPr>
                <w:rFonts w:ascii="Arial" w:cs="Arial" w:eastAsia="Arial" w:hAnsi="Arial"/>
                <w:sz w:val="13"/>
                <w:szCs w:val="13"/>
                <w:color w:val="auto"/>
              </w:rPr>
              <w:t>Net (loss) income</w:t>
            </w:r>
          </w:p>
        </w:tc>
        <w:tc>
          <w:tcPr>
            <w:tcW w:w="2180" w:type="dxa"/>
            <w:vAlign w:val="bottom"/>
            <w:gridSpan w:val="2"/>
            <w:shd w:val="clear" w:color="auto" w:fill="CFF0FC"/>
          </w:tcPr>
          <w:p>
            <w:pPr>
              <w:jc w:val="right"/>
              <w:ind w:right="609"/>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94"/>
              </w:rPr>
              <w:t>(12,562)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37,867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(39,561)</w:t>
            </w:r>
          </w:p>
        </w:tc>
        <w:tc>
          <w:tcPr>
            <w:tcW w:w="260" w:type="dxa"/>
            <w:vAlign w:val="bottom"/>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16,733</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480" w:type="dxa"/>
            <w:vAlign w:val="bottom"/>
          </w:tcPr>
          <w:p>
            <w:pPr>
              <w:spacing w:after="0"/>
              <w:rPr>
                <w:sz w:val="20"/>
                <w:szCs w:val="20"/>
                <w:color w:val="auto"/>
              </w:rPr>
            </w:pPr>
            <w:r>
              <w:rPr>
                <w:rFonts w:ascii="Arial" w:cs="Arial" w:eastAsia="Arial" w:hAnsi="Arial"/>
                <w:sz w:val="13"/>
                <w:szCs w:val="13"/>
                <w:color w:val="auto"/>
              </w:rPr>
              <w:t>Other comprehensive (loss) income:</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Unrealized gain (loss) on available-for-sale investments,</w:t>
            </w:r>
          </w:p>
        </w:tc>
        <w:tc>
          <w:tcPr>
            <w:tcW w:w="14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w:t>
            </w:r>
          </w:p>
        </w:tc>
        <w:tc>
          <w:tcPr>
            <w:tcW w:w="14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3"/>
                <w:szCs w:val="13"/>
                <w:color w:val="auto"/>
              </w:rPr>
              <w:t>Total comprehensive (loss) income</w:t>
            </w:r>
          </w:p>
        </w:tc>
        <w:tc>
          <w:tcPr>
            <w:tcW w:w="1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vMerge w:val="continue"/>
          </w:tcPr>
          <w:p>
            <w:pPr>
              <w:spacing w:after="0"/>
              <w:rPr>
                <w:sz w:val="14"/>
                <w:szCs w:val="14"/>
                <w:color w:val="auto"/>
              </w:rPr>
            </w:pPr>
          </w:p>
        </w:tc>
        <w:tc>
          <w:tcPr>
            <w:tcW w:w="2180" w:type="dxa"/>
            <w:vAlign w:val="bottom"/>
            <w:gridSpan w:val="2"/>
          </w:tcPr>
          <w:p>
            <w:pPr>
              <w:jc w:val="right"/>
              <w:ind w:right="609"/>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(12,528)</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37,843</w:t>
            </w:r>
          </w:p>
        </w:tc>
        <w:tc>
          <w:tcPr>
            <w:tcW w:w="24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(39,458)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16,723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3"/>
          <w:szCs w:val="13"/>
          <w:b w:val="1"/>
          <w:bCs w:val="1"/>
          <w:color w:val="auto"/>
        </w:rPr>
        <w:t>Aptevo Therapeutics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(in thousands,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7900" w:type="dxa"/>
            <w:vAlign w:val="bottom"/>
          </w:tcPr>
          <w:p>
            <w:pPr>
              <w:spacing w:after="0"/>
              <w:rPr>
                <w:sz w:val="10"/>
                <w:szCs w:val="10"/>
                <w:color w:val="auto"/>
              </w:rPr>
            </w:pPr>
          </w:p>
        </w:tc>
        <w:tc>
          <w:tcPr>
            <w:tcW w:w="29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0"/>
                <w:szCs w:val="10"/>
                <w:b w:val="1"/>
                <w:bCs w:val="1"/>
                <w:color w:val="auto"/>
              </w:rPr>
              <w:t>For the Nine Months Ended September 30,</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7900" w:type="dxa"/>
            <w:vAlign w:val="bottom"/>
            <w:tcBorders>
              <w:bottom w:val="single" w:sz="8" w:color="CFF0FC"/>
            </w:tcBorders>
          </w:tcPr>
          <w:p>
            <w:pPr>
              <w:spacing w:after="0"/>
              <w:rPr>
                <w:sz w:val="9"/>
                <w:szCs w:val="9"/>
                <w:color w:val="auto"/>
              </w:rPr>
            </w:pPr>
          </w:p>
        </w:tc>
        <w:tc>
          <w:tcPr>
            <w:tcW w:w="1020" w:type="dxa"/>
            <w:vAlign w:val="bottom"/>
            <w:tcBorders>
              <w:bottom w:val="single" w:sz="8" w:color="auto"/>
            </w:tcBorders>
          </w:tcPr>
          <w:p>
            <w:pPr>
              <w:jc w:val="right"/>
              <w:ind w:right="91"/>
              <w:spacing w:after="0" w:line="104" w:lineRule="exact"/>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CFF0FC"/>
            </w:tcBorders>
          </w:tcPr>
          <w:p>
            <w:pPr>
              <w:spacing w:after="0"/>
              <w:rPr>
                <w:sz w:val="9"/>
                <w:szCs w:val="9"/>
                <w:color w:val="auto"/>
              </w:rPr>
            </w:pPr>
          </w:p>
        </w:tc>
        <w:tc>
          <w:tcPr>
            <w:tcW w:w="1040" w:type="dxa"/>
            <w:vAlign w:val="bottom"/>
            <w:tcBorders>
              <w:bottom w:val="single" w:sz="8" w:color="auto"/>
            </w:tcBorders>
          </w:tcPr>
          <w:p>
            <w:pPr>
              <w:jc w:val="right"/>
              <w:ind w:right="91"/>
              <w:spacing w:after="0" w:line="104" w:lineRule="exact"/>
              <w:rPr>
                <w:sz w:val="20"/>
                <w:szCs w:val="20"/>
                <w:color w:val="auto"/>
              </w:rPr>
            </w:pPr>
            <w:r>
              <w:rPr>
                <w:rFonts w:ascii="Arial" w:cs="Arial" w:eastAsia="Arial" w:hAnsi="Arial"/>
                <w:sz w:val="10"/>
                <w:szCs w:val="10"/>
                <w:b w:val="1"/>
                <w:bCs w:val="1"/>
                <w:color w:val="auto"/>
              </w:rPr>
              <w:t>2017</w:t>
            </w: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79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Operating Activities</w:t>
            </w:r>
          </w:p>
        </w:tc>
        <w:tc>
          <w:tcPr>
            <w:tcW w:w="10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Net (loss) income</w:t>
            </w:r>
          </w:p>
        </w:tc>
        <w:tc>
          <w:tcPr>
            <w:tcW w:w="1020" w:type="dxa"/>
            <w:vAlign w:val="bottom"/>
          </w:tcPr>
          <w:p>
            <w:pPr>
              <w:jc w:val="right"/>
              <w:ind w:right="91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(39,561)</w:t>
            </w:r>
          </w:p>
        </w:tc>
        <w:tc>
          <w:tcPr>
            <w:tcW w:w="1040" w:type="dxa"/>
            <w:vAlign w:val="bottom"/>
          </w:tcPr>
          <w:p>
            <w:pPr>
              <w:jc w:val="right"/>
              <w:ind w:right="9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16,733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income to net cash used in operating activities: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Stock-based compensation</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1,647</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3,829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Depreciation and amortization</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1,784</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Non-cash interest expense and other</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691</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Gain on sale of Hyperimmune Business</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(52,538)</w:t>
            </w: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Income taxes</w:t>
            </w:r>
          </w:p>
        </w:tc>
        <w:tc>
          <w:tcPr>
            <w:tcW w:w="102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Changes in operating assets and liabilities: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Accounts receivable</w:t>
            </w:r>
          </w:p>
        </w:tc>
        <w:tc>
          <w:tcPr>
            <w:tcW w:w="10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(4,061)</w:t>
            </w: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Inventories</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(2,941)</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(1,570)</w:t>
            </w: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Accounts payable, accrued compensation and other liabilities</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(432)</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(1,941)</w:t>
            </w: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Sales rebates and discounts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313</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Assets and liabilities held for sale and amount due to Saol</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80"/>
              <w:spacing w:after="0"/>
              <w:rPr>
                <w:sz w:val="20"/>
                <w:szCs w:val="20"/>
                <w:color w:val="auto"/>
              </w:rPr>
            </w:pPr>
            <w:r>
              <w:rPr>
                <w:rFonts w:ascii="Arial" w:cs="Arial" w:eastAsia="Arial" w:hAnsi="Arial"/>
                <w:sz w:val="13"/>
                <w:szCs w:val="13"/>
                <w:color w:val="auto"/>
              </w:rPr>
              <w:t>Deferred revenue</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(3,707)</w:t>
            </w: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cash used in operating activities</w:t>
            </w: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900" w:type="dxa"/>
            <w:vAlign w:val="bottom"/>
            <w:vMerge w:val="continue"/>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(44,130)</w:t>
            </w: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(26,152)</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Proceeds from the maturity of investments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81,152</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Cash received from sale of Hyperimmune Business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60,477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Purchases of property and equipment</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(927)</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Purchases of investments</w:t>
            </w:r>
          </w:p>
        </w:tc>
        <w:tc>
          <w:tcPr>
            <w:tcW w:w="10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(16,534)</w:t>
            </w: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(29,291)</w:t>
            </w:r>
          </w:p>
        </w:tc>
        <w:tc>
          <w:tcPr>
            <w:tcW w:w="0" w:type="dxa"/>
            <w:vAlign w:val="bottom"/>
          </w:tcPr>
          <w:p>
            <w:pPr>
              <w:spacing w:after="0"/>
              <w:rPr>
                <w:sz w:val="1"/>
                <w:szCs w:val="1"/>
                <w:color w:val="auto"/>
              </w:rPr>
            </w:pPr>
          </w:p>
        </w:tc>
      </w:tr>
      <w:tr>
        <w:trPr>
          <w:trHeight w:val="152"/>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Net cash provided by investing activities</w:t>
            </w: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63,756</w:t>
            </w:r>
          </w:p>
        </w:tc>
        <w:tc>
          <w:tcPr>
            <w:tcW w:w="2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83,299</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90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Common stock issued upon exercise of stock options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3"/>
                <w:szCs w:val="13"/>
                <w:color w:val="auto"/>
              </w:rPr>
              <w:t>Payment of tax liability for vested equity awards</w:t>
            </w:r>
          </w:p>
        </w:tc>
        <w:tc>
          <w:tcPr>
            <w:tcW w:w="10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(797)</w:t>
            </w:r>
          </w:p>
        </w:tc>
        <w:tc>
          <w:tcPr>
            <w:tcW w:w="10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Debt issuance costs</w:t>
            </w:r>
          </w:p>
        </w:tc>
        <w:tc>
          <w:tcPr>
            <w:tcW w:w="10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(601)</w:t>
            </w:r>
          </w:p>
        </w:tc>
        <w:tc>
          <w:tcPr>
            <w:tcW w:w="10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Settlement of contribution receivable from former parent</w:t>
            </w: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provided by financing activities</w:t>
            </w: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(826)</w:t>
            </w:r>
          </w:p>
        </w:tc>
        <w:tc>
          <w:tcPr>
            <w:tcW w:w="10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900" w:type="dxa"/>
            <w:vAlign w:val="bottom"/>
          </w:tcPr>
          <w:p>
            <w:pPr>
              <w:spacing w:after="0"/>
              <w:rPr>
                <w:sz w:val="20"/>
                <w:szCs w:val="20"/>
                <w:color w:val="auto"/>
              </w:rPr>
            </w:pPr>
            <w:r>
              <w:rPr>
                <w:rFonts w:ascii="Arial" w:cs="Arial" w:eastAsia="Arial" w:hAnsi="Arial"/>
                <w:sz w:val="13"/>
                <w:szCs w:val="13"/>
                <w:color w:val="auto"/>
              </w:rPr>
              <w:t>Increase in cash, cash equivalents, and restricted cash</w:t>
            </w: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18,800</w:t>
            </w:r>
          </w:p>
        </w:tc>
        <w:tc>
          <w:tcPr>
            <w:tcW w:w="2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76,154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17,495</w:t>
            </w:r>
          </w:p>
        </w:tc>
        <w:tc>
          <w:tcPr>
            <w:tcW w:w="280" w:type="dxa"/>
            <w:vAlign w:val="bottom"/>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10,076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900" w:type="dxa"/>
            <w:vAlign w:val="bottom"/>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1020" w:type="dxa"/>
            <w:vAlign w:val="bottom"/>
            <w:tcBorders>
              <w:bottom w:val="single" w:sz="8" w:color="auto"/>
            </w:tcBorders>
          </w:tcPr>
          <w:p>
            <w:pPr>
              <w:jc w:val="right"/>
              <w:ind w:right="9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36,295</w:t>
            </w: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ind w:right="9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86,230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3"/>
          <w:szCs w:val="13"/>
          <w:b w:val="1"/>
          <w:bCs w:val="1"/>
          <w:color w:val="auto"/>
        </w:rPr>
        <w:t>Aptevo Therapeutics Inc.</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Notes to Unaudited Condensed Consolidated Financial Statements</w:t>
      </w:r>
    </w:p>
    <w:p>
      <w:pPr>
        <w:spacing w:after="0" w:line="162" w:lineRule="exact"/>
        <w:rPr>
          <w:sz w:val="20"/>
          <w:szCs w:val="20"/>
          <w:color w:val="auto"/>
        </w:rPr>
      </w:pPr>
    </w:p>
    <w:p>
      <w:pPr>
        <w:ind w:left="524"/>
        <w:spacing w:after="0"/>
        <w:rPr>
          <w:sz w:val="20"/>
          <w:szCs w:val="20"/>
          <w:color w:val="auto"/>
        </w:rPr>
      </w:pPr>
      <w:r>
        <w:rPr>
          <w:rFonts w:ascii="Arial" w:cs="Arial" w:eastAsia="Arial" w:hAnsi="Arial"/>
          <w:sz w:val="13"/>
          <w:szCs w:val="13"/>
          <w:b w:val="1"/>
          <w:bCs w:val="1"/>
          <w:color w:val="auto"/>
        </w:rPr>
        <w:t>Note 1. Nature of Business and Significant Accounting Policies</w:t>
      </w:r>
    </w:p>
    <w:p>
      <w:pPr>
        <w:spacing w:after="0" w:line="80" w:lineRule="exact"/>
        <w:rPr>
          <w:sz w:val="20"/>
          <w:szCs w:val="20"/>
          <w:color w:val="auto"/>
        </w:rPr>
      </w:pPr>
    </w:p>
    <w:p>
      <w:pPr>
        <w:ind w:left="524"/>
        <w:spacing w:after="0"/>
        <w:rPr>
          <w:sz w:val="20"/>
          <w:szCs w:val="20"/>
          <w:color w:val="auto"/>
        </w:rPr>
      </w:pPr>
      <w:r>
        <w:rPr>
          <w:rFonts w:ascii="Arial" w:cs="Arial" w:eastAsia="Arial" w:hAnsi="Arial"/>
          <w:sz w:val="13"/>
          <w:szCs w:val="13"/>
          <w:b w:val="1"/>
          <w:bCs w:val="1"/>
          <w:color w:val="auto"/>
        </w:rPr>
        <w:t>Organization and Basis of Presentation</w:t>
      </w:r>
    </w:p>
    <w:p>
      <w:pPr>
        <w:spacing w:after="0" w:line="84" w:lineRule="exact"/>
        <w:rPr>
          <w:sz w:val="20"/>
          <w:szCs w:val="20"/>
          <w:color w:val="auto"/>
        </w:rPr>
      </w:pPr>
    </w:p>
    <w:p>
      <w:pPr>
        <w:jc w:val="both"/>
        <w:ind w:left="4" w:firstLine="521"/>
        <w:spacing w:after="0" w:line="254" w:lineRule="auto"/>
        <w:rPr>
          <w:sz w:val="20"/>
          <w:szCs w:val="20"/>
          <w:color w:val="auto"/>
        </w:rPr>
      </w:pPr>
      <w:r>
        <w:rPr>
          <w:rFonts w:ascii="Arial" w:cs="Arial" w:eastAsia="Arial" w:hAnsi="Arial"/>
          <w:sz w:val="13"/>
          <w:szCs w:val="13"/>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areas of immuno-oncology and autoimmune and inflammatory diseases.</w:t>
      </w:r>
    </w:p>
    <w:p>
      <w:pPr>
        <w:spacing w:after="0" w:line="136" w:lineRule="exact"/>
        <w:rPr>
          <w:sz w:val="20"/>
          <w:szCs w:val="20"/>
          <w:color w:val="auto"/>
        </w:rPr>
      </w:pPr>
    </w:p>
    <w:p>
      <w:pPr>
        <w:jc w:val="both"/>
        <w:ind w:left="4" w:right="20" w:firstLine="521"/>
        <w:spacing w:after="0" w:line="356" w:lineRule="auto"/>
        <w:rPr>
          <w:sz w:val="20"/>
          <w:szCs w:val="20"/>
          <w:color w:val="auto"/>
        </w:rPr>
      </w:pPr>
      <w:r>
        <w:rPr>
          <w:rFonts w:ascii="Arial" w:cs="Arial" w:eastAsia="Arial" w:hAnsi="Arial"/>
          <w:sz w:val="11"/>
          <w:szCs w:val="11"/>
          <w:color w:val="auto"/>
        </w:rPr>
        <w:t>The accompanying condensed consolidated financial statements have been prepared in accordance with U.S. generally accepted accounting principles (GAAP). These condensed consolidated financial statements include all adjustments, which include normal recurring adjustments, necessary for the fair presentation of the Company’s financial position. We are currently trading on the Nasdaq Global Market under the symbol “APVO.”</w:t>
      </w:r>
    </w:p>
    <w:p>
      <w:pPr>
        <w:spacing w:after="0" w:line="83" w:lineRule="exact"/>
        <w:rPr>
          <w:sz w:val="20"/>
          <w:szCs w:val="20"/>
          <w:color w:val="auto"/>
        </w:rPr>
      </w:pPr>
    </w:p>
    <w:p>
      <w:pPr>
        <w:jc w:val="both"/>
        <w:ind w:left="4" w:firstLine="521"/>
        <w:spacing w:after="0" w:line="249" w:lineRule="auto"/>
        <w:rPr>
          <w:sz w:val="20"/>
          <w:szCs w:val="20"/>
          <w:color w:val="auto"/>
        </w:rPr>
      </w:pPr>
      <w:r>
        <w:rPr>
          <w:rFonts w:ascii="Arial" w:cs="Arial" w:eastAsia="Arial" w:hAnsi="Arial"/>
          <w:sz w:val="13"/>
          <w:szCs w:val="13"/>
          <w:color w:val="auto"/>
        </w:rPr>
        <w:t>On September 28, 2017, Aptevo completed the sale of its hyperimmune business which consisted of the following products: WinRho</w:t>
      </w:r>
      <w:r>
        <w:rPr>
          <w:rFonts w:ascii="Arial" w:cs="Arial" w:eastAsia="Arial" w:hAnsi="Arial"/>
          <w:sz w:val="10"/>
          <w:szCs w:val="10"/>
          <w:color w:val="auto"/>
        </w:rPr>
        <w:t>®</w:t>
      </w:r>
      <w:r>
        <w:rPr>
          <w:rFonts w:ascii="Arial" w:cs="Arial" w:eastAsia="Arial" w:hAnsi="Arial"/>
          <w:sz w:val="13"/>
          <w:szCs w:val="13"/>
          <w:color w:val="auto"/>
        </w:rPr>
        <w:t xml:space="preserve"> SDF for autoimmune platelet disorder and hemolytic disease of the newborn; HepaGam B</w:t>
      </w:r>
      <w:r>
        <w:rPr>
          <w:rFonts w:ascii="Arial" w:cs="Arial" w:eastAsia="Arial" w:hAnsi="Arial"/>
          <w:sz w:val="10"/>
          <w:szCs w:val="10"/>
          <w:color w:val="auto"/>
        </w:rPr>
        <w:t>®</w:t>
      </w:r>
      <w:r>
        <w:rPr>
          <w:rFonts w:ascii="Arial" w:cs="Arial" w:eastAsia="Arial" w:hAnsi="Arial"/>
          <w:sz w:val="13"/>
          <w:szCs w:val="13"/>
          <w:color w:val="auto"/>
        </w:rPr>
        <w:t xml:space="preserve"> for the prevention of Hepatitis B following liver transplantation and for treatment following hepatitis B exposure; and VARIZIG</w:t>
      </w:r>
      <w:r>
        <w:rPr>
          <w:rFonts w:ascii="Arial" w:cs="Arial" w:eastAsia="Arial" w:hAnsi="Arial"/>
          <w:sz w:val="10"/>
          <w:szCs w:val="10"/>
          <w:color w:val="auto"/>
        </w:rPr>
        <w:t>®</w:t>
      </w:r>
      <w:r>
        <w:rPr>
          <w:rFonts w:ascii="Arial" w:cs="Arial" w:eastAsia="Arial" w:hAnsi="Arial"/>
          <w:sz w:val="13"/>
          <w:szCs w:val="13"/>
          <w:color w:val="auto"/>
        </w:rPr>
        <w:t xml:space="preserve"> for treatment following exposure to varicella zoster virus for individuals with compromised immune systems (Hyperimmune Business). The Hyperimmune Business met all the conditions to be classified as a discontinued operation since the sale of Hyperimmune Business represented a strategic shift that will have a major effect on the Company’s operations and financial results. Aptevo will not have further significant involvement in the operations of the discontinued Hyperimmune Business. The operating results of the Hyperimmune Business are reported as income from discontinued operations, both pre-tax and net of tax, in the consolidated statements of operations for the nine months ended September 30, 2017 reporting period. See Note 2 - Sale of Hyperimmune Business for additional information.</w:t>
      </w:r>
    </w:p>
    <w:p>
      <w:pPr>
        <w:spacing w:after="0" w:line="211" w:lineRule="exact"/>
        <w:rPr>
          <w:sz w:val="20"/>
          <w:szCs w:val="20"/>
          <w:color w:val="auto"/>
        </w:rPr>
      </w:pPr>
    </w:p>
    <w:p>
      <w:pPr>
        <w:ind w:left="524"/>
        <w:spacing w:after="0"/>
        <w:rPr>
          <w:sz w:val="20"/>
          <w:szCs w:val="20"/>
          <w:color w:val="auto"/>
        </w:rPr>
      </w:pPr>
      <w:r>
        <w:rPr>
          <w:rFonts w:ascii="Arial" w:cs="Arial" w:eastAsia="Arial" w:hAnsi="Arial"/>
          <w:sz w:val="13"/>
          <w:szCs w:val="13"/>
          <w:b w:val="1"/>
          <w:bCs w:val="1"/>
          <w:color w:val="auto"/>
        </w:rPr>
        <w:t>Use of Estimates</w:t>
      </w:r>
    </w:p>
    <w:p>
      <w:pPr>
        <w:spacing w:after="0" w:line="84" w:lineRule="exact"/>
        <w:rPr>
          <w:sz w:val="20"/>
          <w:szCs w:val="20"/>
          <w:color w:val="auto"/>
        </w:rPr>
      </w:pPr>
    </w:p>
    <w:p>
      <w:pPr>
        <w:jc w:val="both"/>
        <w:ind w:left="4" w:right="20" w:firstLine="521"/>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w:t>
      </w:r>
    </w:p>
    <w:p>
      <w:pPr>
        <w:spacing w:after="0" w:line="202" w:lineRule="exact"/>
        <w:rPr>
          <w:sz w:val="20"/>
          <w:szCs w:val="20"/>
          <w:color w:val="auto"/>
        </w:rPr>
      </w:pPr>
    </w:p>
    <w:p>
      <w:pPr>
        <w:ind w:left="524"/>
        <w:spacing w:after="0"/>
        <w:rPr>
          <w:sz w:val="20"/>
          <w:szCs w:val="20"/>
          <w:color w:val="auto"/>
        </w:rPr>
      </w:pPr>
      <w:r>
        <w:rPr>
          <w:rFonts w:ascii="Arial" w:cs="Arial" w:eastAsia="Arial" w:hAnsi="Arial"/>
          <w:sz w:val="13"/>
          <w:szCs w:val="13"/>
          <w:b w:val="1"/>
          <w:bCs w:val="1"/>
          <w:color w:val="auto"/>
        </w:rPr>
        <w:t>Accounts Receivable</w:t>
      </w:r>
    </w:p>
    <w:p>
      <w:pPr>
        <w:spacing w:after="0" w:line="84" w:lineRule="exact"/>
        <w:rPr>
          <w:sz w:val="20"/>
          <w:szCs w:val="20"/>
          <w:color w:val="auto"/>
        </w:rPr>
      </w:pPr>
    </w:p>
    <w:p>
      <w:pPr>
        <w:jc w:val="both"/>
        <w:ind w:left="4" w:right="20" w:firstLine="521"/>
        <w:spacing w:after="0" w:line="264" w:lineRule="auto"/>
        <w:rPr>
          <w:sz w:val="20"/>
          <w:szCs w:val="20"/>
          <w:color w:val="auto"/>
        </w:rPr>
      </w:pPr>
      <w:r>
        <w:rPr>
          <w:rFonts w:ascii="Arial" w:cs="Arial" w:eastAsia="Arial" w:hAnsi="Arial"/>
          <w:sz w:val="13"/>
          <w:szCs w:val="13"/>
          <w:color w:val="auto"/>
        </w:rPr>
        <w:t>Aptevo records accounts receivable net of an allowance for doubtful accounts based upon its assessment of collectability, and of applicable discounts. Aptevo performs ongoing credit evaluations of its customers and generally does not require collateral.</w:t>
      </w:r>
    </w:p>
    <w:p>
      <w:pPr>
        <w:spacing w:after="0" w:line="230" w:lineRule="exact"/>
        <w:rPr>
          <w:sz w:val="20"/>
          <w:szCs w:val="20"/>
          <w:color w:val="auto"/>
        </w:rPr>
      </w:pPr>
    </w:p>
    <w:p>
      <w:pPr>
        <w:ind w:left="524"/>
        <w:spacing w:after="0"/>
        <w:rPr>
          <w:sz w:val="20"/>
          <w:szCs w:val="20"/>
          <w:color w:val="auto"/>
        </w:rPr>
      </w:pPr>
      <w:r>
        <w:rPr>
          <w:rFonts w:ascii="Arial" w:cs="Arial" w:eastAsia="Arial" w:hAnsi="Arial"/>
          <w:sz w:val="13"/>
          <w:szCs w:val="13"/>
          <w:b w:val="1"/>
          <w:bCs w:val="1"/>
          <w:color w:val="auto"/>
        </w:rPr>
        <w:t>Revenue Recognition</w:t>
      </w:r>
    </w:p>
    <w:p>
      <w:pPr>
        <w:spacing w:after="0" w:line="93" w:lineRule="exact"/>
        <w:rPr>
          <w:sz w:val="20"/>
          <w:szCs w:val="20"/>
          <w:color w:val="auto"/>
        </w:rPr>
      </w:pPr>
    </w:p>
    <w:p>
      <w:pPr>
        <w:jc w:val="both"/>
        <w:ind w:left="4" w:firstLine="521"/>
        <w:spacing w:after="0" w:line="293" w:lineRule="auto"/>
        <w:rPr>
          <w:sz w:val="20"/>
          <w:szCs w:val="20"/>
          <w:color w:val="auto"/>
        </w:rPr>
      </w:pPr>
      <w:r>
        <w:rPr>
          <w:rFonts w:ascii="Arial" w:cs="Arial" w:eastAsia="Arial" w:hAnsi="Arial"/>
          <w:sz w:val="11"/>
          <w:szCs w:val="11"/>
          <w:color w:val="auto"/>
        </w:rPr>
        <w:t>Effective January 1, 2018, we adopted Financial Accounting Standards Board (FASB) Accounting Standard Update (ASU) No. 2014-09, Revenue from Contracts with Customers (ASC 606) on a modified retrospective basis, which required the cumulative effect of the adoption to be recognized as an adjustment to opening retained earnings in the first period of 2018. For Aptevo, there was no financial impact for the cumulative effect of this change, and therefore there was no adjustment to opening retained earnings. This standard applies to all contracts with customers, except for contracts that are within the scope of other standards, such as leases, insurance, collaborative arrangements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w:t>
      </w:r>
    </w:p>
    <w:p>
      <w:pPr>
        <w:ind w:left="4" w:hanging="4"/>
        <w:spacing w:after="0" w:line="250" w:lineRule="auto"/>
        <w:tabs>
          <w:tab w:leader="none" w:pos="158" w:val="left"/>
        </w:tabs>
        <w:numPr>
          <w:ilvl w:val="0"/>
          <w:numId w:val="3"/>
        </w:numPr>
        <w:rPr>
          <w:rFonts w:ascii="Arial" w:cs="Arial" w:eastAsia="Arial" w:hAnsi="Arial"/>
          <w:sz w:val="13"/>
          <w:szCs w:val="13"/>
          <w:color w:val="auto"/>
        </w:rPr>
      </w:pPr>
      <w:r>
        <w:rPr>
          <w:rFonts w:ascii="Arial" w:cs="Arial" w:eastAsia="Arial" w:hAnsi="Arial"/>
          <w:sz w:val="13"/>
          <w:szCs w:val="13"/>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8" w:lineRule="exact"/>
        <w:rPr>
          <w:sz w:val="20"/>
          <w:szCs w:val="20"/>
          <w:color w:val="auto"/>
        </w:rPr>
      </w:pPr>
    </w:p>
    <w:p>
      <w:pPr>
        <w:jc w:val="both"/>
        <w:ind w:left="4" w:right="20" w:firstLine="521"/>
        <w:spacing w:after="0" w:line="286" w:lineRule="auto"/>
        <w:rPr>
          <w:sz w:val="20"/>
          <w:szCs w:val="20"/>
          <w:color w:val="auto"/>
        </w:rPr>
      </w:pPr>
      <w:r>
        <w:rPr>
          <w:rFonts w:ascii="Arial" w:cs="Arial" w:eastAsia="Arial" w:hAnsi="Arial"/>
          <w:sz w:val="12"/>
          <w:szCs w:val="12"/>
          <w:color w:val="auto"/>
        </w:rPr>
        <w:t>We only apply the five-step model to contracts when it is probable that we will collect the consideration we are entitled to in exchange for the goods or services we transfer to the customers. At contract inception, once the contract is determined to be within the scope of ASC 606, we assess the goods or services promised within each contract and identify, as a performance obligation, and assess whether each promised good or service is distinct. We then recognize as revenue the amount of the transaction price that is allocated to the respective performance obligation when (or as) the performance obligation is satisfied.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32409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4"/>
          </w:cols>
          <w:pgMar w:left="216" w:top="279" w:right="199" w:bottom="1440" w:gutter="0" w:footer="0" w:header="0"/>
        </w:sectPr>
      </w:pPr>
    </w:p>
    <w:bookmarkStart w:id="7" w:name="page8"/>
    <w:bookmarkEnd w:id="7"/>
    <w:p>
      <w:pPr>
        <w:ind w:left="520"/>
        <w:spacing w:after="0"/>
        <w:rPr>
          <w:sz w:val="20"/>
          <w:szCs w:val="20"/>
          <w:color w:val="auto"/>
        </w:rPr>
      </w:pPr>
      <w:r>
        <w:rPr>
          <w:rFonts w:ascii="Arial" w:cs="Arial" w:eastAsia="Arial" w:hAnsi="Arial"/>
          <w:sz w:val="13"/>
          <w:szCs w:val="13"/>
          <w:i w:val="1"/>
          <w:iCs w:val="1"/>
          <w:u w:val="single" w:color="auto"/>
          <w:color w:val="auto"/>
        </w:rPr>
        <w:t>Product Revenue, Net</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Aptevo has one marketed commercial product, IXINITY, a coagulation factor IX (recombinant) therapeutic indicated in adults and children 12 years of age and older with hemophilia B for control and prevention of bleeding episodes, and management of bleeding during operations.</w:t>
      </w:r>
    </w:p>
    <w:p>
      <w:pPr>
        <w:spacing w:after="0" w:line="129"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We sell IXINITY to a limited number of specialty distributors in the United States, collectively, our customers. These customers subsequently resell IXINITY to health care providers and patients. Revenue from product sales are recognized when the customer obtains control of the IXINITY product. Our customers provide us with a new order for every purchase of goods. This incorporates the terms and conditions of the contract, including pricing. Acceptance of the order is the point at which we are obligated to provide the product, and we have determined that each order represents a unique performance obligation. Product revenue is recorded at the amount we expect to receive, which is net of any rebates or chargebacks.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Reserves for Variable Consideration</w:t>
      </w:r>
    </w:p>
    <w:p>
      <w:pPr>
        <w:spacing w:after="0" w:line="80"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We have identified the following fees, discounts and rebates that result in consideration being variable: chargebacks, distributor and Group Purchasing Organizations (GPO) fees, government rebates, return rights, and patient assistance. As part of determining variable consideration we noted that although the distributors are our customers, there are additional indirect customers in the distribution chain to whom we make payments. These indirect customers are not customers; however, unless a distinct good or service is provided to us, payments to these indirect customers need to be accounted for as a reduction in the transaction price, and therefore constitute an element of variable consideration, under ASC 606. Further, if material, we would also account for returns as variable consideration.</w:t>
      </w:r>
    </w:p>
    <w:p>
      <w:pPr>
        <w:spacing w:after="0" w:line="122" w:lineRule="exact"/>
        <w:rPr>
          <w:sz w:val="20"/>
          <w:szCs w:val="20"/>
          <w:color w:val="auto"/>
        </w:rPr>
      </w:pPr>
    </w:p>
    <w:p>
      <w:pPr>
        <w:jc w:val="both"/>
        <w:ind w:right="20" w:firstLine="521"/>
        <w:spacing w:after="0" w:line="303" w:lineRule="auto"/>
        <w:rPr>
          <w:sz w:val="20"/>
          <w:szCs w:val="20"/>
          <w:color w:val="auto"/>
        </w:rPr>
      </w:pPr>
      <w:r>
        <w:rPr>
          <w:rFonts w:ascii="Arial" w:cs="Arial" w:eastAsia="Arial" w:hAnsi="Arial"/>
          <w:sz w:val="11"/>
          <w:szCs w:val="11"/>
          <w:color w:val="auto"/>
        </w:rPr>
        <w:t>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have established reserves for the following types of variable consideration:</w:t>
      </w:r>
    </w:p>
    <w:p>
      <w:pPr>
        <w:spacing w:after="0" w:line="156"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i w:val="1"/>
          <w:iCs w:val="1"/>
          <w:color w:val="auto"/>
        </w:rPr>
        <w:t xml:space="preserve">Chargebacks: </w:t>
      </w:r>
      <w:r>
        <w:rPr>
          <w:rFonts w:ascii="Arial" w:cs="Arial" w:eastAsia="Arial" w:hAnsi="Arial"/>
          <w:sz w:val="13"/>
          <w:szCs w:val="13"/>
          <w:color w:val="auto"/>
        </w:rPr>
        <w:t>We make payments to customers (in the form of credit memos) which are based on the difference between the price paid by the distributor and contracted prices paid by the authorized customers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distributor. Specialty pharmacies and other smaller specialty distributors buy the product from the distributors at prices agreed to in contracts with us, or if they are eligible, at government established prices (PHS/Medicaid/Medicare/VA prices). When the distributor sells the product at contracted prices lower than their acquisition price, the distributor is allowed to charge the difference between their price and the contract price paid by their customer to Aptevo. We refer to this as a “Chargeback”.</w:t>
      </w:r>
    </w:p>
    <w:p>
      <w:pPr>
        <w:spacing w:after="0" w:line="138"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These reserves are established in the same period that the related revenue is recognized, resulting in a reduction of product revenue and accounts receivable. Chargeback amounts are generally determined at the time of resale to the qualified healthcare provider by Customers, and we generally issue credits for such amounts within a few weeks of the Customer’s notification to us of the resale. Reserves for chargebacks consist of credits we expect to issue for units that remain in the distribution channel inventories at each reporting period end that we expect will be sold to qualified healthcare providers, and chargebacks that Customers have claimed but for which we have not yet issued a credit.</w:t>
      </w:r>
    </w:p>
    <w:p>
      <w:pPr>
        <w:spacing w:after="0" w:line="138"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i w:val="1"/>
          <w:iCs w:val="1"/>
          <w:color w:val="auto"/>
        </w:rPr>
        <w:t xml:space="preserve">Distribution, Dispensing, and Data Fees </w:t>
      </w:r>
      <w:r>
        <w:rPr>
          <w:rFonts w:ascii="Arial" w:cs="Arial" w:eastAsia="Arial" w:hAnsi="Arial"/>
          <w:sz w:val="13"/>
          <w:szCs w:val="13"/>
          <w:color w:val="auto"/>
        </w:rPr>
        <w:t>– We pay fees (in the form of direct payments) to the distributors and some indirect customers for distribution and dispensing of the products and for transmission of data.</w:t>
      </w:r>
      <w:r>
        <w:rPr>
          <w:rFonts w:ascii="Arial" w:cs="Arial" w:eastAsia="Arial" w:hAnsi="Arial"/>
          <w:sz w:val="13"/>
          <w:szCs w:val="13"/>
          <w:i w:val="1"/>
          <w:iCs w:val="1"/>
          <w:color w:val="auto"/>
        </w:rPr>
        <w:t xml:space="preserve"> </w:t>
      </w:r>
      <w:r>
        <w:rPr>
          <w:rFonts w:ascii="Arial" w:cs="Arial" w:eastAsia="Arial" w:hAnsi="Arial"/>
          <w:sz w:val="13"/>
          <w:szCs w:val="13"/>
          <w:color w:val="auto"/>
        </w:rPr>
        <w:t>Fees owed to our distributors is based on their purchases and is calculated as a direct percent of quarterly purchases. Although fees can vary from distributor to distributor, the fees associated with a specific sale is known at the time of the sale. Fees owed to GPOs are determined based on volume of indirect sales to GPS members.</w:t>
      </w:r>
    </w:p>
    <w:p>
      <w:pPr>
        <w:spacing w:after="0" w:line="136"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i w:val="1"/>
          <w:iCs w:val="1"/>
          <w:color w:val="auto"/>
        </w:rPr>
        <w:t xml:space="preserve">Government Rebates: </w:t>
      </w:r>
      <w:r>
        <w:rPr>
          <w:rFonts w:ascii="Arial" w:cs="Arial" w:eastAsia="Arial" w:hAnsi="Arial"/>
          <w:sz w:val="13"/>
          <w:szCs w:val="13"/>
          <w:color w:val="auto"/>
        </w:rPr>
        <w:t>Certain sales by the specialty pharmacies are to qualified PHS/Medicaid/Medicare/VA and other publicly insured patients. We have contracts with these agencies, some of which require rebates</w:t>
      </w:r>
      <w:r>
        <w:rPr>
          <w:rFonts w:ascii="Arial" w:cs="Arial" w:eastAsia="Arial" w:hAnsi="Arial"/>
          <w:sz w:val="13"/>
          <w:szCs w:val="13"/>
          <w:i w:val="1"/>
          <w:iCs w:val="1"/>
          <w:color w:val="auto"/>
        </w:rPr>
        <w:t xml:space="preserve"> </w:t>
      </w:r>
      <w:r>
        <w:rPr>
          <w:rFonts w:ascii="Arial" w:cs="Arial" w:eastAsia="Arial" w:hAnsi="Arial"/>
          <w:sz w:val="13"/>
          <w:szCs w:val="13"/>
          <w:color w:val="auto"/>
        </w:rPr>
        <w:t>for sales made under these programs. We estimate our Medicaid and Medicare rebates based upon a range of possible outcomes that are probability-weighted for the estimated payor mix. These reserves are recorded in the same period the related revenue is recognized, resulting in a reduction of product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8" w:name="page9"/>
    <w:bookmarkEnd w:id="8"/>
    <w:p>
      <w:pPr>
        <w:jc w:val="both"/>
        <w:spacing w:after="0" w:line="322" w:lineRule="auto"/>
        <w:rPr>
          <w:sz w:val="20"/>
          <w:szCs w:val="20"/>
          <w:color w:val="auto"/>
        </w:rPr>
      </w:pPr>
      <w:r>
        <w:rPr>
          <w:rFonts w:ascii="Arial" w:cs="Arial" w:eastAsia="Arial" w:hAnsi="Arial"/>
          <w:sz w:val="11"/>
          <w:szCs w:val="11"/>
          <w:color w:val="auto"/>
        </w:rPr>
        <w:t>revenue and the establishment of a current liability that is included in accrued expenses on the consolidated balance sheet. For Medicare, we also estimate the number of patients in the prescription drug coverage gap for whom we will owe an additional liability under the Medicare Part D program. Our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period end.</w:t>
      </w:r>
    </w:p>
    <w:p>
      <w:pPr>
        <w:spacing w:after="0" w:line="102"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i w:val="1"/>
          <w:iCs w:val="1"/>
          <w:color w:val="auto"/>
        </w:rPr>
        <w:t xml:space="preserve">Commercial Rebates: </w:t>
      </w:r>
      <w:r>
        <w:rPr>
          <w:rFonts w:ascii="Arial" w:cs="Arial" w:eastAsia="Arial" w:hAnsi="Arial"/>
          <w:sz w:val="13"/>
          <w:szCs w:val="13"/>
          <w:color w:val="auto"/>
        </w:rPr>
        <w:t>We currently offer the option to receive a rebate based on volume thresholds. This rebate is estimated at the time of the sale and is based on the terms of the Customer agreements. There are</w:t>
      </w:r>
      <w:r>
        <w:rPr>
          <w:rFonts w:ascii="Arial" w:cs="Arial" w:eastAsia="Arial" w:hAnsi="Arial"/>
          <w:sz w:val="13"/>
          <w:szCs w:val="13"/>
          <w:i w:val="1"/>
          <w:iCs w:val="1"/>
          <w:color w:val="auto"/>
        </w:rPr>
        <w:t xml:space="preserve"> </w:t>
      </w:r>
      <w:r>
        <w:rPr>
          <w:rFonts w:ascii="Arial" w:cs="Arial" w:eastAsia="Arial" w:hAnsi="Arial"/>
          <w:sz w:val="13"/>
          <w:szCs w:val="13"/>
          <w:color w:val="auto"/>
        </w:rPr>
        <w:t>minimum volume requirements in order to receive this rebate, which varies per Customer.</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 xml:space="preserve">Cash Discounts: </w:t>
      </w:r>
      <w:r>
        <w:rPr>
          <w:rFonts w:ascii="Arial" w:cs="Arial" w:eastAsia="Arial" w:hAnsi="Arial"/>
          <w:sz w:val="12"/>
          <w:szCs w:val="12"/>
          <w:color w:val="auto"/>
        </w:rPr>
        <w:t>Most customers have the option to receive a cash discount for early payment. Typically, cash discounts are two-percent of the invoice amount if the payment is made within thirty days.</w:t>
      </w:r>
    </w:p>
    <w:p>
      <w:pPr>
        <w:spacing w:after="0" w:line="168"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i w:val="1"/>
          <w:iCs w:val="1"/>
          <w:color w:val="auto"/>
        </w:rPr>
        <w:t xml:space="preserve">Patient Assistance: </w:t>
      </w:r>
      <w:r>
        <w:rPr>
          <w:rFonts w:ascii="Arial" w:cs="Arial" w:eastAsia="Arial" w:hAnsi="Arial"/>
          <w:sz w:val="13"/>
          <w:szCs w:val="13"/>
          <w:color w:val="auto"/>
        </w:rPr>
        <w:t>Certain patients maybe eligible for the IXINITY Savings Program, which provides for up to $12,000 annual benefit to assist with co-payments. Historically, this has been insignificant to our</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as the total benefit provided since sales of IXINITY commenced in 2015 has been less than $0.1 million.</w:t>
      </w:r>
    </w:p>
    <w:p>
      <w:pPr>
        <w:spacing w:after="0" w:line="129"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The calculation of the accrual for co-pay assistance is based on an estimate of claims and the cost per claim that we expect to receive associated with product that has been recognized as revenue, but remains in the distribution channel inventories at period end.</w:t>
      </w:r>
    </w:p>
    <w:p>
      <w:pPr>
        <w:spacing w:after="0" w:line="129"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i w:val="1"/>
          <w:iCs w:val="1"/>
          <w:color w:val="auto"/>
        </w:rPr>
        <w:t xml:space="preserve">Returns: </w:t>
      </w:r>
      <w:r>
        <w:rPr>
          <w:rFonts w:ascii="Arial" w:cs="Arial" w:eastAsia="Arial" w:hAnsi="Arial"/>
          <w:sz w:val="12"/>
          <w:szCs w:val="12"/>
          <w:color w:val="auto"/>
        </w:rPr>
        <w:t>If product is damaged in shipment (either observable or hidden), or the incorrect number of units was shipped (for example, if the customer ordered 1 unit and 10 were shipped) these are allowable returns</w:t>
      </w:r>
      <w:r>
        <w:rPr>
          <w:rFonts w:ascii="Arial" w:cs="Arial" w:eastAsia="Arial" w:hAnsi="Arial"/>
          <w:sz w:val="12"/>
          <w:szCs w:val="12"/>
          <w:i w:val="1"/>
          <w:iCs w:val="1"/>
          <w:color w:val="auto"/>
        </w:rPr>
        <w:t xml:space="preserve"> </w:t>
      </w:r>
      <w:r>
        <w:rPr>
          <w:rFonts w:ascii="Arial" w:cs="Arial" w:eastAsia="Arial" w:hAnsi="Arial"/>
          <w:sz w:val="12"/>
          <w:szCs w:val="12"/>
          <w:color w:val="auto"/>
        </w:rPr>
        <w:t>under our Return Policy (a component of the distributor agreements). However, as product is generally received by the distributors within 1 business day, and product damage is usually noted upon inspection, we would not recognize revenue on those shipments as part of our normal revenue recognition process. To date there has not been any such damaged product and we expect any such issues to be rare; however, if returns were to become significant a reserve estimate would be developed and accounted for as a reduction of revenue. See Note 11 – Revenue Reserves for additional information.</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Reclassifications</w:t>
      </w:r>
    </w:p>
    <w:p>
      <w:pPr>
        <w:spacing w:after="0" w:line="93"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Our financial statements reflect all adjustments that we consider to be necessary for the fair presentation of our results, due to changes in accounting policies, sale of our Hyperimmune Business, and the reclassification of restricted cash.</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Income Taxes</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Orphan Drug tax credit carry forwards. Deferred tax assets and liabilities are measured using enacted tax rates expected to apply to taxable income in the year in which those temporary differences are expected to be recovered or settled.</w:t>
      </w:r>
    </w:p>
    <w:p>
      <w:pPr>
        <w:spacing w:after="0" w:line="136"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future taxable income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139"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9" w:name="page10"/>
    <w:bookmarkEnd w:id="9"/>
    <w:p>
      <w:pPr>
        <w:ind w:left="520"/>
        <w:spacing w:after="0"/>
        <w:rPr>
          <w:sz w:val="20"/>
          <w:szCs w:val="20"/>
          <w:color w:val="auto"/>
        </w:rPr>
      </w:pPr>
      <w:r>
        <w:rPr>
          <w:rFonts w:ascii="Arial" w:cs="Arial" w:eastAsia="Arial" w:hAnsi="Arial"/>
          <w:sz w:val="13"/>
          <w:szCs w:val="13"/>
          <w:b w:val="1"/>
          <w:bCs w:val="1"/>
          <w:color w:val="auto"/>
        </w:rPr>
        <w:t>New Accounting Pronouncements</w:t>
      </w:r>
    </w:p>
    <w:p>
      <w:pPr>
        <w:spacing w:after="0" w:line="84"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In February 2016, the FASB issued ASU No. 2016-02, Leases (ASC 842). Under the new guidance, lessees will be required to recognize a lease liability and a right-of-use asset for all leases (with the exception of short term leases) at the commencement date. Lessor accounting under ASU 2016-02 is largely unchanged. ASU 2016-02 is effective for annual and interim periods beginning on or after December 15, 2018 and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ASU will be effective for Aptevo starting on January 1, 2019 and we will apply the practical expedients thereby continuing to account for leases that commenced before the effective date in accordance with previous GAAP. We are continuing to evaluate the impact of the application of this ASU on our condensed consolidated financial statements and disclosures. We expect to recognize right of use assets and lease liabilities, primarily for our office building lease.</w:t>
      </w:r>
    </w:p>
    <w:p>
      <w:pPr>
        <w:spacing w:after="0" w:line="140" w:lineRule="exact"/>
        <w:rPr>
          <w:sz w:val="20"/>
          <w:szCs w:val="20"/>
          <w:color w:val="auto"/>
        </w:rPr>
      </w:pPr>
    </w:p>
    <w:p>
      <w:pPr>
        <w:jc w:val="both"/>
        <w:ind w:firstLine="521"/>
        <w:spacing w:after="0" w:line="306" w:lineRule="auto"/>
        <w:rPr>
          <w:sz w:val="20"/>
          <w:szCs w:val="20"/>
          <w:color w:val="auto"/>
        </w:rPr>
      </w:pPr>
      <w:r>
        <w:rPr>
          <w:rFonts w:ascii="Arial" w:cs="Arial" w:eastAsia="Arial" w:hAnsi="Arial"/>
          <w:sz w:val="11"/>
          <w:szCs w:val="11"/>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third quarter of 2018, we filed our U.S. federal tax return for 2017. While we do not anticipate any remaining adjustments related to the Tax Reform Act, the measurement period under SAB 118 remains open as there is still anticipated guidance clarifying certain aspects of the Tax Reform Act. Any subsequent adjustments will be recorded in the fourth quarter of 2018 when the full analysis is complete.</w:t>
      </w:r>
    </w:p>
    <w:p>
      <w:pPr>
        <w:spacing w:after="0" w:line="129"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In June 2018, the FASB issued ASU No. 2018-07, Compensation – Stock Compensation (ASC 718) – Improvements to Nonemployee Share-Based Payment Accounting, which aligns the accounting for share-based payment awards issued to employees and nonemployees. Under ASU 2018-07,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The new standard is effective on January 1, 2019, and early adoption is permitted, including in interim periods, and should be applied to all new awards granted after the date of adoption. We are currently assessing the potential impact this ASU will have on our consolidated results of operations, financial position, and cash flows.</w:t>
      </w:r>
    </w:p>
    <w:p>
      <w:pPr>
        <w:spacing w:after="0" w:line="196"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In August 2018, the SEC adopted amendments to certain disclosure requirements in Securities Act Release No. 33-10532, Disclosure Update and Simplification. Among the amendments is the requirement to present any changes in shareholders’ equity in the interim financial statements, either in a separate statement or footnote in the quarterly reports on Form 10-Q. The amendments became effective on November 5, 2018; however, the SEC has stated it will not object if filers first include the additional disclosure for the first quarter that begins after the effective date of the amendments. As a result, Aptevo will first provide the additional disclosure in its quarterly report on Form 10-Q for the first quarter of 2019. We will be adding an additional disclosure to our filing, but currently do not anticipate there to be any financial impact.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Recently Adopted Standards</w:t>
      </w:r>
    </w:p>
    <w:p>
      <w:pPr>
        <w:spacing w:after="0" w:line="84"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In May 2014, the FASB issued ASU No. 2014-09, Revenue from Contracts with Customers (ASC 606), and has subsequently issued a number of amendments to ASU 2014-09. We adopted this standard effective January 1, 2018 on a modified retrospective basis. The new standard as amended, provides a single comprehensive model to be used in the accounting for revenue arising from contracts with customers and supersedes current revenue recognition guidance, included industry-specific guidance.</w:t>
      </w:r>
    </w:p>
    <w:p>
      <w:pPr>
        <w:spacing w:after="0" w:line="136"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In November 2016, the FASB issued ASU 2016-18, Statement of Cash Flows: Restricted cash. This standard requires that a statement of cash flows explain the change during the period in the total of cash, cash equivalents, restricted cash, and restricted cash equivalents when reconciling the beginning-of and ending-of period total amounts shown on the statement of cash flows. This guidance is effective for fiscal years beginning after December 15, 2017, and interim periods within those fiscal years. We adopted this standard effective January 1, 2018. Upon adoption of this standard, we applied the retrospective transition method for each period presented. As a result of this adoption we adjusted our consolidated statement of cash flows to include $10.4 million of restricted cash at December 31, 2017 and $7.8 million in restricted cash at September 30, 2018. See Note 5 – Cash, cash equivalents, and restricted cash for additional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09" w:right="199" w:bottom="1440" w:gutter="0" w:footer="0" w:header="0"/>
        </w:sectPr>
      </w:pPr>
    </w:p>
    <w:bookmarkStart w:id="10" w:name="page11"/>
    <w:bookmarkEnd w:id="10"/>
    <w:p>
      <w:pPr>
        <w:jc w:val="both"/>
        <w:ind w:right="20" w:firstLine="521"/>
        <w:spacing w:after="0" w:line="356" w:lineRule="auto"/>
        <w:rPr>
          <w:sz w:val="20"/>
          <w:szCs w:val="20"/>
          <w:color w:val="auto"/>
        </w:rPr>
      </w:pPr>
      <w:r>
        <w:rPr>
          <w:rFonts w:ascii="Arial" w:cs="Arial" w:eastAsia="Arial" w:hAnsi="Arial"/>
          <w:sz w:val="11"/>
          <w:szCs w:val="11"/>
          <w:color w:val="auto"/>
        </w:rPr>
        <w:t>In August 2016, the FASB issued ASU 2016-15, Statement of Cash Flows (ASC 230): Classification of Certain Cash Receipts and Cash Payments, which clarifies the classification and presentation of eight specific cash flow issues in the statement of cash flows. We adopted this standard effective January 1, 2018. Adoption of this standard had no impact on our condensed consolidated statements of cash flows or related disclosures.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2. Sale of Hyperimmune Business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On August 31, 2017, Aptevo entered into a sale agreement with Saol International Limited (Saol) whereby Aptevo agreed to sell its Hyperimmune Business. The sale was completed on September 28, 2017.</w:t>
      </w:r>
    </w:p>
    <w:p>
      <w:pPr>
        <w:spacing w:after="0" w:line="19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At the closing of the sale, Saol paid an amount equal to $65.0 million, including $3.3 million which was deposited in an escrow account for the purposes of satisfying any indemnification claims brought by Saol pursuant to the LLC purchase agreement. In addition, Aptevo may receive (1) an additional potential milestone payment totaling up to $7.5 million related to the achievement of certain gross profit milestones and (2) up to $2.0 million related to collection of certain accounts receivable after the closing.</w:t>
      </w:r>
    </w:p>
    <w:p>
      <w:pPr>
        <w:spacing w:after="0" w:line="203"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The following table represents the components attributable to the Hyperimmune Business presented as income from discontinued operations in the unaudited condensed consolidated statements of operations (in thousands):</w:t>
      </w:r>
    </w:p>
    <w:p>
      <w:pPr>
        <w:sectPr>
          <w:pgSz w:w="11900" w:h="16838" w:orient="portrait"/>
          <w:cols w:equalWidth="0" w:num="1">
            <w:col w:w="11480"/>
          </w:cols>
          <w:pgMar w:left="220" w:top="436" w:right="199" w:bottom="1440" w:gutter="0" w:footer="0" w:header="0"/>
        </w:sectPr>
      </w:pPr>
    </w:p>
    <w:p>
      <w:pPr>
        <w:spacing w:after="0" w:line="181" w:lineRule="exact"/>
        <w:rPr>
          <w:sz w:val="20"/>
          <w:szCs w:val="20"/>
          <w:color w:val="auto"/>
        </w:rPr>
      </w:pPr>
    </w:p>
    <w:p>
      <w:pPr>
        <w:jc w:val="center"/>
        <w:ind w:left="6040"/>
        <w:spacing w:after="0"/>
        <w:rPr>
          <w:sz w:val="20"/>
          <w:szCs w:val="20"/>
          <w:color w:val="auto"/>
        </w:rPr>
      </w:pPr>
      <w:r>
        <w:rPr>
          <w:rFonts w:ascii="Arial" w:cs="Arial" w:eastAsia="Arial" w:hAnsi="Arial"/>
          <w:sz w:val="9"/>
          <w:szCs w:val="9"/>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10160</wp:posOffset>
            </wp:positionV>
            <wp:extent cx="163703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030" cy="6350"/>
                    </a:xfrm>
                    <a:prstGeom prst="rect">
                      <a:avLst/>
                    </a:prstGeom>
                    <a:noFill/>
                  </pic:spPr>
                </pic:pic>
              </a:graphicData>
            </a:graphic>
          </wp:anchor>
        </w:drawing>
      </w:r>
    </w:p>
    <w:p>
      <w:pPr>
        <w:spacing w:after="0" w:line="5" w:lineRule="exact"/>
        <w:rPr>
          <w:sz w:val="20"/>
          <w:szCs w:val="20"/>
          <w:color w:val="auto"/>
        </w:rPr>
      </w:pPr>
    </w:p>
    <w:p>
      <w:pPr>
        <w:ind w:left="6420"/>
        <w:spacing w:after="0"/>
        <w:tabs>
          <w:tab w:leader="none" w:pos="7800" w:val="left"/>
        </w:tabs>
        <w:rPr>
          <w:sz w:val="20"/>
          <w:szCs w:val="20"/>
          <w:color w:val="auto"/>
        </w:rPr>
      </w:pPr>
      <w:r>
        <w:rPr>
          <w:rFonts w:ascii="Arial" w:cs="Arial" w:eastAsia="Arial" w:hAnsi="Arial"/>
          <w:sz w:val="10"/>
          <w:szCs w:val="10"/>
          <w:b w:val="1"/>
          <w:bCs w:val="1"/>
          <w:color w:val="auto"/>
        </w:rPr>
        <w:t>2018</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500"/>
        <w:spacing w:after="0"/>
        <w:rPr>
          <w:sz w:val="20"/>
          <w:szCs w:val="20"/>
          <w:color w:val="auto"/>
        </w:rPr>
      </w:pPr>
      <w:r>
        <w:rPr>
          <w:rFonts w:ascii="Arial" w:cs="Arial" w:eastAsia="Arial" w:hAnsi="Arial"/>
          <w:sz w:val="9"/>
          <w:szCs w:val="9"/>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10160</wp:posOffset>
            </wp:positionV>
            <wp:extent cx="164274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2745" cy="6350"/>
                    </a:xfrm>
                    <a:prstGeom prst="rect">
                      <a:avLst/>
                    </a:prstGeom>
                    <a:noFill/>
                  </pic:spPr>
                </pic:pic>
              </a:graphicData>
            </a:graphic>
          </wp:anchor>
        </w:drawing>
      </w:r>
    </w:p>
    <w:p>
      <w:pPr>
        <w:spacing w:after="0" w:line="5"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0"/>
          <w:szCs w:val="10"/>
          <w:b w:val="1"/>
          <w:bCs w:val="1"/>
          <w:color w:val="auto"/>
        </w:rPr>
        <w:t>2018</w:t>
      </w:r>
      <w:r>
        <w:rPr>
          <w:sz w:val="20"/>
          <w:szCs w:val="20"/>
          <w:color w:val="auto"/>
        </w:rPr>
        <w:tab/>
      </w:r>
      <w:r>
        <w:rPr>
          <w:rFonts w:ascii="Arial" w:cs="Arial" w:eastAsia="Arial" w:hAnsi="Arial"/>
          <w:sz w:val="10"/>
          <w:szCs w:val="10"/>
          <w:b w:val="1"/>
          <w:bCs w:val="1"/>
          <w:color w:val="auto"/>
        </w:rPr>
        <w:t>2017</w:t>
      </w:r>
    </w:p>
    <w:p>
      <w:pPr>
        <w:spacing w:after="0" w:line="1" w:lineRule="exact"/>
        <w:rPr>
          <w:sz w:val="20"/>
          <w:szCs w:val="20"/>
          <w:color w:val="auto"/>
        </w:rPr>
      </w:pPr>
    </w:p>
    <w:p>
      <w:pPr>
        <w:sectPr>
          <w:pgSz w:w="11900" w:h="16838" w:orient="portrait"/>
          <w:cols w:equalWidth="0" w:num="2">
            <w:col w:w="8400" w:space="720"/>
            <w:col w:w="2360"/>
          </w:cols>
          <w:pgMar w:left="220" w:top="436" w:right="19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Revenues:</w:t>
            </w:r>
          </w:p>
        </w:tc>
        <w:tc>
          <w:tcPr>
            <w:tcW w:w="148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180"/>
              <w:spacing w:after="0"/>
              <w:rPr>
                <w:sz w:val="20"/>
                <w:szCs w:val="20"/>
                <w:color w:val="auto"/>
              </w:rPr>
            </w:pPr>
            <w:r>
              <w:rPr>
                <w:rFonts w:ascii="Arial" w:cs="Arial" w:eastAsia="Arial" w:hAnsi="Arial"/>
                <w:sz w:val="13"/>
                <w:szCs w:val="13"/>
                <w:color w:val="auto"/>
              </w:rPr>
              <w:t>Product sales</w:t>
            </w:r>
          </w:p>
        </w:tc>
        <w:tc>
          <w:tcPr>
            <w:tcW w:w="202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6,380</w:t>
            </w:r>
          </w:p>
        </w:tc>
        <w:tc>
          <w:tcPr>
            <w:tcW w:w="240" w:type="dxa"/>
            <w:vAlign w:val="bottom"/>
          </w:tcPr>
          <w:p>
            <w:pPr>
              <w:spacing w:after="0"/>
              <w:rPr>
                <w:sz w:val="14"/>
                <w:szCs w:val="14"/>
                <w:color w:val="auto"/>
              </w:rPr>
            </w:pP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18,886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Total revenues</w:t>
            </w:r>
          </w:p>
        </w:tc>
        <w:tc>
          <w:tcPr>
            <w:tcW w:w="148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6,380</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18,886</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3"/>
                <w:szCs w:val="13"/>
                <w:color w:val="auto"/>
              </w:rPr>
              <w:t>Costs and expenses:</w:t>
            </w: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Cost of product sales</w:t>
            </w:r>
          </w:p>
        </w:tc>
        <w:tc>
          <w:tcPr>
            <w:tcW w:w="14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20" w:type="dxa"/>
            <w:vAlign w:val="bottom"/>
            <w:shd w:val="clear" w:color="auto" w:fill="CFF0FC"/>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2,586</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7,730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180"/>
              <w:spacing w:after="0"/>
              <w:rPr>
                <w:sz w:val="20"/>
                <w:szCs w:val="20"/>
                <w:color w:val="auto"/>
              </w:rPr>
            </w:pPr>
            <w:r>
              <w:rPr>
                <w:rFonts w:ascii="Arial" w:cs="Arial" w:eastAsia="Arial" w:hAnsi="Arial"/>
                <w:sz w:val="13"/>
                <w:szCs w:val="13"/>
                <w:color w:val="auto"/>
              </w:rPr>
              <w:t>Research and development</w:t>
            </w: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Selling, general and administrative</w:t>
            </w:r>
          </w:p>
        </w:tc>
        <w:tc>
          <w:tcPr>
            <w:tcW w:w="148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189</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4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Income from operations</w:t>
            </w:r>
          </w:p>
        </w:tc>
        <w:tc>
          <w:tcPr>
            <w:tcW w:w="14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3,602</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10,168</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60" w:type="dxa"/>
            <w:vAlign w:val="bottom"/>
            <w:shd w:val="clear" w:color="auto" w:fill="CFF0FC"/>
          </w:tcPr>
          <w:p>
            <w:pPr>
              <w:spacing w:after="0"/>
              <w:rPr>
                <w:sz w:val="20"/>
                <w:szCs w:val="20"/>
                <w:color w:val="auto"/>
              </w:rPr>
            </w:pPr>
            <w:r>
              <w:rPr>
                <w:rFonts w:ascii="Arial" w:cs="Arial" w:eastAsia="Arial" w:hAnsi="Arial"/>
                <w:sz w:val="13"/>
                <w:szCs w:val="13"/>
                <w:color w:val="auto"/>
              </w:rPr>
              <w:t>Gain on sale of Hyperimmune Business</w:t>
            </w:r>
          </w:p>
        </w:tc>
        <w:tc>
          <w:tcPr>
            <w:tcW w:w="148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52,538</w:t>
            </w:r>
          </w:p>
        </w:tc>
        <w:tc>
          <w:tcPr>
            <w:tcW w:w="24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52,538</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60" w:type="dxa"/>
            <w:vAlign w:val="bottom"/>
          </w:tcPr>
          <w:p>
            <w:pPr>
              <w:spacing w:after="0"/>
              <w:rPr>
                <w:sz w:val="20"/>
                <w:szCs w:val="20"/>
                <w:color w:val="auto"/>
              </w:rPr>
            </w:pPr>
            <w:r>
              <w:rPr>
                <w:rFonts w:ascii="Arial" w:cs="Arial" w:eastAsia="Arial" w:hAnsi="Arial"/>
                <w:sz w:val="13"/>
                <w:szCs w:val="13"/>
                <w:color w:val="auto"/>
              </w:rPr>
              <w:t>Other income</w:t>
            </w:r>
          </w:p>
        </w:tc>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82"/>
              </w:rPr>
              <w:t>39</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Income from discontinued operations, before income taxes</w:t>
            </w:r>
          </w:p>
        </w:tc>
        <w:tc>
          <w:tcPr>
            <w:tcW w:w="148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ind w:left="480"/>
              <w:spacing w:after="0"/>
              <w:rPr>
                <w:sz w:val="20"/>
                <w:szCs w:val="20"/>
                <w:color w:val="auto"/>
              </w:rPr>
            </w:pPr>
            <w:r>
              <w:rPr>
                <w:rFonts w:ascii="Arial" w:cs="Arial" w:eastAsia="Arial" w:hAnsi="Arial"/>
                <w:sz w:val="13"/>
                <w:szCs w:val="13"/>
                <w:color w:val="auto"/>
                <w:w w:val="82"/>
              </w:rPr>
              <w:t>39</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56,140</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26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62,706</w:t>
            </w: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tcPr>
          <w:p>
            <w:pPr>
              <w:ind w:left="180"/>
              <w:spacing w:after="0"/>
              <w:rPr>
                <w:sz w:val="20"/>
                <w:szCs w:val="20"/>
                <w:color w:val="auto"/>
              </w:rPr>
            </w:pPr>
            <w:r>
              <w:rPr>
                <w:rFonts w:ascii="Arial" w:cs="Arial" w:eastAsia="Arial" w:hAnsi="Arial"/>
                <w:sz w:val="13"/>
                <w:szCs w:val="13"/>
                <w:color w:val="auto"/>
              </w:rPr>
              <w:t>Income tax expense</w:t>
            </w: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(21,257)</w:t>
            </w:r>
          </w:p>
        </w:tc>
        <w:tc>
          <w:tcPr>
            <w:tcW w:w="5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(23,076)</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Income from discontinued operations</w:t>
            </w:r>
          </w:p>
        </w:tc>
        <w:tc>
          <w:tcPr>
            <w:tcW w:w="14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60" w:type="dxa"/>
            <w:vAlign w:val="bottom"/>
            <w:vMerge w:val="continue"/>
            <w:shd w:val="clear" w:color="auto" w:fill="CFF0FC"/>
          </w:tcPr>
          <w:p>
            <w:pPr>
              <w:spacing w:after="0"/>
              <w:rPr>
                <w:sz w:val="13"/>
                <w:szCs w:val="13"/>
                <w:color w:val="auto"/>
              </w:rPr>
            </w:pPr>
          </w:p>
        </w:tc>
        <w:tc>
          <w:tcPr>
            <w:tcW w:w="2020" w:type="dxa"/>
            <w:vAlign w:val="bottom"/>
            <w:gridSpan w:val="2"/>
            <w:shd w:val="clear" w:color="auto" w:fill="CFF0FC"/>
          </w:tcPr>
          <w:p>
            <w:pPr>
              <w:jc w:val="right"/>
              <w:ind w:right="4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ind w:left="480"/>
              <w:spacing w:after="0"/>
              <w:rPr>
                <w:sz w:val="20"/>
                <w:szCs w:val="20"/>
                <w:color w:val="auto"/>
              </w:rPr>
            </w:pPr>
            <w:r>
              <w:rPr>
                <w:rFonts w:ascii="Arial" w:cs="Arial" w:eastAsia="Arial" w:hAnsi="Arial"/>
                <w:sz w:val="13"/>
                <w:szCs w:val="13"/>
                <w:color w:val="auto"/>
                <w:w w:val="82"/>
              </w:rPr>
              <w:t>39</w:t>
            </w:r>
          </w:p>
        </w:tc>
        <w:tc>
          <w:tcPr>
            <w:tcW w:w="6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34,883</w:t>
            </w: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1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68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39,630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46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The net gain on sale of the Hyperimmune Business totaling, $52.7 million, was calculated as the difference between the fair value of the consideration received for the Hyperimmune Business, the carrying value of the net assets transferred to Saol, less the transaction costs incurred and a working capital adjustment. The net gain on sale of the business may be adjusted in future periods by the contingent consideration based upon the achievement of certain gross profit milestones and collection of certain outstanding accounts receivable.</w:t>
      </w:r>
    </w:p>
    <w:p>
      <w:pPr>
        <w:spacing w:after="0" w:line="13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 the three and nine months ended September 30, 2018, we recorded $0.0 million and $0.1 million, respectively, due to the collection of certain accounts receivable transferred to Saol during the sale. Amortization for the Hyperimmune Business was $0.3 million for the three months ended September 30, 2017, and $0.9 million for the nine months ended September 30, 2017. There was no depreciation, capital expenditures or other significant operating or investing non-cash items for the three and nine months ended September 30, 2018.</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3. Collaboration Agreements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Alligator</w:t>
      </w:r>
    </w:p>
    <w:p>
      <w:pPr>
        <w:spacing w:after="0" w:line="80"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On July 20, 2017, our wholly owned subsidiary Aptevo Research and Development LLC (Aptevo R&amp;D), entered into a collaboration and option agreement (Collaboration Agreement) with Alligator Bioscience AB (Alligator), pursuant to which Aptevo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which is designed to expand on the utility and effectiveness of therapeutic antibodies. Under this Collaboration Agreement, Alligator also granted to Aptevo a time-limited option to enter into a second agreement with Alligator for the joint development of a separate bispecific antibody.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type w:val="continuous"/>
        </w:sectPr>
      </w:pPr>
    </w:p>
    <w:bookmarkStart w:id="11" w:name="page12"/>
    <w:bookmarkEnd w:id="11"/>
    <w:p>
      <w:pPr>
        <w:jc w:val="both"/>
        <w:ind w:firstLine="521"/>
        <w:spacing w:after="0" w:line="254" w:lineRule="auto"/>
        <w:rPr>
          <w:sz w:val="20"/>
          <w:szCs w:val="20"/>
          <w:color w:val="auto"/>
        </w:rPr>
      </w:pPr>
      <w:r>
        <w:rPr>
          <w:rFonts w:ascii="Arial" w:cs="Arial" w:eastAsia="Arial" w:hAnsi="Arial"/>
          <w:sz w:val="13"/>
          <w:szCs w:val="13"/>
          <w:color w:val="auto"/>
        </w:rPr>
        <w:t>In accordance with the terms of the Collaboration Agreement, the parties intend to develop the lead bispecific antibody candidate targeting 4-1BB (CD137) and 5T4 through the completion of Phase II clinical trials in accordance with an agreed upon development plan and budget. Subject to certain exceptions for Aptevo’s manufacturing and platform technologies, the parties will jointly own intellectual property generated in the performance of the development activities under the Collaboration Agreement.</w:t>
      </w:r>
    </w:p>
    <w:p>
      <w:pPr>
        <w:spacing w:after="0" w:line="155"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candidate. Under the terms of this Collaboration Agreement, the parties intend to share revenue received from a third-party commercialization partner equally, or, if the development costs are not equally shared under this Collaboration Agreement, in proportion to the development costs borne by each party.</w:t>
      </w:r>
    </w:p>
    <w:p>
      <w:pPr>
        <w:spacing w:after="0" w:line="157"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the product candidate, subject to a requirement to pay a percentage of revenue received from any future commercialization partner for this product, or, if the continuing party elects to self-commercialize, tiered royalties on the net sales of the product by the continuing party ranging from the low to mid-single digits, based on the point in development at which the opt-out occurs. The parties have also agreed on certain technical criteria or “stage gates” related to the development of this product candidate that, if not met, will cause an automatic termination and wind-down of this Collaboration Agreement and the activities thereunder, provided that the parties do not agree to continue.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Collaboration Agreement contains industry standard termination rights, including for material breach following a specified cure period, and in the case of a party’s insolvency.</w:t>
      </w:r>
    </w:p>
    <w:p>
      <w:pPr>
        <w:spacing w:after="0" w:line="156"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We assessed the arrangement in accordance with ASC 606 and concluded that the contract counterparty, Alligator, is not a customer. As such the arrangement is not in the scope of ASC 606 and is instead treated as a collaborative agreement under ASC 808. For the nine months ended September 30, 2018, we incurred a higher share of the research and development costs than those of Alligator which netted to $0.4 million and is reflected as a reduction in our research and development expenses.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MorphoSys</w:t>
      </w:r>
    </w:p>
    <w:p>
      <w:pPr>
        <w:spacing w:after="0" w:line="80"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In August 2014, Aptevo entered into a collaboration agreement with MorphoSys AG (MorphoSys Agreement) for the joint development of MOR209/ES414, a targeted immunotherapeutics protein, which activates host T-cell immunity specifically against cancer cells expressing prostate specific membrane antigen, an antigen commonly overexpressed on prostate cancer cells. Effective August 31, 2017, MorphoSys terminated the MorphoSys Agreement. As a result of the termination, Aptevo has no ongoing obligation related to this agreement.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a result of the termination, we recognized the total remaining deferred revenue balance of $3.7 million in the third quarter of 2017.</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4. Fair Value Measurements</w:t>
      </w:r>
    </w:p>
    <w:p>
      <w:pPr>
        <w:spacing w:after="0" w:line="84"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Level 1— Quoted prices in active markets for identical assets and liabilities;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Level 2— Inputs other than quoted prices in active markets that are either directly or indirectly observable; and</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Level 3— Unobservable inputs that are supported by little or no market activity and that are significant to the fair value of the assets or liabilities.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55" w:right="199" w:bottom="1440" w:gutter="0" w:footer="0" w:header="0"/>
        </w:sectPr>
      </w:pPr>
    </w:p>
    <w:bookmarkStart w:id="12" w:name="page13"/>
    <w:bookmarkEnd w:id="12"/>
    <w:p>
      <w:pPr>
        <w:ind w:left="520"/>
        <w:spacing w:after="0"/>
        <w:rPr>
          <w:sz w:val="20"/>
          <w:szCs w:val="20"/>
          <w:color w:val="auto"/>
        </w:rPr>
      </w:pPr>
      <w:r>
        <w:rPr>
          <w:rFonts w:ascii="Arial" w:cs="Arial" w:eastAsia="Arial" w:hAnsi="Arial"/>
          <w:sz w:val="13"/>
          <w:szCs w:val="13"/>
          <w:color w:val="auto"/>
        </w:rPr>
        <w:t>The Company’s financial assets measured at fair value consisted of the following as of September 30, 2018 and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5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0"/>
                <w:szCs w:val="10"/>
                <w:b w:val="1"/>
                <w:bCs w:val="1"/>
                <w:color w:val="auto"/>
              </w:rPr>
              <w:t>September 30, 2018</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ind w:right="378"/>
              <w:spacing w:after="0" w:line="104" w:lineRule="exact"/>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tcPr>
          <w:p>
            <w:pPr>
              <w:ind w:left="180"/>
              <w:spacing w:after="0" w:line="104" w:lineRule="exact"/>
              <w:rPr>
                <w:sz w:val="20"/>
                <w:szCs w:val="20"/>
                <w:color w:val="auto"/>
              </w:rPr>
            </w:pPr>
            <w:r>
              <w:rPr>
                <w:rFonts w:ascii="Arial" w:cs="Arial" w:eastAsia="Arial" w:hAnsi="Arial"/>
                <w:sz w:val="10"/>
                <w:szCs w:val="10"/>
                <w:b w:val="1"/>
                <w:bCs w:val="1"/>
                <w:color w:val="auto"/>
              </w:rPr>
              <w:t>Level 2</w:t>
            </w:r>
          </w:p>
        </w:tc>
        <w:tc>
          <w:tcPr>
            <w:tcW w:w="880" w:type="dxa"/>
            <w:vAlign w:val="bottom"/>
          </w:tcPr>
          <w:p>
            <w:pPr>
              <w:jc w:val="right"/>
              <w:ind w:right="91"/>
              <w:spacing w:after="0" w:line="104" w:lineRule="exact"/>
              <w:rPr>
                <w:sz w:val="20"/>
                <w:szCs w:val="20"/>
                <w:color w:val="auto"/>
              </w:rPr>
            </w:pPr>
            <w:r>
              <w:rPr>
                <w:rFonts w:ascii="Arial" w:cs="Arial" w:eastAsia="Arial" w:hAnsi="Arial"/>
                <w:sz w:val="10"/>
                <w:szCs w:val="10"/>
                <w:b w:val="1"/>
                <w:bCs w:val="1"/>
                <w:color w:val="auto"/>
              </w:rPr>
              <w:t>Level 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ind w:right="418"/>
              <w:spacing w:after="0" w:line="104"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Money market funds</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29,668</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29,668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Corporate bonds</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2,196</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US government and agency debt securities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6,996</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6,996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Foreign government and agency debt securities</w:t>
            </w:r>
          </w:p>
        </w:tc>
        <w:tc>
          <w:tcPr>
            <w:tcW w:w="1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20"/>
                <w:szCs w:val="20"/>
                <w:color w:val="auto"/>
              </w:rPr>
            </w:pPr>
            <w:r>
              <w:rPr>
                <w:rFonts w:ascii="Arial" w:cs="Arial" w:eastAsia="Arial" w:hAnsi="Arial"/>
                <w:sz w:val="13"/>
                <w:szCs w:val="13"/>
                <w:color w:val="auto"/>
              </w:rPr>
              <w:t>Total assets</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29,668</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9,192</w:t>
            </w:r>
          </w:p>
        </w:tc>
        <w:tc>
          <w:tcPr>
            <w:tcW w:w="240" w:type="dxa"/>
            <w:vAlign w:val="bottom"/>
          </w:tcPr>
          <w:p>
            <w:pPr>
              <w:spacing w:after="0"/>
              <w:rPr>
                <w:sz w:val="13"/>
                <w:szCs w:val="13"/>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38,860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0"/>
                <w:szCs w:val="10"/>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jc w:val="right"/>
              <w:ind w:right="378"/>
              <w:spacing w:after="0" w:line="104" w:lineRule="exact"/>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tcPr>
          <w:p>
            <w:pPr>
              <w:ind w:left="180"/>
              <w:spacing w:after="0" w:line="104" w:lineRule="exact"/>
              <w:rPr>
                <w:sz w:val="20"/>
                <w:szCs w:val="20"/>
                <w:color w:val="auto"/>
              </w:rPr>
            </w:pPr>
            <w:r>
              <w:rPr>
                <w:rFonts w:ascii="Arial" w:cs="Arial" w:eastAsia="Arial" w:hAnsi="Arial"/>
                <w:sz w:val="10"/>
                <w:szCs w:val="10"/>
                <w:b w:val="1"/>
                <w:bCs w:val="1"/>
                <w:color w:val="auto"/>
              </w:rPr>
              <w:t>Level 2</w:t>
            </w:r>
          </w:p>
        </w:tc>
        <w:tc>
          <w:tcPr>
            <w:tcW w:w="880" w:type="dxa"/>
            <w:vAlign w:val="bottom"/>
          </w:tcPr>
          <w:p>
            <w:pPr>
              <w:jc w:val="right"/>
              <w:ind w:right="91"/>
              <w:spacing w:after="0" w:line="104" w:lineRule="exact"/>
              <w:rPr>
                <w:sz w:val="20"/>
                <w:szCs w:val="20"/>
                <w:color w:val="auto"/>
              </w:rPr>
            </w:pPr>
            <w:r>
              <w:rPr>
                <w:rFonts w:ascii="Arial" w:cs="Arial" w:eastAsia="Arial" w:hAnsi="Arial"/>
                <w:sz w:val="10"/>
                <w:szCs w:val="10"/>
                <w:b w:val="1"/>
                <w:bCs w:val="1"/>
                <w:color w:val="auto"/>
              </w:rPr>
              <w:t>Level 3</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ind w:right="418"/>
              <w:spacing w:after="0" w:line="104"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Financial Assets:</w:t>
            </w:r>
          </w:p>
        </w:tc>
        <w:tc>
          <w:tcPr>
            <w:tcW w:w="1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Money market funds</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10,997</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10,997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Corporate bonds</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16,443</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16,443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20"/>
                <w:szCs w:val="20"/>
                <w:color w:val="auto"/>
              </w:rPr>
            </w:pPr>
            <w:r>
              <w:rPr>
                <w:rFonts w:ascii="Arial" w:cs="Arial" w:eastAsia="Arial" w:hAnsi="Arial"/>
                <w:sz w:val="13"/>
                <w:szCs w:val="13"/>
                <w:color w:val="auto"/>
              </w:rPr>
              <w:t>US government and agency debt securities</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33,300</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33,300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shd w:val="clear" w:color="auto" w:fill="CFF0FC"/>
          </w:tcPr>
          <w:p>
            <w:pPr>
              <w:spacing w:after="0"/>
              <w:rPr>
                <w:sz w:val="20"/>
                <w:szCs w:val="20"/>
                <w:color w:val="auto"/>
              </w:rPr>
            </w:pPr>
            <w:r>
              <w:rPr>
                <w:rFonts w:ascii="Arial" w:cs="Arial" w:eastAsia="Arial" w:hAnsi="Arial"/>
                <w:sz w:val="13"/>
                <w:szCs w:val="13"/>
                <w:color w:val="auto"/>
              </w:rPr>
              <w:t>Foreign government and agency debt securities</w:t>
            </w:r>
          </w:p>
        </w:tc>
        <w:tc>
          <w:tcPr>
            <w:tcW w:w="1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23,945</w:t>
            </w:r>
          </w:p>
        </w:tc>
        <w:tc>
          <w:tcPr>
            <w:tcW w:w="24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23,945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20"/>
                <w:szCs w:val="20"/>
                <w:color w:val="auto"/>
              </w:rPr>
            </w:pPr>
            <w:r>
              <w:rPr>
                <w:rFonts w:ascii="Arial" w:cs="Arial" w:eastAsia="Arial" w:hAnsi="Arial"/>
                <w:sz w:val="13"/>
                <w:szCs w:val="13"/>
                <w:color w:val="auto"/>
              </w:rPr>
              <w:t>Total assets</w:t>
            </w: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10,997</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73,688</w:t>
            </w:r>
          </w:p>
        </w:tc>
        <w:tc>
          <w:tcPr>
            <w:tcW w:w="240" w:type="dxa"/>
            <w:vAlign w:val="bottom"/>
          </w:tcPr>
          <w:p>
            <w:pPr>
              <w:spacing w:after="0"/>
              <w:rPr>
                <w:sz w:val="13"/>
                <w:szCs w:val="13"/>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84,685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40" w:firstLine="521"/>
        <w:spacing w:after="0" w:line="254" w:lineRule="auto"/>
        <w:rPr>
          <w:sz w:val="20"/>
          <w:szCs w:val="20"/>
          <w:color w:val="auto"/>
        </w:rPr>
      </w:pPr>
      <w:r>
        <w:rPr>
          <w:rFonts w:ascii="Arial" w:cs="Arial" w:eastAsia="Arial" w:hAnsi="Arial"/>
          <w:sz w:val="13"/>
          <w:szCs w:val="13"/>
          <w:color w:val="auto"/>
        </w:rPr>
        <w:t>If quoted market prices in active markets for identical assets are not available to determine fair value, then the Company uses quoted prices of similar instruments and other significant inputs derived from observable market data obtained from third-party data providers. These investments are included in Level 2 and consist of debt securities of U.S government agencies and corporate bonds. There were no transfers between Levels 1 and 2 during the three-month and nine-month periods ended September 30, 2018.</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5. Cash, Cash Equivalents, and Restricted Cash</w:t>
      </w:r>
    </w:p>
    <w:p>
      <w:pPr>
        <w:spacing w:after="0" w:line="93" w:lineRule="exact"/>
        <w:rPr>
          <w:sz w:val="20"/>
          <w:szCs w:val="20"/>
          <w:color w:val="auto"/>
        </w:rPr>
      </w:pPr>
    </w:p>
    <w:p>
      <w:pPr>
        <w:jc w:val="both"/>
        <w:ind w:right="40" w:firstLine="521"/>
        <w:spacing w:after="0" w:line="286" w:lineRule="auto"/>
        <w:rPr>
          <w:sz w:val="20"/>
          <w:szCs w:val="20"/>
          <w:color w:val="auto"/>
        </w:rPr>
      </w:pPr>
      <w:r>
        <w:rPr>
          <w:rFonts w:ascii="Arial" w:cs="Arial" w:eastAsia="Arial" w:hAnsi="Arial"/>
          <w:sz w:val="12"/>
          <w:szCs w:val="12"/>
          <w:color w:val="auto"/>
        </w:rPr>
        <w:t>The Company’s cash equivalents are highly liquid investments with a maturity of 90 days or less at the date of purchase and include time deposits and investments in money market funds with commercial banks and financial institutions. Restricted cash, current portion, includes $0.4 million maintained in depository as collateral for corporate credit cards. In addition, we have long-term restricted cash of $5.0 million related to the minimum cash covenant included in the Company’s Credit and Security Agreement (the Credit Agreement) with MidCap Financial Trust, and $2.4 million securing letters of credit.</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shows our cash, cash equivalents and restricted cash, both current and long-term portion as of September 30, 2018 and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September 30,</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400" w:type="dxa"/>
            <w:vAlign w:val="bottom"/>
            <w:gridSpan w:val="2"/>
          </w:tcPr>
          <w:p>
            <w:pPr>
              <w:ind w:left="580"/>
              <w:spacing w:after="0"/>
              <w:rPr>
                <w:sz w:val="20"/>
                <w:szCs w:val="20"/>
                <w:color w:val="auto"/>
              </w:rPr>
            </w:pPr>
            <w:r>
              <w:rPr>
                <w:rFonts w:ascii="Arial" w:cs="Arial" w:eastAsia="Arial" w:hAnsi="Arial"/>
                <w:sz w:val="10"/>
                <w:szCs w:val="10"/>
                <w:b w:val="1"/>
                <w:bCs w:val="1"/>
                <w:color w:val="auto"/>
              </w:rPr>
              <w:t>(in thousands)</w:t>
            </w:r>
          </w:p>
        </w:tc>
        <w:tc>
          <w:tcPr>
            <w:tcW w:w="4320" w:type="dxa"/>
            <w:vAlign w:val="bottom"/>
            <w:gridSpan w:val="3"/>
          </w:tcPr>
          <w:p>
            <w:pPr>
              <w:jc w:val="right"/>
              <w:ind w:right="169"/>
              <w:spacing w:after="0"/>
              <w:rPr>
                <w:sz w:val="20"/>
                <w:szCs w:val="20"/>
                <w:color w:val="auto"/>
              </w:rPr>
            </w:pPr>
            <w:r>
              <w:rPr>
                <w:rFonts w:ascii="Arial" w:cs="Arial" w:eastAsia="Arial" w:hAnsi="Arial"/>
                <w:sz w:val="10"/>
                <w:szCs w:val="10"/>
                <w:b w:val="1"/>
                <w:bCs w:val="1"/>
                <w:color w:val="auto"/>
              </w:rPr>
              <w:t>2018</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right"/>
              <w:ind w:right="560"/>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80" w:type="dxa"/>
            <w:vAlign w:val="bottom"/>
          </w:tcPr>
          <w:p>
            <w:pPr>
              <w:spacing w:after="0"/>
              <w:rPr>
                <w:sz w:val="13"/>
                <w:szCs w:val="13"/>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3"/>
                <w:szCs w:val="13"/>
                <w:color w:val="auto"/>
              </w:rPr>
              <w:t>Cash</w:t>
            </w:r>
          </w:p>
        </w:tc>
        <w:tc>
          <w:tcPr>
            <w:tcW w:w="312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90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24,334</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6,098</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gridSpan w:val="2"/>
          </w:tcPr>
          <w:p>
            <w:pPr>
              <w:ind w:left="580"/>
              <w:spacing w:after="0"/>
              <w:rPr>
                <w:sz w:val="20"/>
                <w:szCs w:val="20"/>
                <w:color w:val="auto"/>
              </w:rPr>
            </w:pPr>
            <w:r>
              <w:rPr>
                <w:rFonts w:ascii="Arial" w:cs="Arial" w:eastAsia="Arial" w:hAnsi="Arial"/>
                <w:sz w:val="13"/>
                <w:szCs w:val="13"/>
                <w:color w:val="auto"/>
              </w:rPr>
              <w:t>Cash equivalents</w:t>
            </w: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4,113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3"/>
                <w:szCs w:val="13"/>
                <w:color w:val="auto"/>
              </w:rPr>
              <w:t>Restricted cash, current portion</w:t>
            </w:r>
          </w:p>
        </w:tc>
        <w:tc>
          <w:tcPr>
            <w:tcW w:w="3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FF0FC"/>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gridSpan w:val="2"/>
          </w:tcPr>
          <w:p>
            <w:pPr>
              <w:ind w:left="580"/>
              <w:spacing w:after="0"/>
              <w:rPr>
                <w:sz w:val="20"/>
                <w:szCs w:val="20"/>
                <w:color w:val="auto"/>
              </w:rPr>
            </w:pPr>
            <w:r>
              <w:rPr>
                <w:rFonts w:ascii="Arial" w:cs="Arial" w:eastAsia="Arial" w:hAnsi="Arial"/>
                <w:sz w:val="13"/>
                <w:szCs w:val="13"/>
                <w:color w:val="auto"/>
              </w:rPr>
              <w:t>Restricted cash, included in other long-term assets</w:t>
            </w: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7,448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cash, cash equivalents, and restricted cash</w:t>
            </w:r>
          </w:p>
        </w:tc>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80" w:type="dxa"/>
            <w:vAlign w:val="bottom"/>
          </w:tcPr>
          <w:p>
            <w:pPr>
              <w:spacing w:after="0"/>
              <w:rPr>
                <w:sz w:val="14"/>
                <w:szCs w:val="14"/>
                <w:color w:val="auto"/>
              </w:rPr>
            </w:pPr>
          </w:p>
        </w:tc>
        <w:tc>
          <w:tcPr>
            <w:tcW w:w="3820" w:type="dxa"/>
            <w:vAlign w:val="bottom"/>
            <w:vMerge w:val="continue"/>
            <w:shd w:val="clear" w:color="auto" w:fill="CFF0FC"/>
          </w:tcPr>
          <w:p>
            <w:pPr>
              <w:spacing w:after="0"/>
              <w:rPr>
                <w:sz w:val="14"/>
                <w:szCs w:val="14"/>
                <w:color w:val="auto"/>
              </w:rPr>
            </w:pPr>
          </w:p>
        </w:tc>
        <w:tc>
          <w:tcPr>
            <w:tcW w:w="4320" w:type="dxa"/>
            <w:vAlign w:val="bottom"/>
            <w:gridSpan w:val="3"/>
            <w:shd w:val="clear" w:color="auto" w:fill="CFF0FC"/>
          </w:tcPr>
          <w:p>
            <w:pPr>
              <w:jc w:val="right"/>
              <w:ind w:right="90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36,295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17,495</w:t>
            </w:r>
          </w:p>
        </w:tc>
        <w:tc>
          <w:tcPr>
            <w:tcW w:w="100" w:type="dxa"/>
            <w:vAlign w:val="bottom"/>
            <w:shd w:val="clear" w:color="auto" w:fill="CFF0FC"/>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7"/>
        </w:trPr>
        <w:tc>
          <w:tcPr>
            <w:tcW w:w="58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3120" w:type="dxa"/>
            <w:vAlign w:val="bottom"/>
            <w:tcBorders>
              <w:top w:val="single" w:sz="8" w:color="CFF0FC"/>
            </w:tcBorders>
          </w:tcPr>
          <w:p>
            <w:pPr>
              <w:jc w:val="right"/>
              <w:ind w:right="1661"/>
              <w:spacing w:after="0"/>
              <w:rPr>
                <w:sz w:val="20"/>
                <w:szCs w:val="20"/>
                <w:color w:val="auto"/>
              </w:rPr>
            </w:pPr>
            <w:r>
              <w:rPr>
                <w:rFonts w:ascii="Arial" w:cs="Arial" w:eastAsia="Arial" w:hAnsi="Arial"/>
                <w:sz w:val="13"/>
                <w:szCs w:val="13"/>
                <w:color w:val="auto"/>
              </w:rPr>
              <w:t>13</w:t>
            </w:r>
          </w:p>
        </w:tc>
        <w:tc>
          <w:tcPr>
            <w:tcW w:w="18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580" w:type="dxa"/>
            <w:vAlign w:val="bottom"/>
            <w:tcBorders>
              <w:bottom w:val="single" w:sz="8" w:color="9A9A9A"/>
            </w:tcBorders>
          </w:tcPr>
          <w:p>
            <w:pPr>
              <w:spacing w:after="0"/>
              <w:rPr>
                <w:sz w:val="6"/>
                <w:szCs w:val="6"/>
                <w:color w:val="auto"/>
              </w:rPr>
            </w:pPr>
          </w:p>
        </w:tc>
        <w:tc>
          <w:tcPr>
            <w:tcW w:w="382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436" w:right="179" w:bottom="1440" w:gutter="0" w:footer="0" w:header="0"/>
        </w:sectPr>
      </w:pPr>
    </w:p>
    <w:bookmarkStart w:id="13" w:name="page14"/>
    <w:bookmarkEnd w:id="13"/>
    <w:p>
      <w:pPr>
        <w:ind w:left="520"/>
        <w:spacing w:after="0"/>
        <w:rPr>
          <w:sz w:val="20"/>
          <w:szCs w:val="20"/>
          <w:color w:val="auto"/>
        </w:rPr>
      </w:pPr>
      <w:r>
        <w:rPr>
          <w:rFonts w:ascii="Arial" w:cs="Arial" w:eastAsia="Arial" w:hAnsi="Arial"/>
          <w:sz w:val="13"/>
          <w:szCs w:val="13"/>
          <w:b w:val="1"/>
          <w:bCs w:val="1"/>
          <w:color w:val="auto"/>
        </w:rPr>
        <w:t>Note 6. Investments</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As of September 30, 2018, and December 31, 2017, all investments were classified as available-for-sale securities and are carried at fair value with unrealized temporary holding gains and losses included in other comprehensive income or loss and as a net amount in accumulated other comprehensive income or loss until such gains and losses are realized. We did not recognize any realized gains or losses in net income during the three and nine months ended September 30, 2018.</w:t>
      </w:r>
    </w:p>
    <w:p>
      <w:pPr>
        <w:spacing w:after="0" w:line="60" w:lineRule="exact"/>
        <w:rPr>
          <w:sz w:val="20"/>
          <w:szCs w:val="20"/>
          <w:color w:val="auto"/>
        </w:rPr>
      </w:pPr>
    </w:p>
    <w:p>
      <w:pPr>
        <w:jc w:val="both"/>
        <w:ind w:firstLine="521"/>
        <w:spacing w:after="0" w:line="264" w:lineRule="auto"/>
        <w:rPr>
          <w:sz w:val="20"/>
          <w:szCs w:val="20"/>
          <w:color w:val="auto"/>
        </w:rPr>
      </w:pPr>
      <w:r>
        <w:rPr>
          <w:rFonts w:ascii="Arial" w:cs="Arial" w:eastAsia="Arial" w:hAnsi="Arial"/>
          <w:sz w:val="13"/>
          <w:szCs w:val="13"/>
          <w:color w:val="auto"/>
        </w:rPr>
        <w:t>Available-for-sale securities are written down to fair value through income whenever it is necessary to reflect other than temporary impairments. We have determined that the unrealized losses on our marketable securities as of September 30, 2018 were temporary in nature, and currently do not intend to sell these securities before recovery of their amortized cost basis.</w:t>
      </w:r>
    </w:p>
    <w:p>
      <w:pPr>
        <w:spacing w:after="0" w:line="53" w:lineRule="exact"/>
        <w:rPr>
          <w:sz w:val="20"/>
          <w:szCs w:val="20"/>
          <w:color w:val="auto"/>
        </w:rPr>
      </w:pPr>
    </w:p>
    <w:p>
      <w:pPr>
        <w:jc w:val="both"/>
        <w:ind w:firstLine="521"/>
        <w:spacing w:after="0" w:line="264" w:lineRule="auto"/>
        <w:rPr>
          <w:sz w:val="20"/>
          <w:szCs w:val="20"/>
          <w:color w:val="auto"/>
        </w:rPr>
      </w:pPr>
      <w:r>
        <w:rPr>
          <w:rFonts w:ascii="Arial" w:cs="Arial" w:eastAsia="Arial" w:hAnsi="Arial"/>
          <w:sz w:val="13"/>
          <w:szCs w:val="13"/>
          <w:color w:val="auto"/>
        </w:rPr>
        <w:t>All short-term investments are limited to a final maturity of less than one year from the reporting date. Our money market funds as of September 30, 2018 are inclusive of $5.0 million in restricted cash and as of December 31, 2017, are inclusive of $10.0 million in restricted cash.</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120"/>
        </w:trPr>
        <w:tc>
          <w:tcPr>
            <w:tcW w:w="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September 30, 2018</w:t>
            </w: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jc w:val="center"/>
              <w:ind w:right="120"/>
              <w:spacing w:after="0" w:line="90" w:lineRule="exact"/>
              <w:rPr>
                <w:sz w:val="20"/>
                <w:szCs w:val="20"/>
                <w:color w:val="auto"/>
              </w:rPr>
            </w:pPr>
            <w:r>
              <w:rPr>
                <w:rFonts w:ascii="Arial" w:cs="Arial" w:eastAsia="Arial" w:hAnsi="Arial"/>
                <w:sz w:val="10"/>
                <w:szCs w:val="10"/>
                <w:b w:val="1"/>
                <w:bCs w:val="1"/>
                <w:color w:val="auto"/>
                <w:w w:val="93"/>
              </w:rPr>
              <w:t>Amortized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tcPr>
          <w:p>
            <w:pPr>
              <w:jc w:val="center"/>
              <w:ind w:right="59"/>
              <w:spacing w:after="0" w:line="90" w:lineRule="exact"/>
              <w:rPr>
                <w:sz w:val="20"/>
                <w:szCs w:val="20"/>
                <w:color w:val="auto"/>
              </w:rPr>
            </w:pPr>
            <w:r>
              <w:rPr>
                <w:rFonts w:ascii="Arial" w:cs="Arial" w:eastAsia="Arial" w:hAnsi="Arial"/>
                <w:sz w:val="10"/>
                <w:szCs w:val="10"/>
                <w:b w:val="1"/>
                <w:bCs w:val="1"/>
                <w:color w:val="auto"/>
                <w:w w:val="89"/>
              </w:rPr>
              <w:t>Gross Unrealized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4"/>
          </w:tcPr>
          <w:p>
            <w:pPr>
              <w:ind w:left="40"/>
              <w:spacing w:after="0" w:line="90" w:lineRule="exact"/>
              <w:rPr>
                <w:sz w:val="20"/>
                <w:szCs w:val="20"/>
                <w:color w:val="auto"/>
              </w:rPr>
            </w:pPr>
            <w:r>
              <w:rPr>
                <w:rFonts w:ascii="Arial" w:cs="Arial" w:eastAsia="Arial" w:hAnsi="Arial"/>
                <w:sz w:val="10"/>
                <w:szCs w:val="10"/>
                <w:b w:val="1"/>
                <w:bCs w:val="1"/>
                <w:color w:val="auto"/>
              </w:rPr>
              <w:t>Gross Unrealized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320" w:type="dxa"/>
            <w:vAlign w:val="bottom"/>
            <w:gridSpan w:val="2"/>
          </w:tcPr>
          <w:p>
            <w:pPr>
              <w:ind w:left="6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20"/>
              <w:spacing w:after="0"/>
              <w:rPr>
                <w:sz w:val="20"/>
                <w:szCs w:val="20"/>
                <w:color w:val="auto"/>
              </w:rPr>
            </w:pPr>
            <w:r>
              <w:rPr>
                <w:rFonts w:ascii="Arial" w:cs="Arial" w:eastAsia="Arial" w:hAnsi="Arial"/>
                <w:sz w:val="10"/>
                <w:szCs w:val="10"/>
                <w:b w:val="1"/>
                <w:bCs w:val="1"/>
                <w:color w:val="auto"/>
                <w:w w:val="80"/>
              </w:rPr>
              <w:t>Cost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59"/>
              <w:spacing w:after="0"/>
              <w:rPr>
                <w:sz w:val="20"/>
                <w:szCs w:val="20"/>
                <w:color w:val="auto"/>
              </w:rPr>
            </w:pPr>
            <w:r>
              <w:rPr>
                <w:rFonts w:ascii="Arial" w:cs="Arial" w:eastAsia="Arial" w:hAnsi="Arial"/>
                <w:sz w:val="10"/>
                <w:szCs w:val="10"/>
                <w:b w:val="1"/>
                <w:bCs w:val="1"/>
                <w:color w:val="auto"/>
                <w:w w:val="91"/>
              </w:rPr>
              <w:t>Holding Gains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tcPr>
          <w:p>
            <w:pPr>
              <w:ind w:left="40"/>
              <w:spacing w:after="0"/>
              <w:rPr>
                <w:sz w:val="20"/>
                <w:szCs w:val="20"/>
                <w:color w:val="auto"/>
              </w:rPr>
            </w:pPr>
            <w:r>
              <w:rPr>
                <w:rFonts w:ascii="Arial" w:cs="Arial" w:eastAsia="Arial" w:hAnsi="Arial"/>
                <w:sz w:val="10"/>
                <w:szCs w:val="10"/>
                <w:b w:val="1"/>
                <w:bCs w:val="1"/>
                <w:color w:val="auto"/>
              </w:rPr>
              <w:t>Holding (Losses)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Cash equivalents:</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Money market fund</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29,668</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2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29,668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cash equivalents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5260" w:type="dxa"/>
            <w:vAlign w:val="bottom"/>
            <w:vMerge w:val="continue"/>
            <w:shd w:val="clear" w:color="auto" w:fill="CFF0FC"/>
          </w:tcPr>
          <w:p>
            <w:pPr>
              <w:spacing w:after="0"/>
              <w:rPr>
                <w:sz w:val="13"/>
                <w:szCs w:val="13"/>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29,668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76"/>
              </w:rPr>
              <w:t>—</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vMerge w:val="restart"/>
          </w:tcPr>
          <w:p>
            <w:pPr>
              <w:spacing w:after="0"/>
              <w:rPr>
                <w:sz w:val="14"/>
                <w:szCs w:val="14"/>
                <w:color w:val="auto"/>
              </w:rPr>
            </w:pPr>
          </w:p>
        </w:tc>
        <w:tc>
          <w:tcPr>
            <w:tcW w:w="52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vMerge w:val="continue"/>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Short-term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Corporate bonds</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2,197</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2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US government and agency debt securities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Foreign government and agency debt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short-term investments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5260" w:type="dxa"/>
            <w:vAlign w:val="bottom"/>
            <w:vMerge w:val="continue"/>
            <w:shd w:val="clear" w:color="auto" w:fill="CFF0FC"/>
          </w:tcPr>
          <w:p>
            <w:pPr>
              <w:spacing w:after="0"/>
              <w:rPr>
                <w:sz w:val="13"/>
                <w:szCs w:val="13"/>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(2)</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5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jc w:val="center"/>
              <w:ind w:right="120"/>
              <w:spacing w:after="0" w:line="90" w:lineRule="exact"/>
              <w:rPr>
                <w:sz w:val="20"/>
                <w:szCs w:val="20"/>
                <w:color w:val="auto"/>
              </w:rPr>
            </w:pPr>
            <w:r>
              <w:rPr>
                <w:rFonts w:ascii="Arial" w:cs="Arial" w:eastAsia="Arial" w:hAnsi="Arial"/>
                <w:sz w:val="10"/>
                <w:szCs w:val="10"/>
                <w:b w:val="1"/>
                <w:bCs w:val="1"/>
                <w:color w:val="auto"/>
                <w:w w:val="93"/>
              </w:rPr>
              <w:t>Amortized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tcPr>
          <w:p>
            <w:pPr>
              <w:jc w:val="center"/>
              <w:ind w:right="59"/>
              <w:spacing w:after="0" w:line="90" w:lineRule="exact"/>
              <w:rPr>
                <w:sz w:val="20"/>
                <w:szCs w:val="20"/>
                <w:color w:val="auto"/>
              </w:rPr>
            </w:pPr>
            <w:r>
              <w:rPr>
                <w:rFonts w:ascii="Arial" w:cs="Arial" w:eastAsia="Arial" w:hAnsi="Arial"/>
                <w:sz w:val="10"/>
                <w:szCs w:val="10"/>
                <w:b w:val="1"/>
                <w:bCs w:val="1"/>
                <w:color w:val="auto"/>
                <w:w w:val="89"/>
              </w:rPr>
              <w:t>Gross Unrealized</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4"/>
          </w:tcPr>
          <w:p>
            <w:pPr>
              <w:ind w:left="40"/>
              <w:spacing w:after="0" w:line="90" w:lineRule="exact"/>
              <w:rPr>
                <w:sz w:val="20"/>
                <w:szCs w:val="20"/>
                <w:color w:val="auto"/>
              </w:rPr>
            </w:pPr>
            <w:r>
              <w:rPr>
                <w:rFonts w:ascii="Arial" w:cs="Arial" w:eastAsia="Arial" w:hAnsi="Arial"/>
                <w:sz w:val="10"/>
                <w:szCs w:val="10"/>
                <w:b w:val="1"/>
                <w:bCs w:val="1"/>
                <w:color w:val="auto"/>
              </w:rPr>
              <w:t>Gross Unrealized</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5320" w:type="dxa"/>
            <w:vAlign w:val="bottom"/>
            <w:gridSpan w:val="2"/>
          </w:tcPr>
          <w:p>
            <w:pPr>
              <w:ind w:left="6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120"/>
              <w:spacing w:after="0"/>
              <w:rPr>
                <w:sz w:val="20"/>
                <w:szCs w:val="20"/>
                <w:color w:val="auto"/>
              </w:rPr>
            </w:pPr>
            <w:r>
              <w:rPr>
                <w:rFonts w:ascii="Arial" w:cs="Arial" w:eastAsia="Arial" w:hAnsi="Arial"/>
                <w:sz w:val="10"/>
                <w:szCs w:val="10"/>
                <w:b w:val="1"/>
                <w:bCs w:val="1"/>
                <w:color w:val="auto"/>
                <w:w w:val="80"/>
              </w:rPr>
              <w:t>Cost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59"/>
              <w:spacing w:after="0"/>
              <w:rPr>
                <w:sz w:val="20"/>
                <w:szCs w:val="20"/>
                <w:color w:val="auto"/>
              </w:rPr>
            </w:pPr>
            <w:r>
              <w:rPr>
                <w:rFonts w:ascii="Arial" w:cs="Arial" w:eastAsia="Arial" w:hAnsi="Arial"/>
                <w:sz w:val="10"/>
                <w:szCs w:val="10"/>
                <w:b w:val="1"/>
                <w:bCs w:val="1"/>
                <w:color w:val="auto"/>
                <w:w w:val="91"/>
              </w:rPr>
              <w:t>Holding Gains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tcPr>
          <w:p>
            <w:pPr>
              <w:ind w:left="40"/>
              <w:spacing w:after="0"/>
              <w:rPr>
                <w:sz w:val="20"/>
                <w:szCs w:val="20"/>
                <w:color w:val="auto"/>
              </w:rPr>
            </w:pPr>
            <w:r>
              <w:rPr>
                <w:rFonts w:ascii="Arial" w:cs="Arial" w:eastAsia="Arial" w:hAnsi="Arial"/>
                <w:sz w:val="10"/>
                <w:szCs w:val="10"/>
                <w:b w:val="1"/>
                <w:bCs w:val="1"/>
                <w:color w:val="auto"/>
              </w:rPr>
              <w:t>Holding (Losses)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Cash equivalents:</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Money market fund</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10,997</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3"/>
                <w:szCs w:val="13"/>
                <w:color w:val="auto"/>
                <w:w w:val="76"/>
              </w:rPr>
              <w:t>—</w:t>
            </w:r>
          </w:p>
        </w:tc>
        <w:tc>
          <w:tcPr>
            <w:tcW w:w="2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cash equivalents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5260" w:type="dxa"/>
            <w:vAlign w:val="bottom"/>
            <w:vMerge w:val="continue"/>
            <w:shd w:val="clear" w:color="auto" w:fill="CFF0FC"/>
          </w:tcPr>
          <w:p>
            <w:pPr>
              <w:spacing w:after="0"/>
              <w:rPr>
                <w:sz w:val="13"/>
                <w:szCs w:val="13"/>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76"/>
              </w:rPr>
              <w:t>—</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vMerge w:val="restart"/>
          </w:tcPr>
          <w:p>
            <w:pPr>
              <w:spacing w:after="0"/>
              <w:rPr>
                <w:sz w:val="14"/>
                <w:szCs w:val="14"/>
                <w:color w:val="auto"/>
              </w:rPr>
            </w:pPr>
          </w:p>
        </w:tc>
        <w:tc>
          <w:tcPr>
            <w:tcW w:w="52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vMerge w:val="continue"/>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Short-term investments: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Corporate bonds</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16,455</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(12)</w:t>
            </w:r>
          </w:p>
        </w:tc>
        <w:tc>
          <w:tcPr>
            <w:tcW w:w="2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16,443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US government and agency debt securities</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(31)</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Foreign government and agency debt securities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23,945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short-term investments</w:t>
            </w: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5260" w:type="dxa"/>
            <w:vAlign w:val="bottom"/>
            <w:vMerge w:val="continue"/>
            <w:shd w:val="clear" w:color="auto" w:fill="CFF0FC"/>
          </w:tcPr>
          <w:p>
            <w:pPr>
              <w:spacing w:after="0"/>
              <w:rPr>
                <w:sz w:val="13"/>
                <w:szCs w:val="13"/>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73,793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ind w:left="420"/>
              <w:spacing w:after="0"/>
              <w:rPr>
                <w:sz w:val="20"/>
                <w:szCs w:val="20"/>
                <w:color w:val="auto"/>
              </w:rPr>
            </w:pPr>
            <w:r>
              <w:rPr>
                <w:rFonts w:ascii="Arial" w:cs="Arial" w:eastAsia="Arial" w:hAnsi="Arial"/>
                <w:sz w:val="13"/>
                <w:szCs w:val="13"/>
                <w:color w:val="auto"/>
                <w:w w:val="91"/>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spacing w:after="0"/>
              <w:rPr>
                <w:sz w:val="13"/>
                <w:szCs w:val="13"/>
                <w:color w:val="auto"/>
              </w:rPr>
            </w:pPr>
          </w:p>
        </w:tc>
        <w:tc>
          <w:tcPr>
            <w:tcW w:w="52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(105)</w:t>
            </w:r>
          </w:p>
        </w:tc>
        <w:tc>
          <w:tcPr>
            <w:tcW w:w="240" w:type="dxa"/>
            <w:vAlign w:val="bottom"/>
            <w:gridSpan w:val="2"/>
            <w:shd w:val="clear" w:color="auto" w:fill="CFF0FC"/>
          </w:tcPr>
          <w:p>
            <w:pPr>
              <w:jc w:val="right"/>
              <w:ind w:right="29"/>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73,688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320" w:type="dxa"/>
            <w:vAlign w:val="bottom"/>
            <w:gridSpan w:val="2"/>
          </w:tcPr>
          <w:p>
            <w:pPr>
              <w:spacing w:after="0"/>
              <w:rPr>
                <w:sz w:val="20"/>
                <w:szCs w:val="20"/>
                <w:color w:val="auto"/>
              </w:rPr>
            </w:pPr>
            <w:r>
              <w:rPr>
                <w:rFonts w:ascii="Arial" w:cs="Arial" w:eastAsia="Arial" w:hAnsi="Arial"/>
                <w:sz w:val="13"/>
                <w:szCs w:val="13"/>
                <w:b w:val="1"/>
                <w:bCs w:val="1"/>
                <w:color w:val="auto"/>
              </w:rPr>
              <w:t>Note 7. Inventories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20" w:type="dxa"/>
            <w:vAlign w:val="bottom"/>
            <w:gridSpan w:val="2"/>
          </w:tcPr>
          <w:p>
            <w:pPr>
              <w:spacing w:after="0"/>
              <w:rPr>
                <w:sz w:val="20"/>
                <w:szCs w:val="20"/>
                <w:color w:val="auto"/>
              </w:rPr>
            </w:pPr>
            <w:r>
              <w:rPr>
                <w:rFonts w:ascii="Arial" w:cs="Arial" w:eastAsia="Arial" w:hAnsi="Arial"/>
                <w:sz w:val="13"/>
                <w:szCs w:val="13"/>
                <w:color w:val="auto"/>
              </w:rPr>
              <w:t>Inventories consist of the following: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4"/>
          </w:tcPr>
          <w:p>
            <w:pPr>
              <w:ind w:left="380"/>
              <w:spacing w:after="0"/>
              <w:rPr>
                <w:sz w:val="20"/>
                <w:szCs w:val="20"/>
                <w:color w:val="auto"/>
              </w:rPr>
            </w:pPr>
            <w:r>
              <w:rPr>
                <w:rFonts w:ascii="Arial" w:cs="Arial" w:eastAsia="Arial" w:hAnsi="Arial"/>
                <w:sz w:val="10"/>
                <w:szCs w:val="10"/>
                <w:b w:val="1"/>
                <w:bCs w:val="1"/>
                <w:color w:val="auto"/>
              </w:rPr>
              <w:t>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0"/>
        </w:trPr>
        <w:tc>
          <w:tcPr>
            <w:tcW w:w="5320" w:type="dxa"/>
            <w:vAlign w:val="bottom"/>
            <w:gridSpan w:val="2"/>
          </w:tcPr>
          <w:p>
            <w:pPr>
              <w:ind w:left="6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8"/>
              </w:rPr>
              <w:t>2018</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558"/>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Raw materials and supplies</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center"/>
              <w:ind w:right="279"/>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400" w:type="dxa"/>
            <w:vAlign w:val="bottom"/>
            <w:gridSpan w:val="2"/>
            <w:shd w:val="clear" w:color="auto" w:fill="CFF0FC"/>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Work-in-process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2,462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Finished goods</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1,464</w:t>
            </w: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320" w:type="dxa"/>
            <w:vAlign w:val="bottom"/>
            <w:gridSpan w:val="2"/>
          </w:tcPr>
          <w:p>
            <w:pPr>
              <w:ind w:left="60"/>
              <w:spacing w:after="0"/>
              <w:rPr>
                <w:sz w:val="20"/>
                <w:szCs w:val="20"/>
                <w:color w:val="auto"/>
              </w:rPr>
            </w:pPr>
            <w:r>
              <w:rPr>
                <w:rFonts w:ascii="Arial" w:cs="Arial" w:eastAsia="Arial" w:hAnsi="Arial"/>
                <w:sz w:val="13"/>
                <w:szCs w:val="13"/>
                <w:color w:val="auto"/>
              </w:rPr>
              <w:t>Total inventories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79"/>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3,969</w:t>
            </w:r>
          </w:p>
        </w:tc>
        <w:tc>
          <w:tcPr>
            <w:tcW w:w="40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8. Debt</w:t>
      </w:r>
    </w:p>
    <w:p>
      <w:pPr>
        <w:spacing w:after="0" w:line="93"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60"/>
          </w:cols>
          <w:pgMar w:left="220" w:top="384" w:right="2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order to accommodate the sale of the Hyperimmune Business under the LLC purchase agreement, and to reflect changes in the remaining business as a result of such sale.</w:t>
      </w:r>
    </w:p>
    <w:p>
      <w:pPr>
        <w:spacing w:after="0" w:line="185"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2019.</w:t>
      </w:r>
    </w:p>
    <w:p>
      <w:pPr>
        <w:spacing w:after="0" w:line="13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58"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obligations under the Amended Credit Agreement will mature on February 1, 2023. Amounts drawn under the Amended Credit Agreement continue to accrue interest at a rate of LIBOR plus 7.60% per annum.</w:t>
      </w:r>
    </w:p>
    <w:p>
      <w:pPr>
        <w:spacing w:after="0" w:line="30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9. Net (Loss) Income per Share</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Basic net (loss) income per share is calculated by dividing the net (loss) income by the weighted average number of common shares outstanding for the period. Diluted net (loss) income per share is computed by dividing the net (loss) income by the weighted average number of common share equivalents outstanding for the period using the as-if converted method. For the purpose of this calculation, stock options and restricted stock units are only included in the calculation of diluted net income per share when their effect is dilutive.</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Common stock equivalents include stock options and unvested RSUs.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15" w:name="page16"/>
    <w:bookmarkEnd w:id="15"/>
    <w:p>
      <w:pPr>
        <w:ind w:left="520"/>
        <w:spacing w:after="0"/>
        <w:rPr>
          <w:sz w:val="20"/>
          <w:szCs w:val="20"/>
          <w:color w:val="auto"/>
        </w:rPr>
      </w:pPr>
      <w:r>
        <w:rPr>
          <w:rFonts w:ascii="Arial" w:cs="Arial" w:eastAsia="Arial" w:hAnsi="Arial"/>
          <w:sz w:val="13"/>
          <w:szCs w:val="13"/>
          <w:color w:val="auto"/>
        </w:rPr>
        <w:t>The following table presents the computation of basic and diluted net loss per share (in thousands, except share and per share amounts):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40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tcPr>
          <w:p>
            <w:pPr>
              <w:jc w:val="right"/>
              <w:ind w:right="138"/>
              <w:spacing w:after="0"/>
              <w:rPr>
                <w:sz w:val="20"/>
                <w:szCs w:val="20"/>
                <w:color w:val="auto"/>
              </w:rPr>
            </w:pPr>
            <w:r>
              <w:rPr>
                <w:rFonts w:ascii="Arial" w:cs="Arial" w:eastAsia="Arial" w:hAnsi="Arial"/>
                <w:sz w:val="10"/>
                <w:szCs w:val="10"/>
                <w:b w:val="1"/>
                <w:bCs w:val="1"/>
                <w:color w:val="auto"/>
                <w:w w:val="94"/>
              </w:rPr>
              <w:t>For the Three Months Ended September 30,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6"/>
          </w:tcPr>
          <w:p>
            <w:pPr>
              <w:jc w:val="right"/>
              <w:ind w:right="340"/>
              <w:spacing w:after="0"/>
              <w:rPr>
                <w:sz w:val="20"/>
                <w:szCs w:val="20"/>
                <w:color w:val="auto"/>
              </w:rPr>
            </w:pPr>
            <w:r>
              <w:rPr>
                <w:rFonts w:ascii="Arial" w:cs="Arial" w:eastAsia="Arial" w:hAnsi="Arial"/>
                <w:sz w:val="10"/>
                <w:szCs w:val="10"/>
                <w:b w:val="1"/>
                <w:bCs w:val="1"/>
                <w:color w:val="auto"/>
                <w:w w:val="95"/>
              </w:rPr>
              <w:t>For the Nine Months Ended September 30,</w:t>
            </w:r>
          </w:p>
        </w:tc>
      </w:tr>
      <w:tr>
        <w:trPr>
          <w:trHeight w:val="104"/>
        </w:trPr>
        <w:tc>
          <w:tcPr>
            <w:tcW w:w="4000" w:type="dxa"/>
            <w:vAlign w:val="bottom"/>
            <w:tcBorders>
              <w:bottom w:val="single" w:sz="8" w:color="CFF0FC"/>
            </w:tcBorders>
          </w:tcPr>
          <w:p>
            <w:pPr>
              <w:spacing w:after="0"/>
              <w:rPr>
                <w:sz w:val="9"/>
                <w:szCs w:val="9"/>
                <w:color w:val="auto"/>
              </w:rPr>
            </w:pPr>
          </w:p>
        </w:tc>
        <w:tc>
          <w:tcPr>
            <w:tcW w:w="1380" w:type="dxa"/>
            <w:vAlign w:val="bottom"/>
            <w:tcBorders>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359"/>
              <w:spacing w:after="0" w:line="104"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top w:val="single" w:sz="8" w:color="auto"/>
              <w:bottom w:val="single" w:sz="8" w:color="CFF0FC"/>
            </w:tcBorders>
          </w:tcPr>
          <w:p>
            <w:pPr>
              <w:spacing w:after="0"/>
              <w:rPr>
                <w:sz w:val="9"/>
                <w:szCs w:val="9"/>
                <w:color w:val="auto"/>
              </w:rPr>
            </w:pPr>
          </w:p>
        </w:tc>
        <w:tc>
          <w:tcPr>
            <w:tcW w:w="100" w:type="dxa"/>
            <w:vAlign w:val="bottom"/>
            <w:tcBorders>
              <w:top w:val="single" w:sz="8" w:color="auto"/>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58"/>
              <w:spacing w:after="0" w:line="104"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359"/>
              <w:spacing w:after="0" w:line="104"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top w:val="single" w:sz="8" w:color="auto"/>
              <w:bottom w:val="single" w:sz="8" w:color="CFF0FC"/>
            </w:tcBorders>
          </w:tcPr>
          <w:p>
            <w:pPr>
              <w:spacing w:after="0"/>
              <w:rPr>
                <w:sz w:val="9"/>
                <w:szCs w:val="9"/>
                <w:color w:val="auto"/>
              </w:rPr>
            </w:pPr>
          </w:p>
        </w:tc>
        <w:tc>
          <w:tcPr>
            <w:tcW w:w="100" w:type="dxa"/>
            <w:vAlign w:val="bottom"/>
            <w:tcBorders>
              <w:top w:val="single" w:sz="8" w:color="auto"/>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78"/>
              <w:spacing w:after="0" w:line="104"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9"/>
                <w:szCs w:val="9"/>
                <w:color w:val="auto"/>
              </w:rPr>
            </w:pPr>
          </w:p>
        </w:tc>
      </w:tr>
      <w:tr>
        <w:trPr>
          <w:trHeight w:val="160"/>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(12,562)</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37,867</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(39,561)</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16,733</w:t>
            </w:r>
          </w:p>
        </w:tc>
        <w:tc>
          <w:tcPr>
            <w:tcW w:w="100" w:type="dxa"/>
            <w:vAlign w:val="bottom"/>
            <w:shd w:val="clear" w:color="auto" w:fill="CFF0FC"/>
          </w:tcPr>
          <w:p>
            <w:pPr>
              <w:spacing w:after="0"/>
              <w:rPr>
                <w:sz w:val="13"/>
                <w:szCs w:val="13"/>
                <w:color w:val="auto"/>
              </w:rPr>
            </w:pPr>
          </w:p>
        </w:tc>
      </w:tr>
      <w:tr>
        <w:trPr>
          <w:trHeight w:val="162"/>
        </w:trPr>
        <w:tc>
          <w:tcPr>
            <w:tcW w:w="4000" w:type="dxa"/>
            <w:vAlign w:val="bottom"/>
            <w:tcBorders>
              <w:top w:val="single" w:sz="8" w:color="CFF0FC"/>
            </w:tcBorders>
          </w:tcPr>
          <w:p>
            <w:pPr>
              <w:spacing w:after="0"/>
              <w:rPr>
                <w:sz w:val="14"/>
                <w:szCs w:val="14"/>
                <w:color w:val="auto"/>
              </w:rPr>
            </w:pPr>
          </w:p>
        </w:tc>
        <w:tc>
          <w:tcPr>
            <w:tcW w:w="13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Basic net (loss) income per share:</w:t>
            </w: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Net (loss) income from continuing operations</w:t>
            </w:r>
          </w:p>
        </w:tc>
        <w:tc>
          <w:tcPr>
            <w:tcW w:w="1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(0.56)</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0.14</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(1.77)</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(1.08)</w:t>
            </w: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income from discontinued operations</w:t>
            </w:r>
          </w:p>
        </w:tc>
        <w:tc>
          <w:tcPr>
            <w:tcW w:w="13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FF0FC"/>
          </w:tcPr>
          <w:p>
            <w:pPr>
              <w:spacing w:after="0"/>
              <w:rPr>
                <w:sz w:val="14"/>
                <w:szCs w:val="14"/>
                <w:color w:val="auto"/>
              </w:rPr>
            </w:pPr>
          </w:p>
        </w:tc>
      </w:tr>
      <w:tr>
        <w:trPr>
          <w:trHeight w:val="160"/>
        </w:trPr>
        <w:tc>
          <w:tcPr>
            <w:tcW w:w="4000" w:type="dxa"/>
            <w:vAlign w:val="bottom"/>
          </w:tcPr>
          <w:p>
            <w:pPr>
              <w:spacing w:after="0"/>
              <w:rPr>
                <w:sz w:val="20"/>
                <w:szCs w:val="20"/>
                <w:color w:val="auto"/>
              </w:rPr>
            </w:pPr>
            <w:r>
              <w:rPr>
                <w:rFonts w:ascii="Arial" w:cs="Arial" w:eastAsia="Arial" w:hAnsi="Arial"/>
                <w:sz w:val="13"/>
                <w:szCs w:val="13"/>
                <w:color w:val="auto"/>
              </w:rPr>
              <w:t>Net (loss) income per basic share</w:t>
            </w:r>
          </w:p>
        </w:tc>
        <w:tc>
          <w:tcPr>
            <w:tcW w:w="1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(0.56)</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1.77</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(1.77)</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0.79</w:t>
            </w:r>
          </w:p>
        </w:tc>
        <w:tc>
          <w:tcPr>
            <w:tcW w:w="100" w:type="dxa"/>
            <w:vAlign w:val="bottom"/>
          </w:tcPr>
          <w:p>
            <w:pPr>
              <w:spacing w:after="0"/>
              <w:rPr>
                <w:sz w:val="13"/>
                <w:szCs w:val="13"/>
                <w:color w:val="auto"/>
              </w:rPr>
            </w:pPr>
          </w:p>
        </w:tc>
      </w:tr>
      <w:tr>
        <w:trPr>
          <w:trHeight w:val="15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Weighted-average shares used to compute per share</w:t>
            </w:r>
          </w:p>
        </w:tc>
        <w:tc>
          <w:tcPr>
            <w:tcW w:w="13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70"/>
        </w:trPr>
        <w:tc>
          <w:tcPr>
            <w:tcW w:w="4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3"/>
                <w:szCs w:val="13"/>
                <w:color w:val="auto"/>
              </w:rPr>
              <w:t>calculations</w:t>
            </w:r>
          </w:p>
        </w:tc>
        <w:tc>
          <w:tcPr>
            <w:tcW w:w="13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22,672,721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21,385,381</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22,431,146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21,138,332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Diluted net (loss) income per share:</w:t>
            </w: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000" w:type="dxa"/>
            <w:vAlign w:val="bottom"/>
          </w:tcPr>
          <w:p>
            <w:pPr>
              <w:spacing w:after="0"/>
              <w:rPr>
                <w:sz w:val="20"/>
                <w:szCs w:val="20"/>
                <w:color w:val="auto"/>
              </w:rPr>
            </w:pPr>
            <w:r>
              <w:rPr>
                <w:rFonts w:ascii="Arial" w:cs="Arial" w:eastAsia="Arial" w:hAnsi="Arial"/>
                <w:sz w:val="13"/>
                <w:szCs w:val="13"/>
                <w:color w:val="auto"/>
              </w:rPr>
              <w:t>Net (loss) income from continuing operations</w:t>
            </w:r>
          </w:p>
        </w:tc>
        <w:tc>
          <w:tcPr>
            <w:tcW w:w="1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(0.56)</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0.14</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(1.77)</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(1.08)</w:t>
            </w:r>
          </w:p>
        </w:tc>
      </w:tr>
      <w:tr>
        <w:trPr>
          <w:trHeight w:val="162"/>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income from discontinued operations</w:t>
            </w:r>
          </w:p>
        </w:tc>
        <w:tc>
          <w:tcPr>
            <w:tcW w:w="13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2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FF0FC"/>
          </w:tcPr>
          <w:p>
            <w:pPr>
              <w:spacing w:after="0"/>
              <w:rPr>
                <w:sz w:val="14"/>
                <w:szCs w:val="14"/>
                <w:color w:val="auto"/>
              </w:rPr>
            </w:pPr>
          </w:p>
        </w:tc>
      </w:tr>
      <w:tr>
        <w:trPr>
          <w:trHeight w:val="160"/>
        </w:trPr>
        <w:tc>
          <w:tcPr>
            <w:tcW w:w="4000" w:type="dxa"/>
            <w:vAlign w:val="bottom"/>
          </w:tcPr>
          <w:p>
            <w:pPr>
              <w:spacing w:after="0"/>
              <w:rPr>
                <w:sz w:val="20"/>
                <w:szCs w:val="20"/>
                <w:color w:val="auto"/>
              </w:rPr>
            </w:pPr>
            <w:r>
              <w:rPr>
                <w:rFonts w:ascii="Arial" w:cs="Arial" w:eastAsia="Arial" w:hAnsi="Arial"/>
                <w:sz w:val="13"/>
                <w:szCs w:val="13"/>
                <w:color w:val="auto"/>
              </w:rPr>
              <w:t>Net (loss) income per diluted share</w:t>
            </w:r>
          </w:p>
        </w:tc>
        <w:tc>
          <w:tcPr>
            <w:tcW w:w="1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(0.56)</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1.75</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(1.77)</w:t>
            </w: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0.79</w:t>
            </w:r>
          </w:p>
        </w:tc>
        <w:tc>
          <w:tcPr>
            <w:tcW w:w="100" w:type="dxa"/>
            <w:vAlign w:val="bottom"/>
          </w:tcPr>
          <w:p>
            <w:pPr>
              <w:spacing w:after="0"/>
              <w:rPr>
                <w:sz w:val="13"/>
                <w:szCs w:val="13"/>
                <w:color w:val="auto"/>
              </w:rPr>
            </w:pPr>
          </w:p>
        </w:tc>
      </w:tr>
      <w:tr>
        <w:trPr>
          <w:trHeight w:val="15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Weighted-average shares used to compute per share</w:t>
            </w:r>
          </w:p>
        </w:tc>
        <w:tc>
          <w:tcPr>
            <w:tcW w:w="13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70"/>
        </w:trPr>
        <w:tc>
          <w:tcPr>
            <w:tcW w:w="4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3"/>
                <w:szCs w:val="13"/>
                <w:color w:val="auto"/>
              </w:rPr>
              <w:t>calculations</w:t>
            </w:r>
          </w:p>
        </w:tc>
        <w:tc>
          <w:tcPr>
            <w:tcW w:w="13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22,672,721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21,672,269</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22,431,146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21,138,332</w:t>
            </w:r>
          </w:p>
        </w:tc>
        <w:tc>
          <w:tcPr>
            <w:tcW w:w="100" w:type="dxa"/>
            <w:vAlign w:val="bottom"/>
            <w:tcBorders>
              <w:bottom w:val="single" w:sz="8" w:color="CFF0FC"/>
            </w:tcBorders>
            <w:shd w:val="clear" w:color="auto" w:fill="CFF0FC"/>
          </w:tcPr>
          <w:p>
            <w:pPr>
              <w:spacing w:after="0"/>
              <w:rPr>
                <w:sz w:val="14"/>
                <w:szCs w:val="14"/>
                <w:color w:val="auto"/>
              </w:rPr>
            </w:pPr>
          </w:p>
        </w:tc>
      </w:tr>
    </w:tbl>
    <w:p>
      <w:pPr>
        <w:spacing w:after="0" w:line="1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represents all potentially dilutive shares, which were all anti-dilutive and therefore excluded from the calculation of diluted net (loss) income per share:</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694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80" w:type="dxa"/>
            <w:vAlign w:val="bottom"/>
            <w:vMerge w:val="restart"/>
          </w:tcPr>
          <w:p>
            <w:pPr>
              <w:spacing w:after="0"/>
              <w:rPr>
                <w:sz w:val="10"/>
                <w:szCs w:val="10"/>
                <w:color w:val="auto"/>
              </w:rPr>
            </w:pPr>
          </w:p>
        </w:tc>
        <w:tc>
          <w:tcPr>
            <w:tcW w:w="3200" w:type="dxa"/>
            <w:vAlign w:val="bottom"/>
            <w:gridSpan w:val="4"/>
          </w:tcPr>
          <w:p>
            <w:pPr>
              <w:ind w:left="600"/>
              <w:spacing w:after="0"/>
              <w:rPr>
                <w:sz w:val="20"/>
                <w:szCs w:val="20"/>
                <w:color w:val="auto"/>
              </w:rPr>
            </w:pPr>
            <w:r>
              <w:rPr>
                <w:rFonts w:ascii="Arial" w:cs="Arial" w:eastAsia="Arial" w:hAnsi="Arial"/>
                <w:sz w:val="10"/>
                <w:szCs w:val="10"/>
                <w:b w:val="1"/>
                <w:bCs w:val="1"/>
                <w:color w:val="auto"/>
              </w:rPr>
              <w:t>For the Nine Months Ended September 30,</w:t>
            </w:r>
          </w:p>
        </w:tc>
        <w:tc>
          <w:tcPr>
            <w:tcW w:w="0" w:type="dxa"/>
            <w:vAlign w:val="bottom"/>
          </w:tcPr>
          <w:p>
            <w:pPr>
              <w:spacing w:after="0"/>
              <w:rPr>
                <w:sz w:val="1"/>
                <w:szCs w:val="1"/>
                <w:color w:val="auto"/>
              </w:rPr>
            </w:pPr>
          </w:p>
        </w:tc>
      </w:tr>
      <w:tr>
        <w:trPr>
          <w:trHeight w:val="104"/>
        </w:trPr>
        <w:tc>
          <w:tcPr>
            <w:tcW w:w="694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CFF0FC"/>
            </w:tcBorders>
            <w:vMerge w:val="continue"/>
          </w:tcPr>
          <w:p>
            <w:pPr>
              <w:spacing w:after="0"/>
              <w:rPr>
                <w:sz w:val="9"/>
                <w:szCs w:val="9"/>
                <w:color w:val="auto"/>
              </w:rPr>
            </w:pPr>
          </w:p>
        </w:tc>
        <w:tc>
          <w:tcPr>
            <w:tcW w:w="1420" w:type="dxa"/>
            <w:vAlign w:val="bottom"/>
            <w:tcBorders>
              <w:top w:val="single" w:sz="8" w:color="auto"/>
              <w:bottom w:val="single" w:sz="8" w:color="auto"/>
            </w:tcBorders>
          </w:tcPr>
          <w:p>
            <w:pPr>
              <w:jc w:val="right"/>
              <w:ind w:right="563"/>
              <w:spacing w:after="0" w:line="104" w:lineRule="exact"/>
              <w:rPr>
                <w:sz w:val="20"/>
                <w:szCs w:val="20"/>
                <w:color w:val="auto"/>
              </w:rPr>
            </w:pPr>
            <w:r>
              <w:rPr>
                <w:rFonts w:ascii="Arial" w:cs="Arial" w:eastAsia="Arial" w:hAnsi="Arial"/>
                <w:sz w:val="10"/>
                <w:szCs w:val="10"/>
                <w:b w:val="1"/>
                <w:bCs w:val="1"/>
                <w:color w:val="auto"/>
              </w:rPr>
              <w:t>2018</w:t>
            </w:r>
          </w:p>
        </w:tc>
        <w:tc>
          <w:tcPr>
            <w:tcW w:w="260" w:type="dxa"/>
            <w:vAlign w:val="bottom"/>
            <w:tcBorders>
              <w:top w:val="single" w:sz="8" w:color="auto"/>
              <w:bottom w:val="single" w:sz="8" w:color="CFF0FC"/>
            </w:tcBorders>
          </w:tcPr>
          <w:p>
            <w:pPr>
              <w:spacing w:after="0"/>
              <w:rPr>
                <w:sz w:val="9"/>
                <w:szCs w:val="9"/>
                <w:color w:val="auto"/>
              </w:rPr>
            </w:pPr>
          </w:p>
        </w:tc>
        <w:tc>
          <w:tcPr>
            <w:tcW w:w="1420" w:type="dxa"/>
            <w:vAlign w:val="bottom"/>
            <w:tcBorders>
              <w:top w:val="single" w:sz="8" w:color="auto"/>
              <w:bottom w:val="single" w:sz="8" w:color="auto"/>
            </w:tcBorders>
          </w:tcPr>
          <w:p>
            <w:pPr>
              <w:jc w:val="right"/>
              <w:ind w:right="561"/>
              <w:spacing w:after="0" w:line="104"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71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Outstanding options to purchase common stock</w:t>
            </w: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3,358</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20" w:type="dxa"/>
            <w:vAlign w:val="bottom"/>
            <w:gridSpan w:val="2"/>
          </w:tcPr>
          <w:p>
            <w:pPr>
              <w:spacing w:after="0"/>
              <w:rPr>
                <w:sz w:val="20"/>
                <w:szCs w:val="20"/>
                <w:color w:val="auto"/>
              </w:rPr>
            </w:pPr>
            <w:r>
              <w:rPr>
                <w:rFonts w:ascii="Arial" w:cs="Arial" w:eastAsia="Arial" w:hAnsi="Arial"/>
                <w:sz w:val="13"/>
                <w:szCs w:val="13"/>
                <w:color w:val="auto"/>
              </w:rPr>
              <w:t>Unvested RSUs</w:t>
            </w:r>
          </w:p>
        </w:tc>
        <w:tc>
          <w:tcPr>
            <w:tcW w:w="1420" w:type="dxa"/>
            <w:vAlign w:val="bottom"/>
          </w:tcPr>
          <w:p>
            <w:pPr>
              <w:jc w:val="right"/>
              <w:spacing w:after="0"/>
              <w:rPr>
                <w:sz w:val="20"/>
                <w:szCs w:val="20"/>
                <w:color w:val="auto"/>
              </w:rPr>
            </w:pPr>
            <w:r>
              <w:rPr>
                <w:rFonts w:ascii="Arial" w:cs="Arial" w:eastAsia="Arial" w:hAnsi="Arial"/>
                <w:sz w:val="13"/>
                <w:szCs w:val="13"/>
                <w:color w:val="auto"/>
              </w:rPr>
              <w:t>139</w:t>
            </w:r>
          </w:p>
        </w:tc>
        <w:tc>
          <w:tcPr>
            <w:tcW w:w="2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10. Equity</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C</w:t>
      </w:r>
      <w:r>
        <w:rPr>
          <w:rFonts w:ascii="Arial" w:cs="Arial" w:eastAsia="Arial" w:hAnsi="Arial"/>
          <w:sz w:val="13"/>
          <w:szCs w:val="13"/>
          <w:i w:val="1"/>
          <w:iCs w:val="1"/>
          <w:u w:val="single" w:color="auto"/>
          <w:color w:val="auto"/>
        </w:rPr>
        <w:t>ommon Stock</w:t>
      </w:r>
    </w:p>
    <w:p>
      <w:pPr>
        <w:spacing w:after="0" w:line="89"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For the nine months ended September 30, 2018, we received proceeds of $0.6 million upon the exercise of stock options which resulted in the issuance of 257,550 shares of common stock. For the nine months ended September 30, 2017 there was no proceeds from the exercise of stock options and no issuance of shares of common stock. We also issued 814,004 and 1,154,994 shares of common stock in the nine months ended September 30, 2018 and September 30, 2017, respectively, upon the vesting of RSUs.</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3"/>
          <w:szCs w:val="13"/>
          <w:u w:val="single" w:color="auto"/>
          <w:color w:val="auto"/>
        </w:rPr>
        <w:t>C</w:t>
      </w:r>
      <w:r>
        <w:rPr>
          <w:rFonts w:ascii="Arial" w:cs="Arial" w:eastAsia="Arial" w:hAnsi="Arial"/>
          <w:sz w:val="13"/>
          <w:szCs w:val="13"/>
          <w:i w:val="1"/>
          <w:iCs w:val="1"/>
          <w:u w:val="single" w:color="auto"/>
          <w:color w:val="auto"/>
        </w:rPr>
        <w:t>onverted Equity Awards Incentive Plan</w:t>
      </w:r>
    </w:p>
    <w:p>
      <w:pPr>
        <w:spacing w:after="0" w:line="80" w:lineRule="exact"/>
        <w:rPr>
          <w:sz w:val="20"/>
          <w:szCs w:val="20"/>
          <w:color w:val="auto"/>
        </w:rPr>
      </w:pPr>
    </w:p>
    <w:p>
      <w:pPr>
        <w:jc w:val="both"/>
        <w:ind w:firstLine="521"/>
        <w:spacing w:after="0" w:line="311" w:lineRule="auto"/>
        <w:rPr>
          <w:sz w:val="20"/>
          <w:szCs w:val="20"/>
          <w:color w:val="auto"/>
        </w:rPr>
      </w:pPr>
      <w:r>
        <w:rPr>
          <w:rFonts w:ascii="Arial" w:cs="Arial" w:eastAsia="Arial" w:hAnsi="Arial"/>
          <w:sz w:val="11"/>
          <w:szCs w:val="11"/>
          <w:color w:val="auto"/>
        </w:rPr>
        <w:t>In connection with the spin-off from Emergent BioSolutions, Inc. (Emergent) in August 2016, we adopted the Converted Equity Awards Incentive Plan (Converted Plan) and outstanding equity awards of Emergent held by Aptevo employees were converted into or replaced with equity awards of Aptevo (Conversion Awards) under the Converted Plan and were adjusted to maintain the economic value before and after the distribution date using the relative fair market value of the Emergent and Aptevo common stock based on the closing prices as of August 1, 2016. A total of 1.3 million shares of Aptevo common stock have been authorized for issuance under the Converted Plan. Options issued as Conversion Awards were priced according to the Converted Plan. RSUs issued as part of the Converted Plan provide for the issuance of a share of Aptevo’s stock at no cost to the holder.</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2016 Stock Incentive Plan</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On August 1, 2016, the Company adopted the 2016 Stock Incentive Plan (2016 SIP). A total of 3.1 million shares of Aptevo common stock have been authorized for issuance under the 2016 SIP in the form of equity stock options.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16" w:name="page17"/>
    <w:bookmarkEnd w:id="16"/>
    <w:p>
      <w:pPr>
        <w:jc w:val="both"/>
        <w:ind w:firstLine="521"/>
        <w:spacing w:after="0" w:line="254" w:lineRule="auto"/>
        <w:rPr>
          <w:sz w:val="20"/>
          <w:szCs w:val="20"/>
          <w:color w:val="auto"/>
        </w:rPr>
      </w:pPr>
      <w:r>
        <w:rPr>
          <w:rFonts w:ascii="Arial" w:cs="Arial" w:eastAsia="Arial" w:hAnsi="Arial"/>
          <w:sz w:val="13"/>
          <w:szCs w:val="13"/>
          <w:color w:val="auto"/>
        </w:rPr>
        <w:t>Stock options under the 2016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136"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RSUs issued under the 2016 SIP provide for the issuance of a share of the Company’s common stock at no cost to the holder. RSUs granted to employees under the 2016 SIP generally provide for time-based vesting over an eighteen-month to three-year period, although certain employees may be awarded RSUs with different time-based vesting criteria. Prior to vesting, RSUs granted under the 2016 SIP do not have dividend equivalent rights, do not have voting rights and the shares underlying the RSUs are not considered issued or outstanding.</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equity compensation awards granted by the Company generally vest only if the employee is employed by the Company (or in the case of directors, the director continues to serve on the Board) on the vesting</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16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On May 31, 2017, at the 2017 Annual Meeting of Stockholders (Annual Meeting), the Company’s stockholders approved the amendment and restatement of the Company’s 2016 SIP (Restated 2016 Plan) to, among other things, increase the number of authorized shares issuable by 1.3 million shares of Aptevo common stock. The Restated 2016 Plan was previously approved, subject to stockholder approval, by the Board of Directors of the Company.</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2018 Stock Incentive Plan</w:t>
      </w:r>
    </w:p>
    <w:p>
      <w:pPr>
        <w:spacing w:after="0" w:line="89"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On June 1, 2018, at the 2018 Annual Meeting, the Company’s stockholders approved a new 2018 Stock Incentive Plan (2018 SIP), which replaces the Restated 2016 Plan on a go-forward basis. All stock options, RSUs or other equity awards granted subsequent to June 1, 2018 will be issued out of the 2018 SIP, which has 2.9 million shares of Aptevo common stock authorized for issuance. The 2018 Plan became effective immediately upon stockholder approval at the Annual Meeting.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3,711,620 shares. The 2018 SIP was previously approved, subject to stockholder approval, by the Board of Directors of the Company. As of September 30, 2018, there are 2.8 million shares available to be granted under the 2018 SIP.</w:t>
      </w:r>
    </w:p>
    <w:p>
      <w:pPr>
        <w:spacing w:after="0" w:line="140"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Stock options under the 2018 SIP generally vest pro rata over a three-year period and terminate ten years from the grant date, though the specific terms of each grant are determined individually. The Company’s executive officers and certain other employees may be awarded options with different vesting criteria, and options granted to non-employee directors also vest over a three-year period. Option exercise prices for new options granted by the Company equal the closing price of the Company’s common stock on the Nasdaq Global Market on the date of grant.</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Stock-based compensation expense includes amortization of stock options and RSUs granted to employees and non-employees and has been reported in our Condensed Consolidated Statements of Operations as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526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4"/>
              </w:rPr>
              <w:t>For the Three Months Ended September 30,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gridSpan w:val="5"/>
          </w:tcPr>
          <w:p>
            <w:pPr>
              <w:ind w:left="80"/>
              <w:spacing w:after="0"/>
              <w:rPr>
                <w:sz w:val="20"/>
                <w:szCs w:val="20"/>
                <w:color w:val="auto"/>
              </w:rPr>
            </w:pPr>
            <w:r>
              <w:rPr>
                <w:rFonts w:ascii="Arial" w:cs="Arial" w:eastAsia="Arial" w:hAnsi="Arial"/>
                <w:sz w:val="10"/>
                <w:szCs w:val="10"/>
                <w:b w:val="1"/>
                <w:bCs w:val="1"/>
                <w:color w:val="auto"/>
              </w:rPr>
              <w:t>For the Nine Months Ended September 30,</w:t>
            </w:r>
          </w:p>
        </w:tc>
        <w:tc>
          <w:tcPr>
            <w:tcW w:w="0" w:type="dxa"/>
            <w:vAlign w:val="bottom"/>
          </w:tcPr>
          <w:p>
            <w:pPr>
              <w:spacing w:after="0"/>
              <w:rPr>
                <w:sz w:val="1"/>
                <w:szCs w:val="1"/>
                <w:color w:val="auto"/>
              </w:rPr>
            </w:pPr>
          </w:p>
        </w:tc>
      </w:tr>
      <w:tr>
        <w:trPr>
          <w:trHeight w:val="104"/>
        </w:trPr>
        <w:tc>
          <w:tcPr>
            <w:tcW w:w="52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ind w:right="361"/>
              <w:spacing w:after="0" w:line="104"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top w:val="single" w:sz="8" w:color="auto"/>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360"/>
              <w:spacing w:after="0" w:line="104" w:lineRule="exact"/>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CFF0FC"/>
            </w:tcBorders>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361"/>
              <w:spacing w:after="0" w:line="104"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top w:val="single" w:sz="8" w:color="auto"/>
              <w:bottom w:val="single" w:sz="8" w:color="CFF0FC"/>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380"/>
              <w:spacing w:after="0" w:line="104"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Research and development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260" w:type="dxa"/>
            <w:vAlign w:val="bottom"/>
            <w:shd w:val="clear" w:color="auto" w:fill="CFF0FC"/>
          </w:tcPr>
          <w:p>
            <w:pPr>
              <w:spacing w:after="0"/>
              <w:rPr>
                <w:sz w:val="20"/>
                <w:szCs w:val="20"/>
                <w:color w:val="auto"/>
              </w:rPr>
            </w:pPr>
            <w:r>
              <w:rPr>
                <w:rFonts w:ascii="Arial" w:cs="Arial" w:eastAsia="Arial" w:hAnsi="Arial"/>
                <w:sz w:val="13"/>
                <w:szCs w:val="13"/>
                <w:color w:val="auto"/>
              </w:rPr>
              <w:t>Total stock-based compensation expense</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20" w:firstLine="521"/>
        <w:spacing w:after="0" w:line="264" w:lineRule="auto"/>
        <w:rPr>
          <w:sz w:val="20"/>
          <w:szCs w:val="20"/>
          <w:color w:val="auto"/>
        </w:rPr>
      </w:pPr>
      <w:r>
        <w:rPr>
          <w:rFonts w:ascii="Arial" w:cs="Arial" w:eastAsia="Arial" w:hAnsi="Arial"/>
          <w:sz w:val="13"/>
          <w:szCs w:val="13"/>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17" w:name="page18"/>
    <w:bookmarkEnd w:id="17"/>
    <w:p>
      <w:pPr>
        <w:ind w:left="520"/>
        <w:spacing w:after="0"/>
        <w:rPr>
          <w:sz w:val="20"/>
          <w:szCs w:val="20"/>
          <w:color w:val="auto"/>
        </w:rPr>
      </w:pPr>
      <w:r>
        <w:rPr>
          <w:rFonts w:ascii="Arial" w:cs="Arial" w:eastAsia="Arial" w:hAnsi="Arial"/>
          <w:sz w:val="13"/>
          <w:szCs w:val="13"/>
          <w:i w:val="1"/>
          <w:iCs w:val="1"/>
          <w:u w:val="single" w:color="auto"/>
          <w:color w:val="auto"/>
        </w:rPr>
        <w:t>Stock Options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Aptevo utilizes the Black-Scholes valuation model for estimating the fair value of all stock options granted. Set forth below are the assumptions used in valuing the stock options granted:</w:t>
      </w:r>
    </w:p>
    <w:p>
      <w:pPr>
        <w:spacing w:after="0" w:line="207" w:lineRule="exact"/>
        <w:rPr>
          <w:sz w:val="20"/>
          <w:szCs w:val="20"/>
          <w:color w:val="auto"/>
        </w:rPr>
      </w:pPr>
    </w:p>
    <w:tbl>
      <w:tblPr>
        <w:tblLayout w:type="fixed"/>
        <w:tblInd w:w="520" w:type="dxa"/>
        <w:tblCellMar>
          <w:top w:w="0" w:type="dxa"/>
          <w:left w:w="0" w:type="dxa"/>
          <w:bottom w:w="0" w:type="dxa"/>
          <w:right w:w="0" w:type="dxa"/>
        </w:tblCellMar>
      </w:tblPr>
      <w:tr>
        <w:trPr>
          <w:trHeight w:val="120"/>
        </w:trPr>
        <w:tc>
          <w:tcPr>
            <w:tcW w:w="6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2520" w:type="dxa"/>
            <w:vAlign w:val="bottom"/>
            <w:gridSpan w:val="5"/>
          </w:tcPr>
          <w:p>
            <w:pPr>
              <w:ind w:left="160"/>
              <w:spacing w:after="0"/>
              <w:rPr>
                <w:sz w:val="20"/>
                <w:szCs w:val="20"/>
                <w:color w:val="auto"/>
              </w:rPr>
            </w:pPr>
            <w:r>
              <w:rPr>
                <w:rFonts w:ascii="Arial" w:cs="Arial" w:eastAsia="Arial" w:hAnsi="Arial"/>
                <w:sz w:val="10"/>
                <w:szCs w:val="10"/>
                <w:b w:val="1"/>
                <w:bCs w:val="1"/>
                <w:color w:val="auto"/>
              </w:rPr>
              <w:t>For the Three Months Ended September 30,</w:t>
            </w:r>
          </w:p>
        </w:tc>
        <w:tc>
          <w:tcPr>
            <w:tcW w:w="2420" w:type="dxa"/>
            <w:vAlign w:val="bottom"/>
            <w:gridSpan w:val="5"/>
          </w:tcPr>
          <w:p>
            <w:pPr>
              <w:ind w:left="200"/>
              <w:spacing w:after="0"/>
              <w:rPr>
                <w:sz w:val="20"/>
                <w:szCs w:val="20"/>
                <w:color w:val="auto"/>
              </w:rPr>
            </w:pPr>
            <w:r>
              <w:rPr>
                <w:rFonts w:ascii="Arial" w:cs="Arial" w:eastAsia="Arial" w:hAnsi="Arial"/>
                <w:sz w:val="10"/>
                <w:szCs w:val="10"/>
                <w:b w:val="1"/>
                <w:bCs w:val="1"/>
                <w:color w:val="auto"/>
              </w:rPr>
              <w:t>For the Nine Months Ended September 30,</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380" w:type="dxa"/>
            <w:vAlign w:val="bottom"/>
            <w:tcBorders>
              <w:bottom w:val="single" w:sz="8" w:color="CFF0FC"/>
            </w:tcBorders>
          </w:tcPr>
          <w:p>
            <w:pPr>
              <w:spacing w:after="0"/>
              <w:rPr>
                <w:sz w:val="9"/>
                <w:szCs w:val="9"/>
                <w:color w:val="auto"/>
              </w:rPr>
            </w:pPr>
          </w:p>
        </w:tc>
        <w:tc>
          <w:tcPr>
            <w:tcW w:w="1040" w:type="dxa"/>
            <w:vAlign w:val="bottom"/>
            <w:tcBorders>
              <w:top w:val="single" w:sz="8" w:color="auto"/>
              <w:bottom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8"/>
              </w:rPr>
              <w:t>2018</w:t>
            </w:r>
          </w:p>
        </w:tc>
        <w:tc>
          <w:tcPr>
            <w:tcW w:w="220" w:type="dxa"/>
            <w:vAlign w:val="bottom"/>
            <w:tcBorders>
              <w:top w:val="single" w:sz="8" w:color="auto"/>
              <w:bottom w:val="single" w:sz="8" w:color="CFF0FC"/>
            </w:tcBorders>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center"/>
              <w:ind w:right="100"/>
              <w:spacing w:after="0" w:line="104" w:lineRule="exact"/>
              <w:rPr>
                <w:sz w:val="20"/>
                <w:szCs w:val="20"/>
                <w:color w:val="auto"/>
              </w:rPr>
            </w:pPr>
            <w:r>
              <w:rPr>
                <w:rFonts w:ascii="Arial" w:cs="Arial" w:eastAsia="Arial" w:hAnsi="Arial"/>
                <w:sz w:val="10"/>
                <w:szCs w:val="10"/>
                <w:b w:val="1"/>
                <w:bCs w:val="1"/>
                <w:color w:val="auto"/>
                <w:w w:val="89"/>
              </w:rPr>
              <w:t>2017</w:t>
            </w:r>
          </w:p>
        </w:tc>
        <w:tc>
          <w:tcPr>
            <w:tcW w:w="220" w:type="dxa"/>
            <w:vAlign w:val="bottom"/>
            <w:tcBorders>
              <w:bottom w:val="single" w:sz="8" w:color="CFF0FC"/>
            </w:tcBorders>
          </w:tcPr>
          <w:p>
            <w:pPr>
              <w:spacing w:after="0"/>
              <w:rPr>
                <w:sz w:val="9"/>
                <w:szCs w:val="9"/>
                <w:color w:val="auto"/>
              </w:rPr>
            </w:pPr>
          </w:p>
        </w:tc>
        <w:tc>
          <w:tcPr>
            <w:tcW w:w="1040" w:type="dxa"/>
            <w:vAlign w:val="bottom"/>
            <w:tcBorders>
              <w:top w:val="single" w:sz="8" w:color="auto"/>
              <w:bottom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89"/>
              </w:rPr>
              <w:t>2018</w:t>
            </w:r>
          </w:p>
        </w:tc>
        <w:tc>
          <w:tcPr>
            <w:tcW w:w="220" w:type="dxa"/>
            <w:vAlign w:val="bottom"/>
            <w:tcBorders>
              <w:top w:val="single" w:sz="8" w:color="auto"/>
              <w:bottom w:val="single" w:sz="8" w:color="CFF0FC"/>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center"/>
              <w:ind w:right="140"/>
              <w:spacing w:after="0" w:line="104" w:lineRule="exact"/>
              <w:rPr>
                <w:sz w:val="20"/>
                <w:szCs w:val="20"/>
                <w:color w:val="auto"/>
              </w:rPr>
            </w:pPr>
            <w:r>
              <w:rPr>
                <w:rFonts w:ascii="Arial" w:cs="Arial" w:eastAsia="Arial" w:hAnsi="Arial"/>
                <w:sz w:val="10"/>
                <w:szCs w:val="10"/>
                <w:b w:val="1"/>
                <w:bCs w:val="1"/>
                <w:color w:val="auto"/>
                <w:w w:val="89"/>
              </w:rPr>
              <w:t>2017</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3"/>
                <w:szCs w:val="13"/>
                <w:color w:val="auto"/>
              </w:rPr>
              <w:t>Expected dividend yield</w:t>
            </w:r>
          </w:p>
        </w:tc>
        <w:tc>
          <w:tcPr>
            <w:tcW w:w="104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0.00%</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center"/>
              <w:ind w:right="100"/>
              <w:spacing w:after="0"/>
              <w:rPr>
                <w:sz w:val="20"/>
                <w:szCs w:val="20"/>
                <w:color w:val="auto"/>
              </w:rPr>
            </w:pPr>
            <w:r>
              <w:rPr>
                <w:rFonts w:ascii="Arial" w:cs="Arial" w:eastAsia="Arial" w:hAnsi="Arial"/>
                <w:sz w:val="13"/>
                <w:szCs w:val="13"/>
                <w:color w:val="auto"/>
                <w:w w:val="86"/>
              </w:rPr>
              <w:t>0.00%</w:t>
            </w:r>
          </w:p>
        </w:tc>
        <w:tc>
          <w:tcPr>
            <w:tcW w:w="220" w:type="dxa"/>
            <w:vAlign w:val="bottom"/>
            <w:tcBorders>
              <w:right w:val="single" w:sz="8" w:color="CFF0FC"/>
            </w:tcBorders>
            <w:shd w:val="clear" w:color="auto" w:fill="CFF0FC"/>
          </w:tcPr>
          <w:p>
            <w:pPr>
              <w:spacing w:after="0"/>
              <w:rPr>
                <w:sz w:val="13"/>
                <w:szCs w:val="13"/>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0.00%</w:t>
            </w:r>
          </w:p>
        </w:tc>
        <w:tc>
          <w:tcPr>
            <w:tcW w:w="220" w:type="dxa"/>
            <w:vAlign w:val="bottom"/>
            <w:tcBorders>
              <w:right w:val="single" w:sz="8" w:color="CFF0FC"/>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center"/>
              <w:ind w:right="140"/>
              <w:spacing w:after="0"/>
              <w:rPr>
                <w:sz w:val="20"/>
                <w:szCs w:val="20"/>
                <w:color w:val="auto"/>
              </w:rPr>
            </w:pPr>
            <w:r>
              <w:rPr>
                <w:rFonts w:ascii="Arial" w:cs="Arial" w:eastAsia="Arial" w:hAnsi="Arial"/>
                <w:sz w:val="13"/>
                <w:szCs w:val="13"/>
                <w:color w:val="auto"/>
                <w:w w:val="86"/>
              </w:rPr>
              <w:t>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gridSpan w:val="2"/>
          </w:tcPr>
          <w:p>
            <w:pPr>
              <w:ind w:left="60"/>
              <w:spacing w:after="0"/>
              <w:rPr>
                <w:sz w:val="20"/>
                <w:szCs w:val="20"/>
                <w:color w:val="auto"/>
              </w:rPr>
            </w:pPr>
            <w:r>
              <w:rPr>
                <w:rFonts w:ascii="Arial" w:cs="Arial" w:eastAsia="Arial" w:hAnsi="Arial"/>
                <w:sz w:val="13"/>
                <w:szCs w:val="13"/>
                <w:color w:val="auto"/>
              </w:rPr>
              <w:t>Expected volatility</w:t>
            </w:r>
          </w:p>
        </w:tc>
        <w:tc>
          <w:tcPr>
            <w:tcW w:w="1040" w:type="dxa"/>
            <w:vAlign w:val="bottom"/>
          </w:tcPr>
          <w:p>
            <w:pPr>
              <w:jc w:val="center"/>
              <w:spacing w:after="0"/>
              <w:rPr>
                <w:sz w:val="20"/>
                <w:szCs w:val="20"/>
                <w:color w:val="auto"/>
              </w:rPr>
            </w:pPr>
            <w:r>
              <w:rPr>
                <w:rFonts w:ascii="Arial" w:cs="Arial" w:eastAsia="Arial" w:hAnsi="Arial"/>
                <w:sz w:val="13"/>
                <w:szCs w:val="13"/>
                <w:color w:val="auto"/>
                <w:w w:val="86"/>
              </w:rPr>
              <w:t>75.00%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00"/>
              <w:spacing w:after="0"/>
              <w:rPr>
                <w:sz w:val="20"/>
                <w:szCs w:val="20"/>
                <w:color w:val="auto"/>
              </w:rPr>
            </w:pPr>
            <w:r>
              <w:rPr>
                <w:rFonts w:ascii="Arial" w:cs="Arial" w:eastAsia="Arial" w:hAnsi="Arial"/>
                <w:sz w:val="13"/>
                <w:szCs w:val="13"/>
                <w:color w:val="auto"/>
                <w:w w:val="90"/>
              </w:rPr>
              <w:t>75.00%</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0"/>
              </w:rPr>
              <w:t>75.00%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40"/>
              <w:spacing w:after="0"/>
              <w:rPr>
                <w:sz w:val="20"/>
                <w:szCs w:val="20"/>
                <w:color w:val="auto"/>
              </w:rPr>
            </w:pPr>
            <w:r>
              <w:rPr>
                <w:rFonts w:ascii="Arial" w:cs="Arial" w:eastAsia="Arial" w:hAnsi="Arial"/>
                <w:sz w:val="13"/>
                <w:szCs w:val="13"/>
                <w:color w:val="auto"/>
                <w:w w:val="90"/>
              </w:rPr>
              <w:t>75.00%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3"/>
                <w:szCs w:val="13"/>
                <w:color w:val="auto"/>
              </w:rPr>
              <w:t>Risk-free interest rate</w:t>
            </w:r>
          </w:p>
        </w:tc>
        <w:tc>
          <w:tcPr>
            <w:tcW w:w="1040" w:type="dxa"/>
            <w:vAlign w:val="bottom"/>
            <w:tcBorders>
              <w:right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2.78%</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center"/>
              <w:ind w:right="100"/>
              <w:spacing w:after="0"/>
              <w:rPr>
                <w:sz w:val="20"/>
                <w:szCs w:val="20"/>
                <w:color w:val="auto"/>
              </w:rPr>
            </w:pPr>
            <w:r>
              <w:rPr>
                <w:rFonts w:ascii="Arial" w:cs="Arial" w:eastAsia="Arial" w:hAnsi="Arial"/>
                <w:sz w:val="13"/>
                <w:szCs w:val="13"/>
                <w:color w:val="auto"/>
                <w:w w:val="86"/>
              </w:rPr>
              <w:t>1.91%</w:t>
            </w:r>
          </w:p>
        </w:tc>
        <w:tc>
          <w:tcPr>
            <w:tcW w:w="220" w:type="dxa"/>
            <w:vAlign w:val="bottom"/>
            <w:tcBorders>
              <w:right w:val="single" w:sz="8" w:color="CFF0FC"/>
            </w:tcBorders>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2.73%</w:t>
            </w:r>
          </w:p>
        </w:tc>
        <w:tc>
          <w:tcPr>
            <w:tcW w:w="2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center"/>
              <w:ind w:right="140"/>
              <w:spacing w:after="0"/>
              <w:rPr>
                <w:sz w:val="20"/>
                <w:szCs w:val="20"/>
                <w:color w:val="auto"/>
              </w:rPr>
            </w:pPr>
            <w:r>
              <w:rPr>
                <w:rFonts w:ascii="Arial" w:cs="Arial" w:eastAsia="Arial" w:hAnsi="Arial"/>
                <w:sz w:val="13"/>
                <w:szCs w:val="13"/>
                <w:color w:val="auto"/>
                <w:w w:val="86"/>
              </w:rPr>
              <w:t>1.91%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tcPr>
          <w:p>
            <w:pPr>
              <w:ind w:left="60"/>
              <w:spacing w:after="0"/>
              <w:rPr>
                <w:sz w:val="20"/>
                <w:szCs w:val="20"/>
                <w:color w:val="auto"/>
              </w:rPr>
            </w:pPr>
            <w:r>
              <w:rPr>
                <w:rFonts w:ascii="Arial" w:cs="Arial" w:eastAsia="Arial" w:hAnsi="Arial"/>
                <w:sz w:val="13"/>
                <w:szCs w:val="13"/>
                <w:color w:val="auto"/>
              </w:rPr>
              <w:t>Expected average life of options</w:t>
            </w:r>
          </w:p>
        </w:tc>
        <w:tc>
          <w:tcPr>
            <w:tcW w:w="1260" w:type="dxa"/>
            <w:vAlign w:val="bottom"/>
            <w:gridSpan w:val="2"/>
          </w:tcPr>
          <w:p>
            <w:pPr>
              <w:jc w:val="right"/>
              <w:ind w:right="580"/>
              <w:spacing w:after="0"/>
              <w:rPr>
                <w:sz w:val="20"/>
                <w:szCs w:val="20"/>
                <w:color w:val="auto"/>
              </w:rPr>
            </w:pPr>
            <w:r>
              <w:rPr>
                <w:rFonts w:ascii="Arial" w:cs="Arial" w:eastAsia="Arial" w:hAnsi="Arial"/>
                <w:sz w:val="13"/>
                <w:szCs w:val="13"/>
                <w:color w:val="auto"/>
              </w:rPr>
              <w:t>6 years</w:t>
            </w: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color w:val="auto"/>
                <w:w w:val="84"/>
              </w:rPr>
              <w:t>6 years</w:t>
            </w:r>
          </w:p>
        </w:tc>
        <w:tc>
          <w:tcPr>
            <w:tcW w:w="1040" w:type="dxa"/>
            <w:vAlign w:val="bottom"/>
          </w:tcPr>
          <w:p>
            <w:pPr>
              <w:jc w:val="center"/>
              <w:spacing w:after="0"/>
              <w:rPr>
                <w:sz w:val="20"/>
                <w:szCs w:val="20"/>
                <w:color w:val="auto"/>
              </w:rPr>
            </w:pPr>
            <w:r>
              <w:rPr>
                <w:rFonts w:ascii="Arial" w:cs="Arial" w:eastAsia="Arial" w:hAnsi="Arial"/>
                <w:sz w:val="13"/>
                <w:szCs w:val="13"/>
                <w:color w:val="auto"/>
                <w:w w:val="84"/>
              </w:rPr>
              <w:t>6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color w:val="auto"/>
                <w:w w:val="84"/>
              </w:rPr>
              <w:t>6 years</w:t>
            </w:r>
          </w:p>
        </w:tc>
        <w:tc>
          <w:tcPr>
            <w:tcW w:w="0" w:type="dxa"/>
            <w:vAlign w:val="bottom"/>
          </w:tcPr>
          <w:p>
            <w:pPr>
              <w:spacing w:after="0"/>
              <w:rPr>
                <w:sz w:val="1"/>
                <w:szCs w:val="1"/>
                <w:color w:val="auto"/>
              </w:rPr>
            </w:pPr>
          </w:p>
        </w:tc>
      </w:tr>
      <w:tr>
        <w:trPr>
          <w:trHeight w:val="334"/>
        </w:trPr>
        <w:tc>
          <w:tcPr>
            <w:tcW w:w="5440" w:type="dxa"/>
            <w:vAlign w:val="bottom"/>
            <w:gridSpan w:val="2"/>
          </w:tcPr>
          <w:p>
            <w:pPr>
              <w:spacing w:after="0"/>
              <w:rPr>
                <w:sz w:val="20"/>
                <w:szCs w:val="20"/>
                <w:color w:val="auto"/>
              </w:rPr>
            </w:pPr>
            <w:r>
              <w:rPr>
                <w:rFonts w:ascii="Arial" w:cs="Arial" w:eastAsia="Arial" w:hAnsi="Arial"/>
                <w:sz w:val="13"/>
                <w:szCs w:val="13"/>
                <w:color w:val="auto"/>
              </w:rPr>
              <w:t>Management has applied an estimated forfeiture rate of 10% for the periods presented.</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440" w:type="dxa"/>
            <w:vAlign w:val="bottom"/>
            <w:gridSpan w:val="2"/>
          </w:tcPr>
          <w:p>
            <w:pPr>
              <w:spacing w:after="0"/>
              <w:rPr>
                <w:sz w:val="20"/>
                <w:szCs w:val="20"/>
                <w:color w:val="auto"/>
              </w:rPr>
            </w:pPr>
            <w:r>
              <w:rPr>
                <w:rFonts w:ascii="Arial" w:cs="Arial" w:eastAsia="Arial" w:hAnsi="Arial"/>
                <w:sz w:val="13"/>
                <w:szCs w:val="13"/>
                <w:color w:val="auto"/>
              </w:rPr>
              <w:t>The following is a summary of option activity for the nine months ended September 30, 2018:</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Weighted-</w:t>
            </w: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5"/>
              </w:rPr>
              <w:t>Weighted-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8"/>
              </w:rPr>
              <w:t>Aggregate</w:t>
            </w:r>
          </w:p>
        </w:tc>
        <w:tc>
          <w:tcPr>
            <w:tcW w:w="0" w:type="dxa"/>
            <w:vAlign w:val="bottom"/>
          </w:tcPr>
          <w:p>
            <w:pPr>
              <w:spacing w:after="0"/>
              <w:rPr>
                <w:sz w:val="1"/>
                <w:szCs w:val="1"/>
                <w:color w:val="auto"/>
              </w:rPr>
            </w:pPr>
          </w:p>
        </w:tc>
      </w:tr>
      <w:tr>
        <w:trPr>
          <w:trHeight w:val="105"/>
        </w:trPr>
        <w:tc>
          <w:tcPr>
            <w:tcW w:w="6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260" w:type="dxa"/>
            <w:vAlign w:val="bottom"/>
            <w:gridSpan w:val="2"/>
          </w:tcPr>
          <w:p>
            <w:pPr>
              <w:jc w:val="right"/>
              <w:ind w:right="520"/>
              <w:spacing w:after="0" w:line="105" w:lineRule="exact"/>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Average</w:t>
            </w:r>
          </w:p>
        </w:tc>
        <w:tc>
          <w:tcPr>
            <w:tcW w:w="10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6"/>
              </w:rPr>
              <w:t>Average</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538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0"/>
              </w:rPr>
              <w:t>Exercise Price</w:t>
            </w:r>
          </w:p>
        </w:tc>
        <w:tc>
          <w:tcPr>
            <w:tcW w:w="220" w:type="dxa"/>
            <w:vAlign w:val="bottom"/>
            <w:tcBorders>
              <w:bottom w:val="single" w:sz="8" w:color="CFF0FC"/>
            </w:tcBorders>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Remaining Term</w:t>
            </w: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4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3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3"/>
                <w:szCs w:val="13"/>
                <w:color w:val="auto"/>
              </w:rPr>
              <w:t>Balance at December 31, 2017</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2,819,344</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w:t>
            </w:r>
          </w:p>
        </w:tc>
        <w:tc>
          <w:tcPr>
            <w:tcW w:w="220" w:type="dxa"/>
            <w:vAlign w:val="bottom"/>
            <w:tcBorders>
              <w:right w:val="single" w:sz="8" w:color="CFF0FC"/>
            </w:tcBorders>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5,134,379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Arial" w:cs="Arial" w:eastAsia="Arial" w:hAnsi="Arial"/>
                <w:sz w:val="13"/>
                <w:szCs w:val="13"/>
                <w:color w:val="auto"/>
              </w:rPr>
              <w:t>Granted</w:t>
            </w:r>
          </w:p>
        </w:tc>
        <w:tc>
          <w:tcPr>
            <w:tcW w:w="1040" w:type="dxa"/>
            <w:vAlign w:val="bottom"/>
          </w:tcPr>
          <w:p>
            <w:pPr>
              <w:jc w:val="right"/>
              <w:spacing w:after="0"/>
              <w:rPr>
                <w:sz w:val="20"/>
                <w:szCs w:val="20"/>
                <w:color w:val="auto"/>
              </w:rPr>
            </w:pPr>
            <w:r>
              <w:rPr>
                <w:rFonts w:ascii="Arial" w:cs="Arial" w:eastAsia="Arial" w:hAnsi="Arial"/>
                <w:sz w:val="13"/>
                <w:szCs w:val="13"/>
                <w:color w:val="auto"/>
              </w:rPr>
              <w:t>907,388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3.55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80" w:type="dxa"/>
            <w:vAlign w:val="bottom"/>
            <w:tcBorders>
              <w:right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Exercised</w:t>
            </w:r>
          </w:p>
        </w:tc>
        <w:tc>
          <w:tcPr>
            <w:tcW w:w="12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(237,508)</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w:t>
            </w:r>
          </w:p>
        </w:tc>
        <w:tc>
          <w:tcPr>
            <w:tcW w:w="220" w:type="dxa"/>
            <w:vAlign w:val="bottom"/>
            <w:tcBorders>
              <w:right w:val="single" w:sz="8" w:color="CFF0FC"/>
            </w:tcBorders>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536,165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380" w:type="dxa"/>
            <w:vAlign w:val="bottom"/>
          </w:tcPr>
          <w:p>
            <w:pPr>
              <w:ind w:left="160"/>
              <w:spacing w:after="0"/>
              <w:rPr>
                <w:sz w:val="20"/>
                <w:szCs w:val="20"/>
                <w:color w:val="auto"/>
              </w:rPr>
            </w:pPr>
            <w:r>
              <w:rPr>
                <w:rFonts w:ascii="Arial" w:cs="Arial" w:eastAsia="Arial" w:hAnsi="Arial"/>
                <w:sz w:val="13"/>
                <w:szCs w:val="13"/>
                <w:color w:val="auto"/>
              </w:rPr>
              <w:t>Forfeited</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(131,691)</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246,388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8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Outstanding at September 30, 2018</w:t>
            </w: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vMerge w:val="restart"/>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5380" w:type="dxa"/>
            <w:vAlign w:val="bottom"/>
            <w:tcBorders>
              <w:right w:val="single" w:sz="8" w:color="CFF0FC"/>
            </w:tcBorders>
            <w:vMerge w:val="continue"/>
            <w:shd w:val="clear" w:color="auto" w:fill="CFF0FC"/>
          </w:tcPr>
          <w:p>
            <w:pPr>
              <w:spacing w:after="0"/>
              <w:rPr>
                <w:sz w:val="13"/>
                <w:szCs w:val="13"/>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3,357,533</w:t>
            </w:r>
          </w:p>
        </w:tc>
        <w:tc>
          <w:tcPr>
            <w:tcW w:w="220" w:type="dxa"/>
            <w:vAlign w:val="bottom"/>
            <w:tcBorders>
              <w:right w:val="single" w:sz="8" w:color="CFF0FC"/>
            </w:tcBorders>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7,936,601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38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40" w:type="dxa"/>
            <w:vAlign w:val="bottom"/>
            <w:gridSpan w:val="2"/>
          </w:tcPr>
          <w:p>
            <w:pPr>
              <w:ind w:left="60"/>
              <w:spacing w:after="0"/>
              <w:rPr>
                <w:sz w:val="20"/>
                <w:szCs w:val="20"/>
                <w:color w:val="auto"/>
              </w:rPr>
            </w:pPr>
            <w:r>
              <w:rPr>
                <w:rFonts w:ascii="Arial" w:cs="Arial" w:eastAsia="Arial" w:hAnsi="Arial"/>
                <w:sz w:val="13"/>
                <w:szCs w:val="13"/>
                <w:color w:val="auto"/>
              </w:rPr>
              <w:t>Exercisable at September 30, 2018</w:t>
            </w:r>
          </w:p>
        </w:tc>
        <w:tc>
          <w:tcPr>
            <w:tcW w:w="1040" w:type="dxa"/>
            <w:vAlign w:val="bottom"/>
          </w:tcPr>
          <w:p>
            <w:pPr>
              <w:jc w:val="right"/>
              <w:spacing w:after="0"/>
              <w:rPr>
                <w:sz w:val="20"/>
                <w:szCs w:val="20"/>
                <w:color w:val="auto"/>
              </w:rPr>
            </w:pPr>
            <w:r>
              <w:rPr>
                <w:rFonts w:ascii="Arial" w:cs="Arial" w:eastAsia="Arial" w:hAnsi="Arial"/>
                <w:sz w:val="13"/>
                <w:szCs w:val="13"/>
                <w:color w:val="auto"/>
              </w:rPr>
              <w:t>1,592,789</w:t>
            </w:r>
          </w:p>
        </w:tc>
        <w:tc>
          <w:tcPr>
            <w:tcW w:w="22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2.50</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5.39</w:t>
            </w:r>
          </w:p>
        </w:tc>
        <w:tc>
          <w:tcPr>
            <w:tcW w:w="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4,107,444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0" w:firstLine="521"/>
        <w:spacing w:after="0" w:line="264" w:lineRule="auto"/>
        <w:rPr>
          <w:sz w:val="20"/>
          <w:szCs w:val="20"/>
          <w:color w:val="auto"/>
        </w:rPr>
      </w:pPr>
      <w:r>
        <w:rPr>
          <w:rFonts w:ascii="Arial" w:cs="Arial" w:eastAsia="Arial" w:hAnsi="Arial"/>
          <w:sz w:val="13"/>
          <w:szCs w:val="13"/>
          <w:color w:val="auto"/>
        </w:rPr>
        <w:t>As of September 30, 2018, we had $2.4 million of unrecognized compensation expense related to options expected to vest over a weighted average period of 2.1 years. The weighted average remaining contractual life of outstanding and exercisable options is 7.1 years.</w:t>
      </w:r>
    </w:p>
    <w:p>
      <w:pPr>
        <w:spacing w:after="0" w:line="129" w:lineRule="exact"/>
        <w:rPr>
          <w:sz w:val="20"/>
          <w:szCs w:val="20"/>
          <w:color w:val="auto"/>
        </w:rPr>
      </w:pPr>
    </w:p>
    <w:p>
      <w:pPr>
        <w:ind w:firstLine="521"/>
        <w:spacing w:after="0" w:line="306" w:lineRule="auto"/>
        <w:rPr>
          <w:sz w:val="20"/>
          <w:szCs w:val="20"/>
          <w:color w:val="auto"/>
        </w:rPr>
      </w:pPr>
      <w:r>
        <w:rPr>
          <w:rFonts w:ascii="Arial" w:cs="Arial" w:eastAsia="Arial" w:hAnsi="Arial"/>
          <w:sz w:val="12"/>
          <w:szCs w:val="12"/>
          <w:color w:val="auto"/>
        </w:rPr>
        <w:t>The aggregate intrinsic value in the table above represents the total pretax intrinsic value (the difference between the closing stock price of Aptevo’s common stock on the last trading day of September 2018 and the exercise price, multiplied by the number of in the money options) that would have been received by the option holders had all the option holders exercised their options on the last trading day of the quarter.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Restricted Stock Units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is a summary of RSU activity for the nine months ended September 30, 2018:</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ind w:right="121"/>
              <w:spacing w:after="0"/>
              <w:rPr>
                <w:sz w:val="20"/>
                <w:szCs w:val="20"/>
                <w:color w:val="auto"/>
              </w:rPr>
            </w:pPr>
            <w:r>
              <w:rPr>
                <w:rFonts w:ascii="Arial" w:cs="Arial" w:eastAsia="Arial" w:hAnsi="Arial"/>
                <w:sz w:val="10"/>
                <w:szCs w:val="10"/>
                <w:b w:val="1"/>
                <w:bCs w:val="1"/>
                <w:color w:val="auto"/>
                <w:w w:val="88"/>
              </w:rPr>
              <w:t>Weighted</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6120" w:type="dxa"/>
            <w:vAlign w:val="bottom"/>
          </w:tcPr>
          <w:p>
            <w:pPr>
              <w:spacing w:after="0"/>
              <w:rPr>
                <w:sz w:val="9"/>
                <w:szCs w:val="9"/>
                <w:color w:val="auto"/>
              </w:rPr>
            </w:pPr>
          </w:p>
        </w:tc>
        <w:tc>
          <w:tcPr>
            <w:tcW w:w="134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jc w:val="center"/>
              <w:ind w:right="121"/>
              <w:spacing w:after="0" w:line="105" w:lineRule="exact"/>
              <w:rPr>
                <w:sz w:val="20"/>
                <w:szCs w:val="20"/>
                <w:color w:val="auto"/>
              </w:rPr>
            </w:pPr>
            <w:r>
              <w:rPr>
                <w:rFonts w:ascii="Arial" w:cs="Arial" w:eastAsia="Arial" w:hAnsi="Arial"/>
                <w:sz w:val="10"/>
                <w:szCs w:val="10"/>
                <w:b w:val="1"/>
                <w:bCs w:val="1"/>
                <w:color w:val="auto"/>
                <w:w w:val="92"/>
              </w:rPr>
              <w:t>Average Fair</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ind w:left="160"/>
              <w:spacing w:after="0" w:line="105" w:lineRule="exact"/>
              <w:rPr>
                <w:sz w:val="20"/>
                <w:szCs w:val="20"/>
                <w:color w:val="auto"/>
              </w:rPr>
            </w:pPr>
            <w:r>
              <w:rPr>
                <w:rFonts w:ascii="Arial" w:cs="Arial" w:eastAsia="Arial" w:hAnsi="Arial"/>
                <w:sz w:val="10"/>
                <w:szCs w:val="10"/>
                <w:b w:val="1"/>
                <w:bCs w:val="1"/>
                <w:color w:val="auto"/>
              </w:rPr>
              <w:t>Aggregate</w:t>
            </w:r>
          </w:p>
        </w:tc>
        <w:tc>
          <w:tcPr>
            <w:tcW w:w="0" w:type="dxa"/>
            <w:vAlign w:val="bottom"/>
          </w:tcPr>
          <w:p>
            <w:pPr>
              <w:spacing w:after="0"/>
              <w:rPr>
                <w:sz w:val="1"/>
                <w:szCs w:val="1"/>
                <w:color w:val="auto"/>
              </w:rPr>
            </w:pPr>
          </w:p>
        </w:tc>
      </w:tr>
      <w:tr>
        <w:trPr>
          <w:trHeight w:val="120"/>
        </w:trPr>
        <w:tc>
          <w:tcPr>
            <w:tcW w:w="6120" w:type="dxa"/>
            <w:vAlign w:val="bottom"/>
            <w:tcBorders>
              <w:bottom w:val="single" w:sz="8" w:color="CFF0FC"/>
            </w:tcBorders>
          </w:tcPr>
          <w:p>
            <w:pPr>
              <w:spacing w:after="0"/>
              <w:rPr>
                <w:sz w:val="10"/>
                <w:szCs w:val="10"/>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Units</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5"/>
              </w:rPr>
              <w:t>Value per Unit</w:t>
            </w:r>
          </w:p>
        </w:tc>
        <w:tc>
          <w:tcPr>
            <w:tcW w:w="2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Fair Value</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12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2017</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1,211,487</w:t>
            </w:r>
          </w:p>
        </w:tc>
        <w:tc>
          <w:tcPr>
            <w:tcW w:w="12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5,136,705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160"/>
              <w:spacing w:after="0"/>
              <w:rPr>
                <w:sz w:val="20"/>
                <w:szCs w:val="20"/>
                <w:color w:val="auto"/>
              </w:rPr>
            </w:pPr>
            <w:r>
              <w:rPr>
                <w:rFonts w:ascii="Arial" w:cs="Arial" w:eastAsia="Arial" w:hAnsi="Arial"/>
                <w:sz w:val="13"/>
                <w:szCs w:val="13"/>
                <w:color w:val="auto"/>
              </w:rPr>
              <w:t>Vested</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(1,057,448)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2.90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3,507,341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Forfeited</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(15,313)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3"/>
                <w:szCs w:val="13"/>
                <w:color w:val="auto"/>
              </w:rPr>
              <w:t>Outstanding at September 30, 2018</w:t>
            </w: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120" w:type="dxa"/>
            <w:vAlign w:val="bottom"/>
            <w:vMerge w:val="continue"/>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138,726</w:t>
            </w:r>
          </w:p>
        </w:tc>
        <w:tc>
          <w:tcPr>
            <w:tcW w:w="12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2.98</w:t>
            </w: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704,728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Expected to Vest</w:t>
            </w:r>
          </w:p>
        </w:tc>
        <w:tc>
          <w:tcPr>
            <w:tcW w:w="1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vMerge w:val="continue"/>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132,078</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670,956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120" w:type="dxa"/>
            <w:vAlign w:val="bottom"/>
            <w:shd w:val="clear" w:color="auto" w:fill="CFF0FC"/>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September 30, 2018, we had $0.1 million of unrecognized compensation expense related to RSUs expected to vest over a period of 0.5 years.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fair value of each RSU has been determined to be the closing trading price of the Company’s common stock on the date of grant as quoted on the Nasdaq Global Market.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18" w:name="page19"/>
    <w:bookmarkEnd w:id="18"/>
    <w:p>
      <w:pPr>
        <w:ind w:left="520"/>
        <w:spacing w:after="0"/>
        <w:rPr>
          <w:sz w:val="20"/>
          <w:szCs w:val="20"/>
          <w:color w:val="auto"/>
        </w:rPr>
      </w:pPr>
      <w:r>
        <w:rPr>
          <w:rFonts w:ascii="Arial" w:cs="Arial" w:eastAsia="Arial" w:hAnsi="Arial"/>
          <w:sz w:val="13"/>
          <w:szCs w:val="13"/>
          <w:b w:val="1"/>
          <w:bCs w:val="1"/>
          <w:color w:val="auto"/>
        </w:rPr>
        <w:t>Note 11. Revenue Reserves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summarizes activity in each of our product revenue allowance and reserve categories for the nine month period ending September 30, 2018:</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2"/>
              </w:rPr>
              <w:t>Distribution Fees,</w:t>
            </w:r>
          </w:p>
        </w:tc>
        <w:tc>
          <w:tcPr>
            <w:tcW w:w="0" w:type="dxa"/>
            <w:vAlign w:val="bottom"/>
          </w:tcPr>
          <w:p>
            <w:pPr>
              <w:spacing w:after="0"/>
              <w:rPr>
                <w:sz w:val="1"/>
                <w:szCs w:val="1"/>
                <w:color w:val="auto"/>
              </w:rPr>
            </w:pPr>
          </w:p>
        </w:tc>
      </w:tr>
      <w:tr>
        <w:trPr>
          <w:trHeight w:val="105"/>
        </w:trPr>
        <w:tc>
          <w:tcPr>
            <w:tcW w:w="6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Chargebacks and</w:t>
            </w: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9"/>
              </w:rPr>
              <w:t>Cash Discounts and</w:t>
            </w:r>
          </w:p>
        </w:tc>
        <w:tc>
          <w:tcPr>
            <w:tcW w:w="0" w:type="dxa"/>
            <w:vAlign w:val="bottom"/>
          </w:tcPr>
          <w:p>
            <w:pPr>
              <w:spacing w:after="0"/>
              <w:rPr>
                <w:sz w:val="1"/>
                <w:szCs w:val="1"/>
                <w:color w:val="auto"/>
              </w:rPr>
            </w:pPr>
          </w:p>
        </w:tc>
      </w:tr>
      <w:tr>
        <w:trPr>
          <w:trHeight w:val="120"/>
        </w:trPr>
        <w:tc>
          <w:tcPr>
            <w:tcW w:w="64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 thousands)</w:t>
            </w:r>
          </w:p>
        </w:tc>
        <w:tc>
          <w:tcPr>
            <w:tcW w:w="160" w:type="dxa"/>
            <w:vAlign w:val="bottom"/>
            <w:tcBorders>
              <w:bottom w:val="single" w:sz="8" w:color="CFF0FC"/>
            </w:tcBorders>
          </w:tcPr>
          <w:p>
            <w:pPr>
              <w:spacing w:after="0"/>
              <w:rPr>
                <w:sz w:val="10"/>
                <w:szCs w:val="10"/>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rPr>
              <w:t>Rebates</w:t>
            </w:r>
          </w:p>
        </w:tc>
        <w:tc>
          <w:tcPr>
            <w:tcW w:w="4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jc w:val="center"/>
              <w:ind w:right="202"/>
              <w:spacing w:after="0"/>
              <w:rPr>
                <w:sz w:val="20"/>
                <w:szCs w:val="20"/>
                <w:color w:val="auto"/>
              </w:rPr>
            </w:pPr>
            <w:r>
              <w:rPr>
                <w:rFonts w:ascii="Arial" w:cs="Arial" w:eastAsia="Arial" w:hAnsi="Arial"/>
                <w:sz w:val="10"/>
                <w:szCs w:val="10"/>
                <w:b w:val="1"/>
                <w:bCs w:val="1"/>
                <w:color w:val="auto"/>
                <w:w w:val="87"/>
              </w:rPr>
              <w:t>Patient Assistance</w:t>
            </w:r>
          </w:p>
        </w:tc>
        <w:tc>
          <w:tcPr>
            <w:tcW w:w="10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4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Balance at December 31, 2017</w:t>
            </w:r>
          </w:p>
        </w:tc>
        <w:tc>
          <w:tcPr>
            <w:tcW w:w="1440" w:type="dxa"/>
            <w:vAlign w:val="bottom"/>
            <w:gridSpan w:val="2"/>
            <w:shd w:val="clear" w:color="auto" w:fill="CFF0FC"/>
          </w:tcPr>
          <w:p>
            <w:pPr>
              <w:jc w:val="right"/>
              <w:ind w:right="1169"/>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(428)</w:t>
            </w: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60"/>
              <w:spacing w:after="0"/>
              <w:rPr>
                <w:sz w:val="20"/>
                <w:szCs w:val="20"/>
                <w:color w:val="auto"/>
              </w:rPr>
            </w:pPr>
            <w:r>
              <w:rPr>
                <w:rFonts w:ascii="Arial" w:cs="Arial" w:eastAsia="Arial" w:hAnsi="Arial"/>
                <w:sz w:val="13"/>
                <w:szCs w:val="13"/>
                <w:color w:val="auto"/>
              </w:rPr>
              <w:t>Provision related to current period sales</w:t>
            </w: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(1,383)</w:t>
            </w:r>
          </w:p>
        </w:tc>
        <w:tc>
          <w:tcPr>
            <w:tcW w:w="240" w:type="dxa"/>
            <w:vAlign w:val="bottom"/>
          </w:tcPr>
          <w:p>
            <w:pPr>
              <w:spacing w:after="0"/>
              <w:rPr>
                <w:sz w:val="13"/>
                <w:szCs w:val="13"/>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(1,783)</w:t>
            </w:r>
          </w:p>
        </w:tc>
        <w:tc>
          <w:tcPr>
            <w:tcW w:w="0" w:type="dxa"/>
            <w:vAlign w:val="bottom"/>
          </w:tcPr>
          <w:p>
            <w:pPr>
              <w:spacing w:after="0"/>
              <w:rPr>
                <w:sz w:val="1"/>
                <w:szCs w:val="1"/>
                <w:color w:val="auto"/>
              </w:rPr>
            </w:pPr>
          </w:p>
        </w:tc>
      </w:tr>
      <w:tr>
        <w:trPr>
          <w:trHeight w:val="162"/>
        </w:trPr>
        <w:tc>
          <w:tcPr>
            <w:tcW w:w="64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Credit or payments made during the period</w:t>
            </w:r>
          </w:p>
        </w:tc>
        <w:tc>
          <w:tcPr>
            <w:tcW w:w="160" w:type="dxa"/>
            <w:vAlign w:val="bottom"/>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1,058</w:t>
            </w:r>
          </w:p>
        </w:tc>
        <w:tc>
          <w:tcPr>
            <w:tcW w:w="24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20"/>
                <w:szCs w:val="20"/>
                <w:color w:val="auto"/>
              </w:rPr>
            </w:pPr>
            <w:r>
              <w:rPr>
                <w:rFonts w:ascii="Arial" w:cs="Arial" w:eastAsia="Arial" w:hAnsi="Arial"/>
                <w:sz w:val="13"/>
                <w:szCs w:val="13"/>
                <w:color w:val="auto"/>
              </w:rPr>
              <w:t>Balance at September 30, 2018</w:t>
            </w:r>
          </w:p>
        </w:tc>
        <w:tc>
          <w:tcPr>
            <w:tcW w:w="1440" w:type="dxa"/>
            <w:vAlign w:val="bottom"/>
            <w:gridSpan w:val="2"/>
          </w:tcPr>
          <w:p>
            <w:pPr>
              <w:jc w:val="right"/>
              <w:ind w:right="1169"/>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(753)</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29"/>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Note 12. Income Taxes</w:t>
      </w:r>
    </w:p>
    <w:p>
      <w:pPr>
        <w:spacing w:after="0" w:line="93"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On December 22, 2017, the President of the United States signed into law Public Law No. 115-97, commonly referred to as the Tax Reform Act, following its passage by the United States Congress. The Tax Act made significant changes to U.S. federal income tax laws, including reduction of the corporate tax rate from 35.0% to 21.0%, limitation of the deduction for net operating losses to 80.0% of current year taxable income and elimination of net operating loss carrybacks, one-time taxation of offshore earning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w:t>
      </w:r>
    </w:p>
    <w:p>
      <w:pPr>
        <w:spacing w:after="0" w:line="122"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2"/>
          <w:szCs w:val="12"/>
          <w:color w:val="auto"/>
        </w:rPr>
        <w:t>In December 2017, the SEC issued Staff Accounting Bulletin (SAB) 118 to address the application of U.S. GAAP in situations in which a registrant does not have the necessary information available, prepared, or analyzed (including computations) in reasonable detail to complete the accounting for certain income tax effects of the Tax Cuts and Jobs Act (the Tax Reform Act) which was signed into law on December 22, 2017. In March 2018, the FASB issued ASU 2018-05, which amended ASC 740 to incorporate the requirements of SAB 118. We recognized the provisional tax impacts of the Tax Reform Act in the fourth quarter of 2017. During the third quarter of 2018, we filed our US federal tax return. While we do not anticipate any remaining adjustments related to the Act, the measurement period under SAB 118 remains open as there is still anticipated guidance clarifying certain aspects of the Act. Any subsequent adjustments will be recorded in the fourth quarter of 2018 when the full analysis is complete.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84" w:lineRule="exact"/>
        <w:rPr>
          <w:sz w:val="20"/>
          <w:szCs w:val="20"/>
          <w:color w:val="auto"/>
        </w:rPr>
      </w:pPr>
    </w:p>
    <w:p>
      <w:pPr>
        <w:jc w:val="both"/>
        <w:ind w:firstLine="521"/>
        <w:spacing w:after="0" w:line="270" w:lineRule="auto"/>
        <w:rPr>
          <w:sz w:val="20"/>
          <w:szCs w:val="20"/>
          <w:color w:val="auto"/>
        </w:rPr>
      </w:pPr>
      <w:r>
        <w:rPr>
          <w:rFonts w:ascii="Arial" w:cs="Arial" w:eastAsia="Arial" w:hAnsi="Arial"/>
          <w:sz w:val="12"/>
          <w:szCs w:val="12"/>
          <w:i w:val="1"/>
          <w:iCs w:val="1"/>
          <w:color w:val="auto"/>
        </w:rPr>
        <w:t>This quarterly report on Form 10-Q includes “forward-looking statements” within the meaning of Section 27A of the Securities Act of 1933, as amended, and Section 21E of the Securities Exchange Act of 1934, as amended. All statements in this quarterly report, other than statements of historical facts, including statements regarding our strategy, future operations,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We may not actually achieve the plans, intentions, expectations or objectives disclosed in our forward-looking statements and the assumptions underlying our forward-looking statements may prove incorrect. Therefore, you should not place undue reliance on our forward-looking statements. Actual results or events could differ materially from the plans, intentions, expectations and objectives disclosed in the forward-looking statements that we make.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quarterly report. Our forward-looking statements in this quarterly report are based on current expectations and we do not assume any obligation to update any forward-looking statements.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You should read the following discussion and analysis together with the financial statements and the related notes to those statements included elsewhere in this quarterly report.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Overview</w:t>
      </w:r>
    </w:p>
    <w:p>
      <w:pPr>
        <w:spacing w:after="0" w:line="160"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We are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as well as various investigational stage product candidates in immuno-oncology and autoimmune and inflammatory diseases.</w:t>
      </w:r>
    </w:p>
    <w:p>
      <w:pPr>
        <w:spacing w:after="0" w:line="136" w:lineRule="exact"/>
        <w:rPr>
          <w:sz w:val="20"/>
          <w:szCs w:val="20"/>
          <w:color w:val="auto"/>
        </w:rPr>
      </w:pPr>
    </w:p>
    <w:p>
      <w:pPr>
        <w:jc w:val="both"/>
        <w:ind w:firstLine="521"/>
        <w:spacing w:after="0" w:line="269" w:lineRule="auto"/>
        <w:rPr>
          <w:sz w:val="20"/>
          <w:szCs w:val="20"/>
          <w:color w:val="auto"/>
        </w:rPr>
      </w:pPr>
      <w:r>
        <w:rPr>
          <w:rFonts w:ascii="Arial" w:cs="Arial" w:eastAsia="Arial" w:hAnsi="Arial"/>
          <w:sz w:val="12"/>
          <w:szCs w:val="12"/>
          <w:color w:val="auto"/>
        </w:rPr>
        <w:t>For the three months ended September 30, 2018, we had a net loss of $12.6 million, and for the three months ended September 30, 2017, we recognized net income of $37.9 million, due to the sale of our Hyperimmune Business, which consisted of the following products: WinRho® SDF; HepaGam B®; and VARIZIG®, or the Hyperimmune Business. For the nine months ended September 30, 2018, we had a net loss of $39.6 million, and for the nine months ended September 30, 2017, we recognized net income of $16.7 million, due to the sale of our Hyperimmune Business in the third quarter of 2017. We had an accumulated deficit of $113.3 million as of September 30, 2018. For the nine months ended September 30, 2018, net cash used in our operating activities was $44.1 million. Although we expect our existing cash and cash equivalents will be sufficient to fund our operations for at least twelve months from the date of this filing, if we are unable to obtain additional financing when needed, we may have to delay, reduce the scope of, suspend or eliminate one or more of our research and development programs. Following the sale of the Hyperimmune Business, our sole marked product is IXINITY</w:t>
      </w:r>
      <w:r>
        <w:rPr>
          <w:rFonts w:ascii="Arial" w:cs="Arial" w:eastAsia="Arial" w:hAnsi="Arial"/>
          <w:sz w:val="9"/>
          <w:szCs w:val="9"/>
          <w:color w:val="auto"/>
        </w:rPr>
        <w:t>®</w:t>
      </w:r>
      <w:r>
        <w:rPr>
          <w:rFonts w:ascii="Arial" w:cs="Arial" w:eastAsia="Arial" w:hAnsi="Arial"/>
          <w:sz w:val="12"/>
          <w:szCs w:val="12"/>
          <w:color w:val="auto"/>
        </w:rPr>
        <w:t>, and therefore IXINITY will be our only source of product revenue. As such, our results of operations will be highly dependent on IXINITY sales unless or until we develop or partner any of our development stage product candidates. We will not generate commercial revenues from our development stage product candidates unless and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Pipeline Highlights</w:t>
      </w:r>
    </w:p>
    <w:p>
      <w:pPr>
        <w:spacing w:after="0" w:line="84" w:lineRule="exact"/>
        <w:rPr>
          <w:sz w:val="20"/>
          <w:szCs w:val="20"/>
          <w:color w:val="auto"/>
        </w:rPr>
      </w:pPr>
    </w:p>
    <w:p>
      <w:pPr>
        <w:jc w:val="both"/>
        <w:ind w:firstLine="521"/>
        <w:spacing w:after="0" w:line="264" w:lineRule="auto"/>
        <w:rPr>
          <w:sz w:val="20"/>
          <w:szCs w:val="20"/>
          <w:color w:val="auto"/>
        </w:rPr>
      </w:pPr>
      <w:r>
        <w:rPr>
          <w:rFonts w:ascii="Arial" w:cs="Arial" w:eastAsia="Arial" w:hAnsi="Arial"/>
          <w:sz w:val="13"/>
          <w:szCs w:val="13"/>
          <w:color w:val="auto"/>
        </w:rPr>
        <w:t>We have one marketed product, IXINITY coagulation factor IX (recombinant), indicated in adults and children 12 years of age and older with Hemophilia B for control and prevention of bleeding episodes, and management of bleeding during operations.</w:t>
      </w:r>
    </w:p>
    <w:p>
      <w:pPr>
        <w:spacing w:after="0" w:line="129"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We also have numerous investigational stage product candidates based on our ADAPTIR platform. The ADAPTIR platform technology can produce monospecific and multispecific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other ADAPTIR immunotherapeutics that engage immune effector cells and disease targets in a novel manner to produce unique signaling responses and ultimately kill tumors or modulate the immune system to kill tumors. We are skilled at product candidate generation, validation and subsequent preclinical and clinical development using the ADAPTIR platform. We have the ability to progress ADAPTIR molecules from concept to commercialization by way of our protein engineering, preclinical development and process development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capabilities, cGMP manufacturing oversight and clinical development capabilities. We also have the ability to launch, market and commercialize these product candidates upon approval.</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investigational stage product candidates are:</w:t>
      </w:r>
    </w:p>
    <w:p>
      <w:pPr>
        <w:spacing w:after="0" w:line="80" w:lineRule="exact"/>
        <w:rPr>
          <w:sz w:val="20"/>
          <w:szCs w:val="20"/>
          <w:color w:val="auto"/>
        </w:rPr>
      </w:pPr>
    </w:p>
    <w:p>
      <w:pPr>
        <w:jc w:val="both"/>
        <w:ind w:left="1020" w:right="20" w:hanging="508"/>
        <w:spacing w:after="0" w:line="286" w:lineRule="auto"/>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APVO436, a bispecific ADAPTIR candidate targeting CD123, a cell surface receptor highly expressed on several hematological malignancies and CD3. APVO436 engages T cells to initiate killing of tumor cells. Aptevo filed an investigational new drug application (IND) to evaluate APVO436 in a Phase 1 clinical trial for the treatment of patients with relapsed or refractory acute myeloid leukemia (AML) or myelodysplastic syndrome (MDS) in the second quarter of 2018 and plans to begin clinical development of APVO436 in the fourth quarter of 2018.</w:t>
      </w:r>
    </w:p>
    <w:p>
      <w:pPr>
        <w:spacing w:after="0" w:line="41" w:lineRule="exact"/>
        <w:rPr>
          <w:rFonts w:ascii="Arial" w:cs="Arial" w:eastAsia="Arial" w:hAnsi="Arial"/>
          <w:sz w:val="12"/>
          <w:szCs w:val="12"/>
          <w:color w:val="auto"/>
        </w:rPr>
      </w:pPr>
    </w:p>
    <w:p>
      <w:pPr>
        <w:jc w:val="both"/>
        <w:ind w:left="1020" w:right="20" w:hanging="508"/>
        <w:spacing w:after="0" w:line="295" w:lineRule="auto"/>
        <w:tabs>
          <w:tab w:leader="none" w:pos="1020" w:val="left"/>
        </w:tabs>
        <w:numPr>
          <w:ilvl w:val="0"/>
          <w:numId w:val="4"/>
        </w:numPr>
        <w:rPr>
          <w:rFonts w:ascii="Arial" w:cs="Arial" w:eastAsia="Arial" w:hAnsi="Arial"/>
          <w:sz w:val="11"/>
          <w:szCs w:val="11"/>
          <w:color w:val="auto"/>
        </w:rPr>
      </w:pPr>
      <w:r>
        <w:rPr>
          <w:rFonts w:ascii="Arial" w:cs="Arial" w:eastAsia="Arial" w:hAnsi="Arial"/>
          <w:sz w:val="11"/>
          <w:szCs w:val="11"/>
          <w:color w:val="auto"/>
        </w:rPr>
        <w:t>APVO210, a bispecific ADAPTIR preclinical candidate with a novel mechanism of action based on targeted cytokine delivery. APVO210 is composed of a humanized anti-CD86 antibody fused with a modified form of IL-10 that specifically induces IL-10 signaling on antigen presenting cells, but not on lymphoid populations. APVO210 functions by suppressing immune responses and inducing certain tolerogenic responses and therefore may have potential benefit for the treatment of autoimmune and inflammatory diseases. We intend to initiate clinical development in the first quarter of 2019.</w:t>
      </w:r>
    </w:p>
    <w:p>
      <w:pPr>
        <w:jc w:val="both"/>
        <w:ind w:left="1020" w:right="20" w:hanging="508"/>
        <w:spacing w:after="0" w:line="274" w:lineRule="auto"/>
        <w:tabs>
          <w:tab w:leader="none" w:pos="10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ALG.APV-527, a bispecific antibody candidate, partnered with Alligator Bioscience, featuring a novel mechanism of action designed to simultaneously target 4-1BB (CD137) and 5T4, a tumor antigen widely overexpressed in a number of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tumor antigen, including breast, cervical, non-small-cell-lung, prostate, renal, gastric, colorectal and bladder cancers. Aptevo intends to file a CTA in the second half of 2019.</w:t>
      </w:r>
    </w:p>
    <w:p>
      <w:pPr>
        <w:spacing w:after="0" w:line="48" w:lineRule="exact"/>
        <w:rPr>
          <w:rFonts w:ascii="Arial" w:cs="Arial" w:eastAsia="Arial" w:hAnsi="Arial"/>
          <w:sz w:val="12"/>
          <w:szCs w:val="12"/>
          <w:color w:val="auto"/>
        </w:rPr>
      </w:pPr>
    </w:p>
    <w:p>
      <w:pPr>
        <w:ind w:left="1020" w:right="20" w:hanging="508"/>
        <w:spacing w:after="0" w:line="264" w:lineRule="auto"/>
        <w:tabs>
          <w:tab w:leader="none" w:pos="10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 proof-of-concept bispecific candidate featuring an immunotherapeutic protein targeting ROR1, an antigen found on several solid tumors and hematologic, or blood-related malignancies. Initial preclinical data demonstrate redirected T cell killing of tumors expressing ROR1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in animal models.</w:t>
      </w:r>
    </w:p>
    <w:p>
      <w:pPr>
        <w:spacing w:after="0" w:line="53"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We have elected to discontinue the APVO414 development program, a first generation bispecific ADAPTIR candidate, including the Phase 1 clinical program, targeting prostate specific membrane antigen (PSMA), an enzyme that is expressed on the surface of prostate cancer cells, and, CD3, a component of the T cell receptor complex expressed on all T cells. APVO414 redirected T cells to specifically kill PSMA-expressing tumors and was being developed for metastatic castration-resistant prostate cancer (mCRPC), which is advanced prostate cancer that has spread to other organs and no longer responds to hormone blocking therapies. To date, no dose limiting toxicities have been reported with continuous infusion in the Phase 1 mCRPC clinical study. In that study, continuous infusion delayed the development of anti-drug antibodies (ADA) compared to weekly IV infusions, but with longer dosing, ADA developed that cleared the drug from the blood in some patients. While we are no longer enrolling patients into the Phase I APVO414 clinical study, we will continue to monitor the patients remaining on the therapy.</w:t>
      </w:r>
    </w:p>
    <w:p>
      <w:pPr>
        <w:spacing w:after="0" w:line="62" w:lineRule="exact"/>
        <w:rPr>
          <w:sz w:val="20"/>
          <w:szCs w:val="20"/>
          <w:color w:val="auto"/>
        </w:rPr>
      </w:pPr>
    </w:p>
    <w:p>
      <w:pPr>
        <w:jc w:val="both"/>
        <w:ind w:right="20" w:firstLine="521"/>
        <w:spacing w:after="0" w:line="273" w:lineRule="auto"/>
        <w:rPr>
          <w:sz w:val="20"/>
          <w:szCs w:val="20"/>
          <w:color w:val="auto"/>
        </w:rPr>
      </w:pPr>
      <w:r>
        <w:rPr>
          <w:rFonts w:ascii="Arial" w:cs="Arial" w:eastAsia="Arial" w:hAnsi="Arial"/>
          <w:sz w:val="12"/>
          <w:szCs w:val="12"/>
          <w:color w:val="auto"/>
        </w:rPr>
        <w:t>We have elected to discontinue the otlertuzumab development program, a first generation monospecific ADAPTIR candidate including the Phase 2 clinical program for the treatment of peripheral T-cell lymphoma (PTCL). A previous Phase 2 clinical study evaluating otlertuzumab for the treatment of chronic lymphocytic leukemia (CLL) showed that otlertuzumab in combination with bendamustine, compared to bendamustine alone, demonstrated a significant increase in median progression free survival for the combination, from approximately 10 to 16 months. While there was some evidence of tumor regression (43% primary tumor) in one patient in the PTCL pilot Phase 2 clinical study,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It was due to these reasons that we elected to close the study to further enrollment, however, we will continue to monitor the patients remaining on therapy.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Collaboration with Alligator Bioscience AB</w:t>
      </w:r>
    </w:p>
    <w:p>
      <w:pPr>
        <w:spacing w:after="0" w:line="84"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On July 20, 2017, our wholly owned subsidiary Aptevo Research and Development LLC (Aptevo R&amp;D), entered into a collaboration and option agreement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This product candidate is built on our novel ADAPTIR platform. Under this Collaboration Agreement, Alligator also granted to Aptevo R&amp;D a time-limited option to enter into a second agreement with Alligator for the joint development of a separate bispecific antibody.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21" w:name="page22"/>
    <w:bookmarkEnd w:id="21"/>
    <w:p>
      <w:pPr>
        <w:jc w:val="both"/>
        <w:ind w:right="20" w:firstLine="521"/>
        <w:spacing w:after="0" w:line="254" w:lineRule="auto"/>
        <w:rPr>
          <w:sz w:val="20"/>
          <w:szCs w:val="20"/>
          <w:color w:val="auto"/>
        </w:rPr>
      </w:pPr>
      <w:r>
        <w:rPr>
          <w:rFonts w:ascii="Arial" w:cs="Arial" w:eastAsia="Arial" w:hAnsi="Arial"/>
          <w:sz w:val="13"/>
          <w:szCs w:val="13"/>
          <w:color w:val="auto"/>
        </w:rPr>
        <w:t>In accordance with the terms of this Collaboration Agreement, the parties intend to develop the lead bispecific antibody candidate targeting 4-1BB (CD137) through the completion of Phase II clinical trials in accordance with an agreed upon development plan and budget. Subject to certain exceptions for Aptevo R&amp;D’s manufacturing and platform technologies, the parties will jointly own intellectual property generated in the performance of the development activities under the Collaboration Agreement.</w:t>
      </w:r>
    </w:p>
    <w:p>
      <w:pPr>
        <w:spacing w:after="0" w:line="136"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Following the completion of the anticipated development activities under the Collaboration Agreement, the parties intend to seek a third-party commercialization partner for this product candidate, or, in certain circumstances, may elect to enter into a second agreement granting rights to either Aptevo R&amp;D or Alligator to allow such party to continue the development and commercialization of this product.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138"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 this product that, if not met, will cause an automatic termination and wind-down of the Collaboration Agreement and the activities thereunder, provided that the parties do not agree to continue.</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Collaboration Agreement contains industry standard termination rights, including for material breach following a specified cure period, and in the case of a party’s insolvency.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Sale of Hyperimmune Business</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On August 31, 2017, we entered into an LLC purchase agreement with Saol International Limited (Saol) whereby we agreed to sell our Hyperimmune Business, which consisted of the following products: WinRho</w:t>
      </w:r>
      <w:r>
        <w:rPr>
          <w:rFonts w:ascii="Arial" w:cs="Arial" w:eastAsia="Arial" w:hAnsi="Arial"/>
          <w:sz w:val="10"/>
          <w:szCs w:val="10"/>
          <w:color w:val="auto"/>
        </w:rPr>
        <w:t>®</w:t>
      </w:r>
      <w:r>
        <w:rPr>
          <w:rFonts w:ascii="Arial" w:cs="Arial" w:eastAsia="Arial" w:hAnsi="Arial"/>
          <w:sz w:val="13"/>
          <w:szCs w:val="13"/>
          <w:color w:val="auto"/>
        </w:rPr>
        <w:t xml:space="preserve"> SDF for autoimmune platelet disorder and hemolytic disease of the newborn; HepaGam B</w:t>
      </w:r>
      <w:r>
        <w:rPr>
          <w:rFonts w:ascii="Arial" w:cs="Arial" w:eastAsia="Arial" w:hAnsi="Arial"/>
          <w:sz w:val="10"/>
          <w:szCs w:val="10"/>
          <w:color w:val="auto"/>
        </w:rPr>
        <w:t>®</w:t>
      </w:r>
      <w:r>
        <w:rPr>
          <w:rFonts w:ascii="Arial" w:cs="Arial" w:eastAsia="Arial" w:hAnsi="Arial"/>
          <w:sz w:val="13"/>
          <w:szCs w:val="13"/>
          <w:color w:val="auto"/>
        </w:rPr>
        <w:t xml:space="preserve"> for the prevention of Hepatitis B following liver transplantation and for treatment following hepatitis B exposure; and VARIZIG</w:t>
      </w:r>
      <w:r>
        <w:rPr>
          <w:rFonts w:ascii="Arial" w:cs="Arial" w:eastAsia="Arial" w:hAnsi="Arial"/>
          <w:sz w:val="10"/>
          <w:szCs w:val="10"/>
          <w:color w:val="auto"/>
        </w:rPr>
        <w:t>®</w:t>
      </w:r>
      <w:r>
        <w:rPr>
          <w:rFonts w:ascii="Arial" w:cs="Arial" w:eastAsia="Arial" w:hAnsi="Arial"/>
          <w:sz w:val="13"/>
          <w:szCs w:val="13"/>
          <w:color w:val="auto"/>
        </w:rPr>
        <w:t xml:space="preserve"> for treatment following exposure to varicella zoster virus for individuals with compromised immune systems.</w:t>
      </w:r>
    </w:p>
    <w:p>
      <w:pPr>
        <w:spacing w:after="0" w:line="136"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On September 28, 2017, we completed the sale of our Hyperimmune Business to Saol for total consideration of up to $74.5 million. At the closing of the acquisition, Saol paid us an upfront payment totaling $65 million, including $3.3 million which was deposited in an escrow account for the purposes of satisfying any indemnification claims brought by Saol pursuant to the LLC purchase agreement, is scheduled for release in December 2018, subject to any claims. In addition, we may receive (1) an additional potential milestone payment totaling up to $7.5 million related to the achievement of certain gross profit milestones and (2) up to $2.0 million related to collection of certain accounts receivable after the closing.</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IXINITY</w:t>
      </w:r>
    </w:p>
    <w:p>
      <w:pPr>
        <w:spacing w:after="0" w:line="84" w:lineRule="exact"/>
        <w:rPr>
          <w:sz w:val="20"/>
          <w:szCs w:val="20"/>
          <w:color w:val="auto"/>
        </w:rPr>
      </w:pPr>
    </w:p>
    <w:p>
      <w:pPr>
        <w:jc w:val="both"/>
        <w:ind w:right="20" w:firstLine="521"/>
        <w:spacing w:after="0" w:line="306" w:lineRule="auto"/>
        <w:rPr>
          <w:sz w:val="20"/>
          <w:szCs w:val="20"/>
          <w:color w:val="auto"/>
        </w:rPr>
      </w:pPr>
      <w:r>
        <w:rPr>
          <w:rFonts w:ascii="Arial" w:cs="Arial" w:eastAsia="Arial" w:hAnsi="Arial"/>
          <w:sz w:val="12"/>
          <w:szCs w:val="12"/>
          <w:color w:val="auto"/>
        </w:rPr>
        <w:t>IXINITY is our sole remaining commercial product. It is a coagulation factor IX (recombinant) therapeutic indicated in adults and children 12 years of age and older with hemophilia B for control and prevention of bleeding episodes, and management of bleeding during operations. AGC Biologics, formally known as CMC Biologics, Inc., (AGC), is the sole manufacturer of bulk drug substance for IXINITY.</w:t>
      </w:r>
    </w:p>
    <w:p>
      <w:pPr>
        <w:spacing w:after="0" w:line="106" w:lineRule="exact"/>
        <w:rPr>
          <w:sz w:val="20"/>
          <w:szCs w:val="20"/>
          <w:color w:val="auto"/>
        </w:rPr>
      </w:pPr>
    </w:p>
    <w:p>
      <w:pPr>
        <w:jc w:val="both"/>
        <w:ind w:right="20" w:firstLine="521"/>
        <w:spacing w:after="0" w:line="322" w:lineRule="auto"/>
        <w:rPr>
          <w:sz w:val="20"/>
          <w:szCs w:val="20"/>
          <w:color w:val="auto"/>
        </w:rPr>
      </w:pPr>
      <w:r>
        <w:rPr>
          <w:rFonts w:ascii="Arial" w:cs="Arial" w:eastAsia="Arial" w:hAnsi="Arial"/>
          <w:sz w:val="11"/>
          <w:szCs w:val="11"/>
          <w:color w:val="auto"/>
        </w:rPr>
        <w:t>On June 17, 2017, we entered into a non-exclusive Amended and Restated Commercial Supply, or Restated Supply Agreement, with AGC for the commercial development and manufacture of IXINITY. Pursuant to the terms of the Restated Supply Agreement, AGC agreed to manufacture IXINITY in the quantity of batches provided to AGC on a twenty-four month rolling forecast. Beginning 2018, the minimum and maximum batches are four and ten, respectively in a calendar year. Multiple batches ordered in succession with no changeover to another product between batches, or a campaign, shall receive an incremental discounted price.</w:t>
      </w:r>
    </w:p>
    <w:p>
      <w:pPr>
        <w:spacing w:after="0" w:line="102" w:lineRule="exact"/>
        <w:rPr>
          <w:sz w:val="20"/>
          <w:szCs w:val="20"/>
          <w:color w:val="auto"/>
        </w:rPr>
      </w:pPr>
    </w:p>
    <w:p>
      <w:pPr>
        <w:jc w:val="both"/>
        <w:ind w:right="20" w:firstLine="521"/>
        <w:spacing w:after="0" w:line="322" w:lineRule="auto"/>
        <w:rPr>
          <w:sz w:val="20"/>
          <w:szCs w:val="20"/>
          <w:color w:val="auto"/>
        </w:rPr>
      </w:pPr>
      <w:r>
        <w:rPr>
          <w:rFonts w:ascii="Arial" w:cs="Arial" w:eastAsia="Arial" w:hAnsi="Arial"/>
          <w:sz w:val="11"/>
          <w:szCs w:val="11"/>
          <w:color w:val="auto"/>
        </w:rPr>
        <w:t>In accordance with the Restated Supply Agreement, a $7.0 million reserve held by AGC was applied to several batches manufactured through the first quarter of 2018 as a price concession. As a result, we had reduced raw materials or other related AGC costs associated with the inventory. We also saw an impact on our statement of operations due to a lower costs of goods sold associated with this inventory, which will also result in higher gross margins as sales are recognized. As of the last day of the first quarter of 2018, the full $7.0 million had been applied against the reserve and recorded as a reduced cost to inventory. The Restated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auto"/>
        </w:rPr>
        <w:t>Supply Agreement has a five-year term renewable with twenty-four months’ prior notice before the expiry of the term for successive two-year terms.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3"/>
          <w:szCs w:val="13"/>
          <w:b w:val="1"/>
          <w:bCs w:val="1"/>
          <w:u w:val="single" w:color="auto"/>
          <w:color w:val="auto"/>
        </w:rPr>
        <w:t>Results of Operations</w:t>
      </w:r>
    </w:p>
    <w:p>
      <w:pPr>
        <w:spacing w:after="0" w:line="84" w:lineRule="exact"/>
        <w:rPr>
          <w:sz w:val="20"/>
          <w:szCs w:val="20"/>
          <w:color w:val="auto"/>
        </w:rPr>
      </w:pPr>
    </w:p>
    <w:p>
      <w:pPr>
        <w:jc w:val="both"/>
        <w:ind w:right="20" w:firstLine="521"/>
        <w:spacing w:after="0" w:line="356" w:lineRule="auto"/>
        <w:rPr>
          <w:sz w:val="20"/>
          <w:szCs w:val="20"/>
          <w:color w:val="auto"/>
        </w:rPr>
      </w:pPr>
      <w:r>
        <w:rPr>
          <w:rFonts w:ascii="Arial" w:cs="Arial" w:eastAsia="Arial" w:hAnsi="Arial"/>
          <w:sz w:val="11"/>
          <w:szCs w:val="11"/>
          <w:color w:val="auto"/>
        </w:rPr>
        <w:t>Except as otherwise stated below, the following discussions of our results of operations reflect the results of our continuing operations, excluding the results related to the Hyperimmune Business. The Hyperimmune Business has been separated from continuing operations and reflected as a discontinued operation. See Note 2 – Sale of Hyperimmune Business, to the accompanying financial statements for additional information.</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Comparison of the three months and nine months ended September 30, 2018 and September 30, 2017</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Financial Summary</w:t>
      </w:r>
    </w:p>
    <w:p>
      <w:pPr>
        <w:spacing w:after="0" w:line="84"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We recognized a net loss of $12.6 million and $39.6 million for the three and nine months ended September 30, 2018, respectively, compared to net income of $37.9 million and $16.8 million for the three and nine months ended September 30, 2017, respectively. Net income in the three and nine months ended September 30, 2017 included $34.9 million and $39.6 million, respectively, in net income from discontinued operations, which was due to the net gain on the sale of the Hyperimmune Business of $52.5 million, operating income from the discontinued operation of $3.6 million and $10.2 million, for the three and nine months ended September 30, 2017, respectively, and offsetting tax expense of $21.3 million and $23.1 million in the three and nine months ended September 30, 2017, respectively.</w:t>
      </w:r>
    </w:p>
    <w:p>
      <w:pPr>
        <w:spacing w:after="0" w:line="46"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We reported losses from continuing operations, before tax, of $12.6 million in Q3 of 2018, compared to $10.8 million in Q3 of 2017. The net loss from continued operations, before tax in the third quarter of 2017 benefitted from the final recognition of $3.7 million in deferred collaboration revenue due to the termination of our collaboration agreement with MorphoSys. We did not recognize collaboration revenue in 2018. For the three months ended September 30, 2018 compared to the three months ended September 30, 2017, product sales were higher by $3.3 million, which was offset by an increase in cost of products sold of $0.6 million. Research and development costs increased by $1.4 million for the quarter and selling, general and administrative costs decreased for the same period by $0.5 million.</w:t>
      </w:r>
    </w:p>
    <w:p>
      <w:pPr>
        <w:spacing w:after="0" w:line="122"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Losses from continuing operations, before tax for the nine months ended September 30, 2018 was $39.7 million, compared to $38.5 million in 2017, with an increase in product sales of $8.6 million, offset by an increase in cost of product sales of $3.6 million. 2017 benefitted from a one-time credit of $3.0 million credit reflected the first quarter of 2017 relating to the settlement of a dispute between Aptevo and AGC in regards to certain IXINITY batches from 2015 that did not meet manufacturing specifications. In addition, we had higher research and development expenses in the nine months ended September 30, 2018 of $6.7 million. These increased costs were off-set by reduced sales and administrative costs of $4.5 million.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Product Revenue</w:t>
      </w:r>
    </w:p>
    <w:p>
      <w:pPr>
        <w:spacing w:after="0" w:line="84"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Product sales of IXINITY increased by $3.3 million, or 132%, to $5.8 million for the three months ended September 30, 2018 from $2.5 million for the three months ended September 30, 2017, and by $8.6 million, or 106%, to $16.7 million for the nine months ended September 30, 2018 from $8.1 million for the nine months ended September 30, 2017. These increases were primarily related to the expansion of our distribution channel and continuing expansion of our Hemophilia B patient base.</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Cost of Product Sales</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The primary expense we incur to deliver IXINITY to our customers is manufacturing costs consisting of fixed and variable costs. Variable manufacturing costs consist primarily of costs for materials and personnel-related expenses for direct and indirect manufacturing support staff, contract manufacturing and filling operations, and sales-based royalties. Fixed manufacturing costs include facilities, utilities and amortization of intangible assets. We determine the cost of product sales for products sold during a reporting period based on the average cost per unit.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23" w:name="page24"/>
    <w:bookmarkEnd w:id="23"/>
    <w:p>
      <w:pPr>
        <w:ind w:left="520"/>
        <w:spacing w:after="0"/>
        <w:rPr>
          <w:sz w:val="20"/>
          <w:szCs w:val="20"/>
          <w:color w:val="auto"/>
        </w:rPr>
      </w:pPr>
      <w:r>
        <w:rPr>
          <w:rFonts w:ascii="Arial" w:cs="Arial" w:eastAsia="Arial" w:hAnsi="Arial"/>
          <w:sz w:val="12"/>
          <w:szCs w:val="12"/>
          <w:color w:val="auto"/>
        </w:rPr>
        <w:t>The following table provides information regarding our cost of products sales, including gross profit and gross margin percent for the three and nine months ended September 30, 2018 and 2017:</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32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500" w:type="dxa"/>
            <w:vAlign w:val="bottom"/>
            <w:gridSpan w:val="7"/>
          </w:tcPr>
          <w:p>
            <w:pPr>
              <w:jc w:val="right"/>
              <w:ind w:right="380"/>
              <w:spacing w:after="0"/>
              <w:rPr>
                <w:sz w:val="20"/>
                <w:szCs w:val="20"/>
                <w:color w:val="auto"/>
              </w:rPr>
            </w:pPr>
            <w:r>
              <w:rPr>
                <w:rFonts w:ascii="Arial" w:cs="Arial" w:eastAsia="Arial" w:hAnsi="Arial"/>
                <w:sz w:val="10"/>
                <w:szCs w:val="10"/>
                <w:b w:val="1"/>
                <w:bCs w:val="1"/>
                <w:color w:val="auto"/>
              </w:rPr>
              <w:t>For the Three Months Ended September 30,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0"/>
                <w:szCs w:val="10"/>
                <w:b w:val="1"/>
                <w:bCs w:val="1"/>
                <w:color w:val="auto"/>
              </w:rPr>
              <w:t>Change</w:t>
            </w:r>
          </w:p>
        </w:tc>
        <w:tc>
          <w:tcPr>
            <w:tcW w:w="100" w:type="dxa"/>
            <w:vAlign w:val="bottom"/>
            <w:vMerge w:val="restart"/>
          </w:tcPr>
          <w:p>
            <w:pPr>
              <w:spacing w:after="0"/>
              <w:rPr>
                <w:sz w:val="10"/>
                <w:szCs w:val="10"/>
                <w:color w:val="auto"/>
              </w:rPr>
            </w:pPr>
          </w:p>
        </w:tc>
        <w:tc>
          <w:tcPr>
            <w:tcW w:w="10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Percent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240" w:type="dxa"/>
            <w:vAlign w:val="bottom"/>
            <w:tcBorders>
              <w:bottom w:val="single" w:sz="8" w:color="CFF0FC"/>
            </w:tcBorders>
          </w:tcPr>
          <w:p>
            <w:pPr>
              <w:spacing w:after="0"/>
              <w:rPr>
                <w:sz w:val="9"/>
                <w:szCs w:val="9"/>
                <w:color w:val="auto"/>
              </w:rPr>
            </w:pPr>
          </w:p>
        </w:tc>
        <w:tc>
          <w:tcPr>
            <w:tcW w:w="2160" w:type="dxa"/>
            <w:vAlign w:val="bottom"/>
            <w:tcBorders>
              <w:bottom w:val="single" w:sz="8" w:color="CFF0FC"/>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2018</w:t>
            </w:r>
          </w:p>
        </w:tc>
        <w:tc>
          <w:tcPr>
            <w:tcW w:w="40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CFF0FC"/>
            </w:tcBorders>
          </w:tcPr>
          <w:p>
            <w:pPr>
              <w:spacing w:after="0"/>
              <w:rPr>
                <w:sz w:val="9"/>
                <w:szCs w:val="9"/>
                <w:color w:val="auto"/>
              </w:rPr>
            </w:pPr>
          </w:p>
        </w:tc>
        <w:tc>
          <w:tcPr>
            <w:tcW w:w="80" w:type="dxa"/>
            <w:vAlign w:val="bottom"/>
            <w:tcBorders>
              <w:top w:val="single" w:sz="8" w:color="auto"/>
              <w:bottom w:val="single" w:sz="8" w:color="CFF0FC"/>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9"/>
              <w:spacing w:after="0" w:line="104" w:lineRule="exact"/>
              <w:rPr>
                <w:sz w:val="20"/>
                <w:szCs w:val="20"/>
                <w:color w:val="auto"/>
              </w:rPr>
            </w:pPr>
            <w:r>
              <w:rPr>
                <w:rFonts w:ascii="Arial" w:cs="Arial" w:eastAsia="Arial" w:hAnsi="Arial"/>
                <w:sz w:val="10"/>
                <w:szCs w:val="10"/>
                <w:b w:val="1"/>
                <w:bCs w:val="1"/>
                <w:color w:val="auto"/>
              </w:rPr>
              <w:t>2017</w:t>
            </w:r>
          </w:p>
        </w:tc>
        <w:tc>
          <w:tcPr>
            <w:tcW w:w="360" w:type="dxa"/>
            <w:vAlign w:val="bottom"/>
            <w:tcBorders>
              <w:top w:val="single" w:sz="8" w:color="auto"/>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FF0FC"/>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FF0F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FF0FC"/>
          </w:tcPr>
          <w:p>
            <w:pPr>
              <w:spacing w:after="0"/>
              <w:rPr>
                <w:sz w:val="20"/>
                <w:szCs w:val="20"/>
                <w:color w:val="auto"/>
              </w:rPr>
            </w:pPr>
            <w:r>
              <w:rPr>
                <w:rFonts w:ascii="Arial" w:cs="Arial" w:eastAsia="Arial" w:hAnsi="Arial"/>
                <w:sz w:val="13"/>
                <w:szCs w:val="13"/>
                <w:color w:val="auto"/>
              </w:rPr>
              <w:t>Product sales</w:t>
            </w:r>
          </w:p>
        </w:tc>
        <w:tc>
          <w:tcPr>
            <w:tcW w:w="2820" w:type="dxa"/>
            <w:vAlign w:val="bottom"/>
            <w:gridSpan w:val="2"/>
            <w:shd w:val="clear" w:color="auto" w:fill="CFF0FC"/>
          </w:tcPr>
          <w:p>
            <w:pPr>
              <w:jc w:val="right"/>
              <w:ind w:right="54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5,824</w:t>
            </w: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89"/>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2,506</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3,318</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3"/>
                <w:szCs w:val="13"/>
                <w:color w:val="auto"/>
              </w:rPr>
              <w:t>Cost of product sales</w:t>
            </w: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2,437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1,872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Gross profit</w:t>
            </w:r>
          </w:p>
        </w:tc>
        <w:tc>
          <w:tcPr>
            <w:tcW w:w="21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vMerge w:val="continue"/>
            <w:shd w:val="clear" w:color="auto" w:fill="CFF0FC"/>
          </w:tcPr>
          <w:p>
            <w:pPr>
              <w:spacing w:after="0"/>
              <w:rPr>
                <w:sz w:val="13"/>
                <w:szCs w:val="13"/>
                <w:color w:val="auto"/>
              </w:rPr>
            </w:pPr>
          </w:p>
        </w:tc>
        <w:tc>
          <w:tcPr>
            <w:tcW w:w="2820" w:type="dxa"/>
            <w:vAlign w:val="bottom"/>
            <w:gridSpan w:val="2"/>
            <w:shd w:val="clear" w:color="auto" w:fill="CFF0FC"/>
          </w:tcPr>
          <w:p>
            <w:pPr>
              <w:jc w:val="right"/>
              <w:ind w:right="54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3,387</w:t>
            </w: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89"/>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2,753</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vMerge w:val="restart"/>
          </w:tcPr>
          <w:p>
            <w:pPr>
              <w:spacing w:after="0"/>
              <w:rPr>
                <w:sz w:val="20"/>
                <w:szCs w:val="20"/>
                <w:color w:val="auto"/>
              </w:rPr>
            </w:pPr>
            <w:r>
              <w:rPr>
                <w:rFonts w:ascii="Arial" w:cs="Arial" w:eastAsia="Arial" w:hAnsi="Arial"/>
                <w:sz w:val="13"/>
                <w:szCs w:val="13"/>
                <w:color w:val="auto"/>
              </w:rPr>
              <w:t>Gross margin percent</w:t>
            </w:r>
          </w:p>
        </w:tc>
        <w:tc>
          <w:tcPr>
            <w:tcW w:w="2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3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00" w:type="dxa"/>
            <w:vAlign w:val="bottom"/>
            <w:gridSpan w:val="7"/>
          </w:tcPr>
          <w:p>
            <w:pPr>
              <w:jc w:val="right"/>
              <w:ind w:right="400"/>
              <w:spacing w:after="0"/>
              <w:rPr>
                <w:sz w:val="20"/>
                <w:szCs w:val="20"/>
                <w:color w:val="auto"/>
              </w:rPr>
            </w:pPr>
            <w:r>
              <w:rPr>
                <w:rFonts w:ascii="Arial" w:cs="Arial" w:eastAsia="Arial" w:hAnsi="Arial"/>
                <w:sz w:val="10"/>
                <w:szCs w:val="10"/>
                <w:b w:val="1"/>
                <w:bCs w:val="1"/>
                <w:color w:val="auto"/>
              </w:rPr>
              <w:t>For the Nine Months Ended September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0"/>
                <w:szCs w:val="10"/>
                <w:b w:val="1"/>
                <w:bCs w:val="1"/>
                <w:color w:val="auto"/>
              </w:rPr>
              <w:t>Change</w:t>
            </w:r>
          </w:p>
        </w:tc>
        <w:tc>
          <w:tcPr>
            <w:tcW w:w="100" w:type="dxa"/>
            <w:vAlign w:val="bottom"/>
            <w:vMerge w:val="restart"/>
          </w:tcPr>
          <w:p>
            <w:pPr>
              <w:spacing w:after="0"/>
              <w:rPr>
                <w:sz w:val="24"/>
                <w:szCs w:val="24"/>
                <w:color w:val="auto"/>
              </w:rPr>
            </w:pPr>
          </w:p>
        </w:tc>
        <w:tc>
          <w:tcPr>
            <w:tcW w:w="10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Percent</w:t>
            </w:r>
          </w:p>
        </w:tc>
        <w:tc>
          <w:tcPr>
            <w:tcW w:w="1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240" w:type="dxa"/>
            <w:vAlign w:val="bottom"/>
            <w:tcBorders>
              <w:bottom w:val="single" w:sz="8" w:color="CFF0FC"/>
            </w:tcBorders>
          </w:tcPr>
          <w:p>
            <w:pPr>
              <w:spacing w:after="0"/>
              <w:rPr>
                <w:sz w:val="9"/>
                <w:szCs w:val="9"/>
                <w:color w:val="auto"/>
              </w:rPr>
            </w:pPr>
          </w:p>
        </w:tc>
        <w:tc>
          <w:tcPr>
            <w:tcW w:w="2160" w:type="dxa"/>
            <w:vAlign w:val="bottom"/>
            <w:tcBorders>
              <w:bottom w:val="single" w:sz="8" w:color="CFF0FC"/>
            </w:tcBorders>
          </w:tcPr>
          <w:p>
            <w:pPr>
              <w:spacing w:after="0"/>
              <w:rPr>
                <w:sz w:val="9"/>
                <w:szCs w:val="9"/>
                <w:color w:val="auto"/>
              </w:rPr>
            </w:pPr>
          </w:p>
        </w:tc>
        <w:tc>
          <w:tcPr>
            <w:tcW w:w="660" w:type="dxa"/>
            <w:vAlign w:val="bottom"/>
            <w:tcBorders>
              <w:top w:val="single" w:sz="8" w:color="auto"/>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2018</w:t>
            </w:r>
          </w:p>
        </w:tc>
        <w:tc>
          <w:tcPr>
            <w:tcW w:w="400" w:type="dxa"/>
            <w:vAlign w:val="bottom"/>
            <w:tcBorders>
              <w:top w:val="single" w:sz="8" w:color="auto"/>
              <w:bottom w:val="single" w:sz="8" w:color="auto"/>
            </w:tcBorders>
          </w:tcPr>
          <w:p>
            <w:pPr>
              <w:spacing w:after="0"/>
              <w:rPr>
                <w:sz w:val="9"/>
                <w:szCs w:val="9"/>
                <w:color w:val="auto"/>
              </w:rPr>
            </w:pPr>
          </w:p>
        </w:tc>
        <w:tc>
          <w:tcPr>
            <w:tcW w:w="160" w:type="dxa"/>
            <w:vAlign w:val="bottom"/>
            <w:tcBorders>
              <w:top w:val="single" w:sz="8" w:color="auto"/>
              <w:bottom w:val="single" w:sz="8" w:color="CFF0FC"/>
            </w:tcBorders>
          </w:tcPr>
          <w:p>
            <w:pPr>
              <w:spacing w:after="0"/>
              <w:rPr>
                <w:sz w:val="9"/>
                <w:szCs w:val="9"/>
                <w:color w:val="auto"/>
              </w:rPr>
            </w:pPr>
          </w:p>
        </w:tc>
        <w:tc>
          <w:tcPr>
            <w:tcW w:w="80" w:type="dxa"/>
            <w:vAlign w:val="bottom"/>
            <w:tcBorders>
              <w:top w:val="single" w:sz="8" w:color="auto"/>
              <w:bottom w:val="single" w:sz="8" w:color="CFF0FC"/>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9"/>
              <w:spacing w:after="0" w:line="104" w:lineRule="exact"/>
              <w:rPr>
                <w:sz w:val="20"/>
                <w:szCs w:val="20"/>
                <w:color w:val="auto"/>
              </w:rPr>
            </w:pPr>
            <w:r>
              <w:rPr>
                <w:rFonts w:ascii="Arial" w:cs="Arial" w:eastAsia="Arial" w:hAnsi="Arial"/>
                <w:sz w:val="10"/>
                <w:szCs w:val="10"/>
                <w:b w:val="1"/>
                <w:bCs w:val="1"/>
                <w:color w:val="auto"/>
              </w:rPr>
              <w:t>2017</w:t>
            </w:r>
          </w:p>
        </w:tc>
        <w:tc>
          <w:tcPr>
            <w:tcW w:w="360" w:type="dxa"/>
            <w:vAlign w:val="bottom"/>
            <w:tcBorders>
              <w:top w:val="single" w:sz="8" w:color="auto"/>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FF0FC"/>
            </w:tcBorders>
            <w:vMerge w:val="continue"/>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FF0F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3240" w:type="dxa"/>
            <w:vAlign w:val="bottom"/>
            <w:shd w:val="clear" w:color="auto" w:fill="CFF0FC"/>
          </w:tcPr>
          <w:p>
            <w:pPr>
              <w:spacing w:after="0"/>
              <w:rPr>
                <w:sz w:val="20"/>
                <w:szCs w:val="20"/>
                <w:color w:val="auto"/>
              </w:rPr>
            </w:pPr>
            <w:r>
              <w:rPr>
                <w:rFonts w:ascii="Arial" w:cs="Arial" w:eastAsia="Arial" w:hAnsi="Arial"/>
                <w:sz w:val="13"/>
                <w:szCs w:val="13"/>
                <w:color w:val="auto"/>
              </w:rPr>
              <w:t>Product sales</w:t>
            </w:r>
          </w:p>
        </w:tc>
        <w:tc>
          <w:tcPr>
            <w:tcW w:w="2820" w:type="dxa"/>
            <w:vAlign w:val="bottom"/>
            <w:gridSpan w:val="2"/>
            <w:shd w:val="clear" w:color="auto" w:fill="CFF0FC"/>
          </w:tcPr>
          <w:p>
            <w:pPr>
              <w:jc w:val="right"/>
              <w:ind w:right="54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0"/>
              </w:rPr>
              <w:t>16,721</w:t>
            </w: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89"/>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8,132</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8,589</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3"/>
                <w:szCs w:val="13"/>
                <w:color w:val="auto"/>
              </w:rPr>
              <w:t>Cost of product sales</w:t>
            </w: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6,752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98"/>
              </w:rPr>
              <w:t>3,113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3,639</w:t>
            </w:r>
          </w:p>
        </w:tc>
        <w:tc>
          <w:tcPr>
            <w:tcW w:w="10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Gross profit</w:t>
            </w:r>
          </w:p>
        </w:tc>
        <w:tc>
          <w:tcPr>
            <w:tcW w:w="21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40" w:type="dxa"/>
            <w:vAlign w:val="bottom"/>
            <w:vMerge w:val="continue"/>
            <w:shd w:val="clear" w:color="auto" w:fill="CFF0FC"/>
          </w:tcPr>
          <w:p>
            <w:pPr>
              <w:spacing w:after="0"/>
              <w:rPr>
                <w:sz w:val="13"/>
                <w:szCs w:val="13"/>
                <w:color w:val="auto"/>
              </w:rPr>
            </w:pPr>
          </w:p>
        </w:tc>
        <w:tc>
          <w:tcPr>
            <w:tcW w:w="2820" w:type="dxa"/>
            <w:vAlign w:val="bottom"/>
            <w:gridSpan w:val="2"/>
            <w:shd w:val="clear" w:color="auto" w:fill="CFF0FC"/>
          </w:tcPr>
          <w:p>
            <w:pPr>
              <w:jc w:val="right"/>
              <w:ind w:right="549"/>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9,969</w:t>
            </w:r>
          </w:p>
        </w:tc>
        <w:tc>
          <w:tcPr>
            <w:tcW w:w="16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589"/>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5,019</w:t>
            </w:r>
          </w:p>
        </w:tc>
        <w:tc>
          <w:tcPr>
            <w:tcW w:w="16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w:t>
            </w: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vMerge w:val="restart"/>
          </w:tcPr>
          <w:p>
            <w:pPr>
              <w:spacing w:after="0"/>
              <w:rPr>
                <w:sz w:val="20"/>
                <w:szCs w:val="20"/>
                <w:color w:val="auto"/>
              </w:rPr>
            </w:pPr>
            <w:r>
              <w:rPr>
                <w:rFonts w:ascii="Arial" w:cs="Arial" w:eastAsia="Arial" w:hAnsi="Arial"/>
                <w:sz w:val="13"/>
                <w:szCs w:val="13"/>
                <w:color w:val="auto"/>
              </w:rPr>
              <w:t>Gross margin percent</w:t>
            </w:r>
          </w:p>
        </w:tc>
        <w:tc>
          <w:tcPr>
            <w:tcW w:w="2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4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Cost of product sales increased by $0.6 million, or 30% for the three months ended September 30, 2018 to $2.4 million from $1.9 million for the three months ended September 30, 2017. The 30% increase is significantly lower than the 132% increase in product sales due mainly to the sale of lower cost inventory paid for without any cash costs being incurred due to product being received in settlement against an outstanding inventory credit.</w:t>
      </w:r>
    </w:p>
    <w:p>
      <w:pPr>
        <w:spacing w:after="0" w:line="184"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For the nine months ended September 30, 2018 cost of goods sold increased by $3.6 million, or 117% to $6.8 million from $3.1 million for the nine months ended September 30, 2018, due to a one-time $3.0 million credit in March of 2017 relating to the settlement of a dispute between Aptevo and AGC in regards to certain IXINITY batches from 2015 that did not meet manufacturing specifications and the impact of the sale of lower cost inventory in the third quarter of 2018.</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Research and Development Expenses</w:t>
      </w:r>
    </w:p>
    <w:p>
      <w:pPr>
        <w:spacing w:after="0" w:line="84"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We expense research and development costs as incurred. These expenses consist primarily of the costs associated with our research and development activities, including conducting preclinical studies and clinical trials, fees to professional service providers for analytical testing,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research and development expenses include:</w:t>
      </w:r>
    </w:p>
    <w:p>
      <w:pPr>
        <w:spacing w:after="0" w:line="80" w:lineRule="exact"/>
        <w:rPr>
          <w:sz w:val="20"/>
          <w:szCs w:val="20"/>
          <w:color w:val="auto"/>
        </w:rPr>
      </w:pPr>
    </w:p>
    <w:p>
      <w:pPr>
        <w:ind w:left="1020" w:hanging="508"/>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employee salaries and related expenses, including stock-based compensation and benefits for our employees involved in our drug discovery and development activities;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external research and development expense incurred under agreements with third-party contract research organizations (CROs) and investigative sites;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manufacturing material expense for third-party manufacturing;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5"/>
        </w:numPr>
        <w:rPr>
          <w:rFonts w:ascii="Arial" w:cs="Arial" w:eastAsia="Arial" w:hAnsi="Arial"/>
          <w:sz w:val="13"/>
          <w:szCs w:val="13"/>
          <w:color w:val="auto"/>
        </w:rPr>
      </w:pPr>
      <w:r>
        <w:rPr>
          <w:rFonts w:ascii="Arial" w:cs="Arial" w:eastAsia="Arial" w:hAnsi="Arial"/>
          <w:sz w:val="13"/>
          <w:szCs w:val="13"/>
          <w:color w:val="auto"/>
        </w:rPr>
        <w:t>overhead costs such as rent, utilities and depreciation.</w:t>
      </w:r>
    </w:p>
    <w:p>
      <w:pPr>
        <w:spacing w:after="0" w:line="156"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We expect our future research and development spending will also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While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24" w:name="page25"/>
    <w:bookmarkEnd w:id="24"/>
    <w:p>
      <w:pPr>
        <w:ind w:left="520"/>
        <w:spacing w:after="0"/>
        <w:rPr>
          <w:sz w:val="20"/>
          <w:szCs w:val="20"/>
          <w:color w:val="auto"/>
        </w:rPr>
      </w:pPr>
      <w:r>
        <w:rPr>
          <w:rFonts w:ascii="Arial" w:cs="Arial" w:eastAsia="Arial" w:hAnsi="Arial"/>
          <w:sz w:val="13"/>
          <w:szCs w:val="13"/>
          <w:color w:val="auto"/>
        </w:rPr>
        <w:t>Our research and development expenses by program for the three and nine months ended September 30, 2018 and 2017 are shown in the following table:</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59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0"/>
                <w:szCs w:val="10"/>
                <w:b w:val="1"/>
                <w:bCs w:val="1"/>
                <w:color w:val="auto"/>
                <w:w w:val="92"/>
              </w:rPr>
              <w:t>For the Three Months Ended September 30,</w:t>
            </w:r>
          </w:p>
        </w:tc>
        <w:tc>
          <w:tcPr>
            <w:tcW w:w="240" w:type="dxa"/>
            <w:vAlign w:val="bottom"/>
          </w:tcPr>
          <w:p>
            <w:pPr>
              <w:spacing w:after="0"/>
              <w:rPr>
                <w:sz w:val="10"/>
                <w:szCs w:val="10"/>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04"/>
        </w:trPr>
        <w:tc>
          <w:tcPr>
            <w:tcW w:w="59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460"/>
              <w:spacing w:after="0" w:line="104"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458"/>
              <w:spacing w:after="0" w:line="104"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Clinical programs:</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160"/>
              <w:spacing w:after="0"/>
              <w:rPr>
                <w:sz w:val="20"/>
                <w:szCs w:val="20"/>
                <w:color w:val="auto"/>
              </w:rPr>
            </w:pPr>
            <w:r>
              <w:rPr>
                <w:rFonts w:ascii="Arial" w:cs="Arial" w:eastAsia="Arial" w:hAnsi="Arial"/>
                <w:sz w:val="13"/>
                <w:szCs w:val="13"/>
                <w:color w:val="auto"/>
              </w:rPr>
              <w:t>APVO414</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844</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1,425</w:t>
            </w:r>
          </w:p>
        </w:tc>
        <w:tc>
          <w:tcPr>
            <w:tcW w:w="2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otlertuzumab</w:t>
            </w:r>
          </w:p>
        </w:tc>
        <w:tc>
          <w:tcPr>
            <w:tcW w:w="14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378</w:t>
            </w:r>
          </w:p>
        </w:tc>
        <w:tc>
          <w:tcPr>
            <w:tcW w:w="2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2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980" w:type="dxa"/>
            <w:vAlign w:val="bottom"/>
          </w:tcPr>
          <w:p>
            <w:pPr>
              <w:spacing w:after="0"/>
              <w:rPr>
                <w:sz w:val="20"/>
                <w:szCs w:val="20"/>
                <w:color w:val="auto"/>
              </w:rPr>
            </w:pPr>
            <w:r>
              <w:rPr>
                <w:rFonts w:ascii="Arial" w:cs="Arial" w:eastAsia="Arial" w:hAnsi="Arial"/>
                <w:sz w:val="13"/>
                <w:szCs w:val="13"/>
                <w:color w:val="auto"/>
              </w:rPr>
              <w:t>Total clinical programs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1,222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1,759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3"/>
                <w:szCs w:val="13"/>
                <w:color w:val="auto"/>
              </w:rPr>
              <w:t>Preclinical program, general research and discovery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7,164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5,135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IXINITY</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980" w:type="dxa"/>
            <w:vAlign w:val="bottom"/>
            <w:vMerge w:val="continue"/>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8,574</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7,175</w:t>
            </w:r>
          </w:p>
        </w:tc>
        <w:tc>
          <w:tcPr>
            <w:tcW w:w="2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1,399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59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5"/>
          </w:tcPr>
          <w:p>
            <w:pPr>
              <w:jc w:val="center"/>
              <w:ind w:right="460"/>
              <w:spacing w:after="0"/>
              <w:rPr>
                <w:sz w:val="20"/>
                <w:szCs w:val="20"/>
                <w:color w:val="auto"/>
              </w:rPr>
            </w:pPr>
            <w:r>
              <w:rPr>
                <w:rFonts w:ascii="Arial" w:cs="Arial" w:eastAsia="Arial" w:hAnsi="Arial"/>
                <w:sz w:val="10"/>
                <w:szCs w:val="10"/>
                <w:b w:val="1"/>
                <w:bCs w:val="1"/>
                <w:color w:val="auto"/>
                <w:w w:val="92"/>
              </w:rPr>
              <w:t>For the Nine Months Ended September 30,</w:t>
            </w:r>
          </w:p>
        </w:tc>
        <w:tc>
          <w:tcPr>
            <w:tcW w:w="240" w:type="dxa"/>
            <w:vAlign w:val="bottom"/>
          </w:tcPr>
          <w:p>
            <w:pPr>
              <w:spacing w:after="0"/>
              <w:rPr>
                <w:sz w:val="24"/>
                <w:szCs w:val="24"/>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04"/>
        </w:trPr>
        <w:tc>
          <w:tcPr>
            <w:tcW w:w="59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460"/>
              <w:spacing w:after="0" w:line="104" w:lineRule="exact"/>
              <w:rPr>
                <w:sz w:val="20"/>
                <w:szCs w:val="20"/>
                <w:color w:val="auto"/>
              </w:rPr>
            </w:pPr>
            <w:r>
              <w:rPr>
                <w:rFonts w:ascii="Arial" w:cs="Arial" w:eastAsia="Arial" w:hAnsi="Arial"/>
                <w:sz w:val="10"/>
                <w:szCs w:val="10"/>
                <w:b w:val="1"/>
                <w:bCs w:val="1"/>
                <w:color w:val="auto"/>
              </w:rPr>
              <w:t>2018</w:t>
            </w:r>
          </w:p>
        </w:tc>
        <w:tc>
          <w:tcPr>
            <w:tcW w:w="2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ind w:right="458"/>
              <w:spacing w:after="0" w:line="104" w:lineRule="exact"/>
              <w:rPr>
                <w:sz w:val="20"/>
                <w:szCs w:val="20"/>
                <w:color w:val="auto"/>
              </w:rPr>
            </w:pPr>
            <w:r>
              <w:rPr>
                <w:rFonts w:ascii="Arial" w:cs="Arial" w:eastAsia="Arial" w:hAnsi="Arial"/>
                <w:sz w:val="10"/>
                <w:szCs w:val="10"/>
                <w:b w:val="1"/>
                <w:bCs w:val="1"/>
                <w:color w:val="auto"/>
              </w:rPr>
              <w:t>2017</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Clinical programs:</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80" w:type="dxa"/>
            <w:vAlign w:val="bottom"/>
          </w:tcPr>
          <w:p>
            <w:pPr>
              <w:ind w:left="160"/>
              <w:spacing w:after="0"/>
              <w:rPr>
                <w:sz w:val="20"/>
                <w:szCs w:val="20"/>
                <w:color w:val="auto"/>
              </w:rPr>
            </w:pPr>
            <w:r>
              <w:rPr>
                <w:rFonts w:ascii="Arial" w:cs="Arial" w:eastAsia="Arial" w:hAnsi="Arial"/>
                <w:sz w:val="13"/>
                <w:szCs w:val="13"/>
                <w:color w:val="auto"/>
              </w:rPr>
              <w:t>APVO414</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2,454</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2,792</w:t>
            </w:r>
          </w:p>
        </w:tc>
        <w:tc>
          <w:tcPr>
            <w:tcW w:w="22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otlertuzumab</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963</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3"/>
                <w:szCs w:val="13"/>
                <w:color w:val="auto"/>
              </w:rPr>
              <w:t>Total clinical programs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3,417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3,790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3"/>
                <w:szCs w:val="13"/>
                <w:color w:val="auto"/>
              </w:rPr>
              <w:t>Preclinical program, general research and discovery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22,454</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14,327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8,127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IXINITY</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(1,103)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980" w:type="dxa"/>
            <w:vAlign w:val="bottom"/>
            <w:vMerge w:val="continue"/>
          </w:tcPr>
          <w:p>
            <w:pPr>
              <w:spacing w:after="0"/>
              <w:rPr>
                <w:sz w:val="13"/>
                <w:szCs w:val="13"/>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26,486</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19,835</w:t>
            </w:r>
          </w:p>
        </w:tc>
        <w:tc>
          <w:tcPr>
            <w:tcW w:w="220" w:type="dxa"/>
            <w:vAlign w:val="bottom"/>
          </w:tcPr>
          <w:p>
            <w:pPr>
              <w:spacing w:after="0"/>
              <w:rPr>
                <w:sz w:val="13"/>
                <w:szCs w:val="13"/>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6,651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521"/>
        <w:spacing w:after="0" w:line="306" w:lineRule="auto"/>
        <w:rPr>
          <w:sz w:val="20"/>
          <w:szCs w:val="20"/>
          <w:color w:val="auto"/>
        </w:rPr>
      </w:pPr>
      <w:r>
        <w:rPr>
          <w:rFonts w:ascii="Arial" w:cs="Arial" w:eastAsia="Arial" w:hAnsi="Arial"/>
          <w:sz w:val="12"/>
          <w:szCs w:val="12"/>
          <w:color w:val="auto"/>
        </w:rPr>
        <w:t>Research and development expenses increased by $1.4 million, to $8.6 million for the three months ended September 30, 2018 from $7.2 million for the three months ended September 30, 2017, and by $6.7 million to $26.5 million for the nine months ended September 30, 2018 from $19.8 million for the nine months ended September 30, 2017. These changes were primarily comprised of:</w:t>
      </w:r>
    </w:p>
    <w:p>
      <w:pPr>
        <w:spacing w:after="0" w:line="30" w:lineRule="exact"/>
        <w:rPr>
          <w:sz w:val="20"/>
          <w:szCs w:val="20"/>
          <w:color w:val="auto"/>
        </w:rPr>
      </w:pPr>
    </w:p>
    <w:p>
      <w:pPr>
        <w:ind w:left="1020" w:hanging="508"/>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decrease in expenses for APVO414 primarily due to the timing of manufacturing activities;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decrease in expense for otlertuzumab in the current quarter related to the timing of clinical trial activities;</w:t>
      </w:r>
    </w:p>
    <w:p>
      <w:pPr>
        <w:spacing w:after="0" w:line="79" w:lineRule="exact"/>
        <w:rPr>
          <w:rFonts w:ascii="Arial" w:cs="Arial" w:eastAsia="Arial" w:hAnsi="Arial"/>
          <w:sz w:val="13"/>
          <w:szCs w:val="13"/>
          <w:color w:val="auto"/>
        </w:rPr>
      </w:pPr>
    </w:p>
    <w:p>
      <w:pPr>
        <w:ind w:left="1020" w:right="20" w:hanging="508"/>
        <w:spacing w:after="0" w:line="264" w:lineRule="auto"/>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 decrease in expense for IXINITY which resulted from additional costs relating to manufacturing process development activities in 2017 which concluded in the same period, and the timing of clinical trial activities; offset by</w:t>
      </w:r>
    </w:p>
    <w:p>
      <w:pPr>
        <w:spacing w:after="0" w:line="52" w:lineRule="exact"/>
        <w:rPr>
          <w:rFonts w:ascii="Arial" w:cs="Arial" w:eastAsia="Arial" w:hAnsi="Arial"/>
          <w:sz w:val="13"/>
          <w:szCs w:val="13"/>
          <w:color w:val="auto"/>
        </w:rPr>
      </w:pPr>
    </w:p>
    <w:p>
      <w:pPr>
        <w:ind w:left="1020" w:right="20" w:hanging="508"/>
        <w:spacing w:after="0" w:line="264" w:lineRule="auto"/>
        <w:tabs>
          <w:tab w:leader="none" w:pos="10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 increase in the expenses for our preclinical program, general research and discovery programs, which is primarily related to research and development activities around new pipeline product candidates or programs as they are being evaluated.</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84" w:lineRule="exact"/>
        <w:rPr>
          <w:sz w:val="20"/>
          <w:szCs w:val="20"/>
          <w:color w:val="auto"/>
        </w:rPr>
      </w:pPr>
    </w:p>
    <w:p>
      <w:pPr>
        <w:ind w:right="20" w:firstLine="521"/>
        <w:spacing w:after="0" w:line="306" w:lineRule="auto"/>
        <w:rPr>
          <w:sz w:val="20"/>
          <w:szCs w:val="20"/>
          <w:color w:val="auto"/>
        </w:rPr>
      </w:pPr>
      <w:r>
        <w:rPr>
          <w:rFonts w:ascii="Arial" w:cs="Arial" w:eastAsia="Arial" w:hAnsi="Arial"/>
          <w:sz w:val="12"/>
          <w:szCs w:val="12"/>
          <w:color w:val="auto"/>
        </w:rPr>
        <w:t>Selling, general and administrative expenses consist primarily of personnel-related costs and professional fees in support of our executive, IXINITY sales and marketing, business development, finance, accounting, information technology, legal and human resource functions. Other costs include facility costs not otherwise included in cost of product sales or research and development expenses.</w:t>
      </w:r>
    </w:p>
    <w:p>
      <w:pPr>
        <w:spacing w:after="0" w:line="106" w:lineRule="exact"/>
        <w:rPr>
          <w:sz w:val="20"/>
          <w:szCs w:val="20"/>
          <w:color w:val="auto"/>
        </w:rPr>
      </w:pPr>
    </w:p>
    <w:p>
      <w:pPr>
        <w:jc w:val="both"/>
        <w:ind w:firstLine="521"/>
        <w:spacing w:after="0" w:line="356" w:lineRule="auto"/>
        <w:rPr>
          <w:sz w:val="20"/>
          <w:szCs w:val="20"/>
          <w:color w:val="auto"/>
        </w:rPr>
      </w:pPr>
      <w:r>
        <w:rPr>
          <w:rFonts w:ascii="Arial" w:cs="Arial" w:eastAsia="Arial" w:hAnsi="Arial"/>
          <w:sz w:val="11"/>
          <w:szCs w:val="11"/>
          <w:color w:val="auto"/>
        </w:rPr>
        <w:t>For the three months ended September 30, 2018, selling, general and administrative expenses decreased by $0.5 million, or 7%, to $7.0 million from $7.5 million for September 30, 2017, and for the nine months ended September 30, 2018 these expenses decreased by $4.5 million or 17%, to $21.6 million from $26.0 million for September 30, 2017. This decrease was primarily due to reduced personnel and professional services costs.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25" w:name="page26"/>
    <w:bookmarkEnd w:id="25"/>
    <w:p>
      <w:pPr>
        <w:ind w:left="520"/>
        <w:spacing w:after="0"/>
        <w:rPr>
          <w:sz w:val="20"/>
          <w:szCs w:val="20"/>
          <w:color w:val="auto"/>
        </w:rPr>
      </w:pPr>
      <w:r>
        <w:rPr>
          <w:rFonts w:ascii="Arial" w:cs="Arial" w:eastAsia="Arial" w:hAnsi="Arial"/>
          <w:sz w:val="13"/>
          <w:szCs w:val="13"/>
          <w:b w:val="1"/>
          <w:bCs w:val="1"/>
          <w:color w:val="auto"/>
        </w:rPr>
        <w:t>Discontinued Operations</w:t>
      </w:r>
    </w:p>
    <w:p>
      <w:pPr>
        <w:spacing w:after="0" w:line="93"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On September 28, 2017, we sold our Hyperimmune Business to Saol International Limited (Saol). As a result of this sale, our Hyperimmune Business activity has been excluded from continuing operations for all periods herein and reported as discontinued operations. In the first nine months of 2018, we recorded $0.1 million of Hyperimmune income due to the collection of certain accounts receivable transferred to Saol at the time of the sale, and in the first nine months of 2017, we recorded income from discontinued operations, net of tax, of $16.7 million. See Note 2 – Sale of Hyperimmune Business in the accompanying condensed consolidated financial statements for further information on the divestiture.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Income Taxes</w:t>
      </w:r>
    </w:p>
    <w:p>
      <w:pPr>
        <w:spacing w:after="0" w:line="84"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During the periods prior to spin-off from Emergent BioSolutions Inc. (Emergent) in August 2016, we did not file separate tax returns as our results were included in the tax returns of Emergent entities within the respective tax jurisdictions. The income tax provision included in these financial statements was calculated using a separate return basis, as if we were a separate taxpayer. Under this approach, we determine our current taxes, deferred tax assets and liabilities and related tax expense as if we were filing separate tax returns in each tax jurisdiction.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the first nine months of 2017, we have a benefit from incomes taxes of $15.6 million due to our net loss, which was offset by an income tax expense of $23.1 million related to the sale of our Hyperimmune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Business.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auto"/>
        </w:rPr>
        <w:t>Critical Accounting Policies and Significant Judgements and Estimates</w:t>
      </w:r>
    </w:p>
    <w:p>
      <w:pPr>
        <w:spacing w:after="0" w:line="84" w:lineRule="exact"/>
        <w:rPr>
          <w:sz w:val="20"/>
          <w:szCs w:val="20"/>
          <w:color w:val="auto"/>
        </w:rPr>
      </w:pPr>
    </w:p>
    <w:p>
      <w:pPr>
        <w:jc w:val="both"/>
        <w:ind w:firstLine="521"/>
        <w:spacing w:after="0" w:line="311" w:lineRule="auto"/>
        <w:rPr>
          <w:sz w:val="20"/>
          <w:szCs w:val="20"/>
          <w:color w:val="auto"/>
        </w:rPr>
      </w:pPr>
      <w:r>
        <w:rPr>
          <w:rFonts w:ascii="Arial" w:cs="Arial" w:eastAsia="Arial" w:hAnsi="Arial"/>
          <w:sz w:val="11"/>
          <w:szCs w:val="11"/>
          <w:color w:val="auto"/>
        </w:rPr>
        <w:t>The preparation of our condensed consolidated financial statements in conformity with accounting principles generally accepted in the United States, or GAAP, requires management to make estimates and assumptions that affect the amounts reported in the financial statements and accompanying notes. We base our estimates on historical experience and on various other factors that we believe are reasonable under the circumstances; however, actual results could differ from those estimates. An accounting policy is considered critical if it is important to a company’s financial condition and results of operations and if it requires the exercise of significant judgment and the use of estimates on the part of management in its application. Although we believe that our judgments and estimates are appropriate, actual results may differ materially from our estimates.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We believe the judgments, estimates and assumptions associated with the following critical accounting policies have the greatest potential impact on our condensed consolidated financial statements:</w:t>
      </w:r>
    </w:p>
    <w:p>
      <w:pPr>
        <w:spacing w:after="0" w:line="91" w:lineRule="exact"/>
        <w:rPr>
          <w:sz w:val="20"/>
          <w:szCs w:val="20"/>
          <w:color w:val="auto"/>
        </w:rPr>
      </w:pPr>
    </w:p>
    <w:p>
      <w:pPr>
        <w:ind w:left="1020" w:hanging="508"/>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Revenue recognition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Stock-based compensation</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3"/>
          <w:szCs w:val="13"/>
          <w:b w:val="1"/>
          <w:bCs w:val="1"/>
          <w:u w:val="single" w:color="auto"/>
          <w:color w:val="auto"/>
        </w:rPr>
        <w:t>Off-Balance Sheet Arrangements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did not have any off-balance sheet arrangements as of September 30, 2018.</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3"/>
          <w:szCs w:val="13"/>
          <w:b w:val="1"/>
          <w:bCs w:val="1"/>
          <w:u w:val="single" w:color="auto"/>
          <w:color w:val="auto"/>
        </w:rPr>
        <w:t>Liquidity and Capital Resources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Sources of Liquidity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As of September 30, 2018, we had cash, cash equivalents and short-term investments in the amount of $45.5 million, of which $7.8 million is restricted.</w:t>
      </w:r>
    </w:p>
    <w:p>
      <w:pPr>
        <w:spacing w:after="0" w:line="156"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For the nine months ended September 30, 2018, we incurred a net loss of $39.6 million and we had an accumulated deficit of $113.3 million as of September 30, 2018. For the nine months ended September 30, 2018, net cash used in our operating activities was $44.1 million.</w:t>
      </w:r>
    </w:p>
    <w:p>
      <w:pPr>
        <w:spacing w:after="0" w:line="129"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Following the sale of the Hyperimmune Business, our sole marketed product is IXINITY, and therefore IXINITY will be our only source of product revenue. As such, our results of operations will be highly dependent on IXINITY sales unless or until we develop or partner any of our development stage product candidates. We will not generate product revenues from our development stage product candidates unless and until we or our collaborators successfully complete development and obtain regulatory approval for such product candidates, which we expect will take a number of years and is subject to significant uncertainty.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09" w:right="199" w:bottom="1440" w:gutter="0" w:footer="0" w:header="0"/>
        </w:sectPr>
      </w:pPr>
    </w:p>
    <w:bookmarkStart w:id="26" w:name="page27"/>
    <w:bookmarkEnd w:id="26"/>
    <w:p>
      <w:pPr>
        <w:ind w:left="520"/>
        <w:spacing w:after="0"/>
        <w:rPr>
          <w:sz w:val="20"/>
          <w:szCs w:val="20"/>
          <w:color w:val="auto"/>
        </w:rPr>
      </w:pPr>
      <w:r>
        <w:rPr>
          <w:rFonts w:ascii="Arial" w:cs="Arial" w:eastAsia="Arial" w:hAnsi="Arial"/>
          <w:sz w:val="13"/>
          <w:szCs w:val="13"/>
          <w:i w:val="1"/>
          <w:iCs w:val="1"/>
          <w:u w:val="single" w:color="auto"/>
          <w:color w:val="auto"/>
        </w:rPr>
        <w:t>Credit Agreement</w:t>
      </w:r>
    </w:p>
    <w:p>
      <w:pPr>
        <w:spacing w:after="0" w:line="89"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On August 4, 2016, we entered into a Credit and Security Agreement (Credit Agreement), with MidCap Financial Trust. The original Credit Agreement provided us with up to $35.0 million of available borrowing capacity composed of two tranches of $20.0 million and $15.0 million. The first tranche of $20.0 million was made available to us, and drawn, on the closing date of the Credit Agreement. On September 28, 2017, we and MidCap Financial Trust entered into a second amendment to the Credit Agreement in order to accommodate the sale of the Hyperimmune Business under the LLC purchase agreement, and to reflect changes in the remaining business as a result of such sale.</w:t>
      </w:r>
    </w:p>
    <w:p>
      <w:pPr>
        <w:spacing w:after="0" w:line="167"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Pursuant to the second Amendment, the agent and the lenders consented to the LLC purchase agreement and the consummation of the sale transaction, released the agent’s liens on the assets transferred to one of our subsidiaries prior to the sale, and agreed that no prepayment of the term loans under the credit agreement would be required as a result the sale. As part of the second amendment, the agent and the lenders agreed that: (i) the commitments of the lenders to make the remaining $15.0 million tranche of loans under the credit agreement were terminated, (ii) the covenant levels set forth in the minimum net commercial product revenue covenant were revised, (iii) a new covenant requiring us to maintain a minimum $10.0 million unrestricted cash balance, and (iv) the date on which the term loans begin to amortize would be extended to February 1, 2019 if we achieved net commercial product revenues of $16.0 million for the twelve month period ending June 30, 2018 and maintain such level of net commercial product revenues for each quarter prior to February 1, 2019 thereafter. As we achieved net commercial product revenues of $16.2 million for the twelve month period ending June 30, 2018, our principal repayments have been deferred to February 1, 2019.</w:t>
      </w:r>
    </w:p>
    <w:p>
      <w:pPr>
        <w:spacing w:after="0" w:line="13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On February 23, 2018, we entered into a third Amendment with the agent and lenders to amend certain provisions of the Credit Agreement in order to permit us to maintain a cash collateral account as security for our reimbursement obligations, in respect of certain letters of credit to be issued for our account.</w:t>
      </w:r>
    </w:p>
    <w:p>
      <w:pPr>
        <w:spacing w:after="0" w:line="158"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On August 6, 2018, we entered into an Amended and Restated Credit and Security Agreement (Amended Credit Agreement) amending the terms of our original $20 million term loan agreement with MidCap. Under the Amended Credit Agreement, the timeline for us to begin making principal repayments has been extended to February 1, 2020, with an opportunity for further deferral through August 1, 2020. The amount of restricted cash that we are required to maintain on our balance sheet has been reduced from $10 million to $5 million.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obligations under the Amended Credit Agreement will mature on February 1, 2023. Amounts drawn under the Amended Credit Agreement continue to accrue interest at a rate of LIBOR plus 7.60% per annum.</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3"/>
          <w:szCs w:val="13"/>
          <w:i w:val="1"/>
          <w:iCs w:val="1"/>
          <w:u w:val="single" w:color="auto"/>
          <w:color w:val="auto"/>
        </w:rPr>
        <w:t>Equity Distribution Agreement</w:t>
      </w:r>
    </w:p>
    <w:p>
      <w:pPr>
        <w:spacing w:after="0" w:line="80"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On November 9, 2017, we entered into an Equity Distribution Agreement (the Equity Distribution Agreement) with Piper Jaffray &amp; Co. (Piper Jaffray). The Equity Distribution Agreement provides that, upon the terms and subject to the conditions set forth therein, we may issue and sell through Piper Jaffray, acting as sales agent, shares of our common stock, $0.001 par value per share (the Common Stock) having an aggregate offering price of up to $17.5 million. We have no obligation to sell any such shares under the Equity Distribution Agreement. The sale of the Shares by Piper Jaffray will be effected pursuant to a Registration Statement on Form S-3 which we filed on November 9, 2017 (the Registration Statement). We have not issued any shares under the Equity Distribution Agreement as of September 30, 2018.</w:t>
      </w:r>
    </w:p>
    <w:p>
      <w:pPr>
        <w:spacing w:after="0" w:line="122"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The Equity Distribution Agreement will terminate upon the issuance and sale of all shares under the Equity Distribution Agreement or upon the earlier termination thereof at any time by Aptevo or Piper Jaffray upon notice to the other party.</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Capital Requirements</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We expect to incur losses from operations for the foreseeable future primarily due to research and development expenses, including expenses related to conducting clinical trials. Our future capital requirements will depend on a number of factors, including:</w:t>
      </w:r>
    </w:p>
    <w:p>
      <w:pPr>
        <w:spacing w:after="0" w:line="53" w:lineRule="exact"/>
        <w:rPr>
          <w:sz w:val="20"/>
          <w:szCs w:val="20"/>
          <w:color w:val="auto"/>
        </w:rPr>
      </w:pPr>
    </w:p>
    <w:p>
      <w:pPr>
        <w:ind w:left="1020" w:hanging="508"/>
        <w:spacing w:after="0"/>
        <w:tabs>
          <w:tab w:leader="none" w:pos="10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level, timing and cost of IXINITY product sales;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collection of accounts receivable from customers;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extent to which we invest in products or technologies;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8"/>
        </w:numPr>
        <w:rPr>
          <w:rFonts w:ascii="Arial" w:cs="Arial" w:eastAsia="Arial" w:hAnsi="Arial"/>
          <w:sz w:val="13"/>
          <w:szCs w:val="13"/>
          <w:color w:val="auto"/>
        </w:rPr>
      </w:pPr>
      <w:r>
        <w:rPr>
          <w:rFonts w:ascii="Arial" w:cs="Arial" w:eastAsia="Arial" w:hAnsi="Arial"/>
          <w:sz w:val="13"/>
          <w:szCs w:val="13"/>
          <w:color w:val="auto"/>
        </w:rPr>
        <w:t>capital improvements to new or existing facilities;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894" w:right="199" w:bottom="1440" w:gutter="0" w:footer="0" w:header="0"/>
        </w:sectPr>
      </w:pPr>
    </w:p>
    <w:bookmarkStart w:id="27" w:name="page28"/>
    <w:bookmarkEnd w:id="27"/>
    <w:p>
      <w:pPr>
        <w:ind w:left="1020" w:hanging="508"/>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payment obligations under any future indebtedness;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scope, progress, results and costs of our development activities;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costs of commercialization activities, including product marketing, sales and distribution.</w:t>
      </w:r>
    </w:p>
    <w:p>
      <w:pPr>
        <w:spacing w:after="0" w:line="185"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Although we expect our existing cash, cash equivalents, and short-term investments will be sufficient to fund our operations for at least twelve months from the date of this filing, if we are unable to obtain additional financing when needed, we may have to delay, reduce the scope of, suspend or eliminate one or more of our research and development programs.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expect to continue to incur negative cash flows until other sources of revenue such as corporate partnering generates sufficient cash inflows to finance our operations and debt service requirements. Until we are cash flow positive, we anticipate we will need to continue to raise operating funds through the issuance of public or private equity securities, incurring additional debt or pursuing additional partnerships.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Cash Flows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The following table provides information regarding our cash flows for the nine months ended September 30, </w:t>
      </w:r>
      <w:r>
        <w:rPr>
          <w:rFonts w:ascii="Arial" w:cs="Arial" w:eastAsia="Arial" w:hAnsi="Arial"/>
          <w:sz w:val="13"/>
          <w:szCs w:val="13"/>
          <w:color w:val="231F20"/>
        </w:rPr>
        <w:t>2018 and 2017:</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20"/>
        </w:trPr>
        <w:tc>
          <w:tcPr>
            <w:tcW w:w="694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80" w:type="dxa"/>
            <w:vAlign w:val="bottom"/>
            <w:gridSpan w:val="6"/>
          </w:tcPr>
          <w:p>
            <w:pPr>
              <w:jc w:val="right"/>
              <w:ind w:right="740"/>
              <w:spacing w:after="0"/>
              <w:rPr>
                <w:sz w:val="20"/>
                <w:szCs w:val="20"/>
                <w:color w:val="auto"/>
              </w:rPr>
            </w:pPr>
            <w:r>
              <w:rPr>
                <w:rFonts w:ascii="Arial" w:cs="Arial" w:eastAsia="Arial" w:hAnsi="Arial"/>
                <w:sz w:val="10"/>
                <w:szCs w:val="10"/>
                <w:b w:val="1"/>
                <w:bCs w:val="1"/>
                <w:color w:val="auto"/>
              </w:rPr>
              <w:t>For the Nine Months Ended September 30,</w:t>
            </w:r>
          </w:p>
        </w:tc>
        <w:tc>
          <w:tcPr>
            <w:tcW w:w="0" w:type="dxa"/>
            <w:vAlign w:val="bottom"/>
          </w:tcPr>
          <w:p>
            <w:pPr>
              <w:spacing w:after="0"/>
              <w:rPr>
                <w:sz w:val="1"/>
                <w:szCs w:val="1"/>
                <w:color w:val="auto"/>
              </w:rPr>
            </w:pPr>
          </w:p>
        </w:tc>
      </w:tr>
      <w:tr>
        <w:trPr>
          <w:trHeight w:val="104"/>
        </w:trPr>
        <w:tc>
          <w:tcPr>
            <w:tcW w:w="694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561"/>
              <w:spacing w:after="0" w:line="104"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top w:val="single" w:sz="8" w:color="auto"/>
              <w:bottom w:val="single" w:sz="8" w:color="CFF0FC"/>
            </w:tcBorders>
          </w:tcPr>
          <w:p>
            <w:pPr>
              <w:spacing w:after="0"/>
              <w:rPr>
                <w:sz w:val="9"/>
                <w:szCs w:val="9"/>
                <w:color w:val="auto"/>
              </w:rPr>
            </w:pPr>
          </w:p>
        </w:tc>
        <w:tc>
          <w:tcPr>
            <w:tcW w:w="120" w:type="dxa"/>
            <w:vAlign w:val="bottom"/>
            <w:tcBorders>
              <w:top w:val="single" w:sz="8" w:color="auto"/>
              <w:bottom w:val="single" w:sz="8" w:color="CFF0FC"/>
            </w:tcBorders>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ind w:right="559"/>
              <w:spacing w:after="0" w:line="104" w:lineRule="exact"/>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940" w:type="dxa"/>
            <w:vAlign w:val="bottom"/>
            <w:shd w:val="clear" w:color="auto" w:fill="CFF0FC"/>
          </w:tcPr>
          <w:p>
            <w:pPr>
              <w:spacing w:after="0"/>
              <w:rPr>
                <w:sz w:val="20"/>
                <w:szCs w:val="20"/>
                <w:color w:val="auto"/>
              </w:rPr>
            </w:pPr>
            <w:r>
              <w:rPr>
                <w:rFonts w:ascii="Arial" w:cs="Arial" w:eastAsia="Arial" w:hAnsi="Arial"/>
                <w:sz w:val="13"/>
                <w:szCs w:val="13"/>
                <w:color w:val="auto"/>
              </w:rPr>
              <w:t>Net cash (used in) provided by:</w:t>
            </w: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3"/>
                <w:szCs w:val="13"/>
                <w:color w:val="auto"/>
              </w:rPr>
              <w:t>Operating activities</w:t>
            </w: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(44,130)</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(26,152)</w:t>
            </w:r>
          </w:p>
        </w:tc>
        <w:tc>
          <w:tcPr>
            <w:tcW w:w="0" w:type="dxa"/>
            <w:vAlign w:val="bottom"/>
          </w:tcPr>
          <w:p>
            <w:pPr>
              <w:spacing w:after="0"/>
              <w:rPr>
                <w:sz w:val="1"/>
                <w:szCs w:val="1"/>
                <w:color w:val="auto"/>
              </w:rPr>
            </w:pPr>
          </w:p>
        </w:tc>
      </w:tr>
      <w:tr>
        <w:trPr>
          <w:trHeight w:val="162"/>
        </w:trPr>
        <w:tc>
          <w:tcPr>
            <w:tcW w:w="6940" w:type="dxa"/>
            <w:vAlign w:val="bottom"/>
            <w:shd w:val="clear" w:color="auto" w:fill="CFF0FC"/>
          </w:tcPr>
          <w:p>
            <w:pPr>
              <w:spacing w:after="0"/>
              <w:rPr>
                <w:sz w:val="20"/>
                <w:szCs w:val="20"/>
                <w:color w:val="auto"/>
              </w:rPr>
            </w:pPr>
            <w:r>
              <w:rPr>
                <w:rFonts w:ascii="Arial" w:cs="Arial" w:eastAsia="Arial" w:hAnsi="Arial"/>
                <w:sz w:val="13"/>
                <w:szCs w:val="13"/>
                <w:color w:val="auto"/>
              </w:rPr>
              <w:t>Investing activities</w:t>
            </w: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63,756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83,299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3"/>
                <w:szCs w:val="13"/>
                <w:color w:val="auto"/>
              </w:rPr>
              <w:t>Financing activities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Increase in cash, cash equivalents, and restricted cash</w:t>
            </w: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940" w:type="dxa"/>
            <w:vAlign w:val="bottom"/>
            <w:vMerge w:val="continue"/>
            <w:shd w:val="clear" w:color="auto" w:fill="CFF0FC"/>
          </w:tcPr>
          <w:p>
            <w:pPr>
              <w:spacing w:after="0"/>
              <w:rPr>
                <w:sz w:val="13"/>
                <w:szCs w:val="13"/>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18,800</w:t>
            </w:r>
          </w:p>
        </w:tc>
        <w:tc>
          <w:tcPr>
            <w:tcW w:w="14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9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Net cash used in operating activities of $44.1 million for the nine months ended September 30, 2018 was primarily due to our net loss of $39.6 million and changes in working capital accounts. Net cash used in operating activities of $26.2 million for the nine months ended September 30, 2017 was primarily due to our net income of $16.7 million, offset by the recognition of $52.5 million for the gain on the sale of our Hyperimmune Business, $7.5 million in non-cash income tax expense and changes in working capital accounts.</w:t>
      </w:r>
    </w:p>
    <w:p>
      <w:pPr>
        <w:spacing w:after="0" w:line="13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Net cash provided by investing activities for the nine months ended September 30, 2018, was primarily due to the maturity and redemption of investments of $81.2 million, offset by investment purchases of $16.5 million. For the nine months ended September 30, 2017, the largest components of the cash used in investing activities were $53.2 million in maturity and redemption of investments, $60.5 million for the cash received from the sale of our Hyperimmune Business, offset by $29.3 million in purchases of corporate bonds and U.S. government debt securities.</w:t>
      </w:r>
    </w:p>
    <w:p>
      <w:pPr>
        <w:spacing w:after="0" w:line="136"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Net cash used in financing activities for the nine months ended September 30, 2018 is primarily due to changes in equity for the tax liability of RSUs, which vested in the period, the payment of $0.6 million in debt issuance costs associated with the Amended Credit Agreement entered into with MidCap in August of 2018, offset by cash received due to the exercise of stock options. Net cash provided by financing activities for the nine months ended September 30, 2017 includes $20.0 million from our former parent.</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Our future minimum contractual commitments and obligations were reported in our Annual Report on Form 10-K for the year ended December 31, 2017 that was filed with the SEC on March 13, 2018. Our future minimum contractual obligations and commitments have not changed materially from the amounts previously reported.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60" w:right="19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84"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Our exposure to market risk is primarily confined to our investment securities and notes payable. The primary objective of our investment activities is to preserve our capital to fund operations. We also seek to maximize income from our investments without assuming significant risk. To achieve our objectives, we maintain a portfolio of investments in high-credit-quality securities. In accordance with our investment policy, we invest funds in highly liquid, investment-grade securities. These securities in our investment portfolio are not leveraged and are classified as available-for-sale. We currently do not hedge interest rate exposure. Because of the short-term maturities of our investments, we do not believe that an increase in market rates would have a material negative impact on the realized value of our investment portfolio. We actively monitor changes in interest rates and, with our current portfolio of short term investments, we are not exposed to potential loss due to changes in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b w:val="1"/>
          <w:bCs w:val="1"/>
          <w:u w:val="single" w:color="auto"/>
          <w:color w:val="auto"/>
        </w:rPr>
        <w:t>Evaluation of Disclosure Controls and Procedures</w:t>
      </w:r>
    </w:p>
    <w:p>
      <w:pPr>
        <w:spacing w:after="0" w:line="84"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2"/>
          <w:szCs w:val="12"/>
          <w:color w:val="auto"/>
        </w:rPr>
        <w:t>As of September 30, 2018, management, with the participation of our Chief Executive Officer and Chief Financial Officer, performed an evaluation of the effectiveness of the design and operation of our disclosure controls and procedures as defined in Rules 13a- 15(e) and 15d-15(e) of the Exchange Act. Based on this evaluation, our Chief Executive Officer and Chief Financial Officer concluded that, as of September 30, 2018,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3"/>
          <w:szCs w:val="13"/>
          <w:b w:val="1"/>
          <w:bCs w:val="1"/>
          <w:u w:val="single" w:color="auto"/>
          <w:color w:val="auto"/>
        </w:rPr>
        <w:t>Changes in Internal Control Over Financial Reporting</w:t>
      </w:r>
    </w:p>
    <w:p>
      <w:pPr>
        <w:spacing w:after="0" w:line="84"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under the Exchange Act) during the quarter ended September 30, 2018, that have materially affected, or are reasonably likely to materially affect, our internal control over financial reporting.</w:t>
      </w:r>
    </w:p>
    <w:p>
      <w:pPr>
        <w:spacing w:after="0" w:line="129"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09" w:right="19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b w:val="1"/>
          <w:bCs w:val="1"/>
          <w:color w:val="auto"/>
        </w:rPr>
        <w:t>PART II—OTHER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84" w:lineRule="exact"/>
        <w:rPr>
          <w:sz w:val="20"/>
          <w:szCs w:val="20"/>
          <w:color w:val="auto"/>
        </w:rPr>
      </w:pPr>
    </w:p>
    <w:p>
      <w:pPr>
        <w:jc w:val="both"/>
        <w:ind w:right="20" w:firstLine="521"/>
        <w:spacing w:after="0" w:line="306" w:lineRule="auto"/>
        <w:rPr>
          <w:sz w:val="20"/>
          <w:szCs w:val="20"/>
          <w:color w:val="auto"/>
        </w:rPr>
      </w:pPr>
      <w:r>
        <w:rPr>
          <w:rFonts w:ascii="Arial" w:cs="Arial" w:eastAsia="Arial" w:hAnsi="Arial"/>
          <w:sz w:val="12"/>
          <w:szCs w:val="12"/>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84"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i w:val="1"/>
          <w:iCs w:val="1"/>
          <w:color w:val="auto"/>
        </w:rPr>
        <w:t>You should carefully consider the following risks and other information in this quarterly report on Form 10-Q in evaluating us and our common stock. Any of the following risks could materially and adversely affect Aptevo’s results of operations, financial condition or financial prospects.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Financial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losses and may not be profitable in the future.</w:t>
      </w:r>
    </w:p>
    <w:p>
      <w:pPr>
        <w:spacing w:after="0" w:line="15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For the nine months ended September 30, 2018, we had net loss of $39.6 million. Except for the third quarter of 2017 and year ended December 31, 2017, we have experienced net losses in all other periods since our spin-off from Emergent. As of September 30, 2018, we had an accumulated deficit of $113.3 million. If we cannot achieve profitability or generate positive cash from operating activities, our business operations may be adversely impacted and the trading value of our common stock may decline.</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will require additional capital and may be unable to raise capital when needed or on acceptable terms.</w:t>
      </w:r>
    </w:p>
    <w:p>
      <w:pPr>
        <w:spacing w:after="0" w:line="80" w:lineRule="exact"/>
        <w:rPr>
          <w:sz w:val="20"/>
          <w:szCs w:val="20"/>
          <w:color w:val="auto"/>
        </w:rPr>
      </w:pPr>
    </w:p>
    <w:p>
      <w:pPr>
        <w:jc w:val="both"/>
        <w:ind w:right="20" w:firstLine="521"/>
        <w:spacing w:after="0" w:line="306" w:lineRule="auto"/>
        <w:rPr>
          <w:sz w:val="20"/>
          <w:szCs w:val="20"/>
          <w:color w:val="auto"/>
        </w:rPr>
      </w:pPr>
      <w:r>
        <w:rPr>
          <w:rFonts w:ascii="Arial" w:cs="Arial" w:eastAsia="Arial" w:hAnsi="Arial"/>
          <w:sz w:val="12"/>
          <w:szCs w:val="12"/>
          <w:color w:val="auto"/>
        </w:rPr>
        <w:t>As of September 30, 2018, we had cash, cash equivalents, restricted cash and short-term investments in the amount of $45.5 million. We will require additional funding to grow our business including to develop additional products, support commercial marketing activities or otherwise provide additional financial flexibility. Our future capital requirements will depend on many factors, including:</w:t>
      </w:r>
    </w:p>
    <w:p>
      <w:pPr>
        <w:spacing w:after="0" w:line="30" w:lineRule="exact"/>
        <w:rPr>
          <w:sz w:val="20"/>
          <w:szCs w:val="20"/>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level, timing and cost of IXINITY sales;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collection of accounts receivable from customers;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extent to which we invest in products or technologies;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to satisfy the payment obligations and covenants under our credit facility or any future indebtedness;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to secure partnerships and/or collaborations that generate additional cash;</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capital improvements to our facilities;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scope, progress, results and costs of our development activities;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costs of commercialization activities, including product marketing, sales and distribution; and</w:t>
      </w:r>
    </w:p>
    <w:p>
      <w:pPr>
        <w:spacing w:after="0" w:line="79" w:lineRule="exact"/>
        <w:rPr>
          <w:rFonts w:ascii="Arial" w:cs="Arial" w:eastAsia="Arial" w:hAnsi="Arial"/>
          <w:sz w:val="13"/>
          <w:szCs w:val="13"/>
          <w:color w:val="auto"/>
        </w:rPr>
      </w:pPr>
    </w:p>
    <w:p>
      <w:pPr>
        <w:ind w:left="1020" w:right="20" w:hanging="508"/>
        <w:spacing w:after="0" w:line="264" w:lineRule="auto"/>
        <w:tabs>
          <w:tab w:leader="none" w:pos="10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to collect the milestone payments totaling up to $7.5 million related to the achievement of certain gross profit milestones and up to $2.0 million related to collection of certain accounts receivable from Saol.</w:t>
      </w:r>
    </w:p>
    <w:p>
      <w:pPr>
        <w:spacing w:after="0" w:line="129"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If our capital resources are insufficient to meet our future capital requirements, we will need to finance our cash needs through bank loans, public or private equity or debt offerings, a sale of commercial assets, collaboration and licensing arrangements or other strategic transactions. Future issuances of common stock may include any sale of up to $17.5 million worth of shares of our common stock pursuant to our Equity Distribution Agreement with Piper Jaffray &amp; Co. Public or bank debt financing, if available, may involve agreements that include covenants limiting or restricting our ability to take specific actions, such as incurring additional debt, making capital expenditures, pursuing acquisition opportunities or declaring dividends.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w:t>
      </w:r>
    </w:p>
    <w:p>
      <w:pPr>
        <w:spacing w:after="0" w:line="139"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Current economic conditions may make it difficult to obtain additional financing on attractive terms, or at all. If financing is unavailable or lost, our business, results of operations, financial condition and financial prospects would be adversely affected and we could be forced to delay, reduce the scope of or eliminate many of our planned activities.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79" w:right="19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We currently rely on only one revenue-generating product, IXINITY.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currently have only one revenue-generating product, IXINITY. The commercial success of IXINTY depends upon:</w:t>
      </w:r>
    </w:p>
    <w:p>
      <w:pPr>
        <w:spacing w:after="0" w:line="80" w:lineRule="exact"/>
        <w:rPr>
          <w:sz w:val="20"/>
          <w:szCs w:val="20"/>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acceptance by regulators, physicians, patients and other key decision-makers of IXINITY as a safe, therapeutic and cost-effective option;</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further develop IXINITY and obtain marketing approval for its use in additional patient populations and the clinical data we generate to support expansion of the product label;</w:t>
      </w:r>
    </w:p>
    <w:p>
      <w:pPr>
        <w:spacing w:after="0" w:line="91" w:lineRule="exact"/>
        <w:rPr>
          <w:rFonts w:ascii="Arial" w:cs="Arial" w:eastAsia="Arial" w:hAnsi="Arial"/>
          <w:sz w:val="12"/>
          <w:szCs w:val="12"/>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ability of AGC Biologics and our third-party service providers to provide us with sufficient saleable quantities of IXINITY;</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impact of competition from existing competitive products and from competitive products that may be approved in the future;</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continued safety and efficacy of IXINITY;</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 what extent and in what amount government and third-party payors cover or reimburse for the costs of IXINITY;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success and the success of our third-party distributors in selling and marketing IXINITY.</w:t>
      </w:r>
    </w:p>
    <w:p>
      <w:pPr>
        <w:spacing w:after="0" w:line="156"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2"/>
          <w:szCs w:val="12"/>
          <w:color w:val="auto"/>
        </w:rPr>
        <w:t>The failure to maximize the financial contribution of IXINITY could have a material adverse effect on our business, financial condition, results of operations and growth prospects. We may choose to increase the price of IXINITY, and these price adjustments may negatively affect our sales volumes. In addition, our product sales may fluctuate significantly from quarter to quarter, depending on the number of patients receiving treatment, the availability of supply to meet the demand for IXINITY, the dosing requirements of treated patients and other factors. If sales of IXINTY were to decline, we could be required to make an allowance for excess or obsolete inventory, increase our provision for product returns, or we could incur other costs related to operating our business, each of which could negatively impact our results of operations and our financial condition. We are constantly evaluating commercial and strategic transactions to generate revenue that include any current collaborations and collaborations or a sale of assets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are unpredictable and may fluctuate.</w:t>
      </w:r>
    </w:p>
    <w:p>
      <w:pPr>
        <w:spacing w:after="0" w:line="12" w:lineRule="exact"/>
        <w:rPr>
          <w:sz w:val="20"/>
          <w:szCs w:val="20"/>
          <w:color w:val="auto"/>
        </w:rPr>
      </w:pPr>
    </w:p>
    <w:p>
      <w:pPr>
        <w:jc w:val="both"/>
        <w:ind w:right="20" w:firstLine="521"/>
        <w:spacing w:after="0" w:line="247" w:lineRule="auto"/>
        <w:rPr>
          <w:sz w:val="20"/>
          <w:szCs w:val="20"/>
          <w:color w:val="auto"/>
        </w:rPr>
      </w:pPr>
      <w:r>
        <w:rPr>
          <w:rFonts w:ascii="Arial" w:cs="Arial" w:eastAsia="Arial" w:hAnsi="Arial"/>
          <w:sz w:val="13"/>
          <w:szCs w:val="13"/>
          <w:color w:val="auto"/>
        </w:rPr>
        <w:t>Our operating results are difficult to predict and will likely fluctuate from quarter to quarter and year to year, and IXINITY prescription figures will likely fluctuate from month to month. IXINITY sales are difficult to predict from period to period and as a result, you should not rely on IXINITY sales results in any period as being indicative of future performance, and sales of IXINITY may be below the expectation of management, securities analysts or investors in the future. We believe that our quarterly and annual results of operations may be affected by a variety of factors, including:</w:t>
      </w:r>
    </w:p>
    <w:p>
      <w:pPr>
        <w:spacing w:after="0" w:line="141" w:lineRule="exact"/>
        <w:rPr>
          <w:sz w:val="20"/>
          <w:szCs w:val="20"/>
          <w:color w:val="auto"/>
        </w:rPr>
      </w:pPr>
    </w:p>
    <w:p>
      <w:pPr>
        <w:ind w:left="1360" w:hanging="390"/>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level and timing of commercial sales of IXINITY as well as our product candidates, if and when approved or commercialized;</w:t>
      </w:r>
    </w:p>
    <w:p>
      <w:pPr>
        <w:spacing w:after="0" w:line="11" w:lineRule="exact"/>
        <w:rPr>
          <w:rFonts w:ascii="Arial" w:cs="Arial" w:eastAsia="Arial" w:hAnsi="Arial"/>
          <w:sz w:val="13"/>
          <w:szCs w:val="13"/>
          <w:color w:val="auto"/>
        </w:rPr>
      </w:pPr>
    </w:p>
    <w:p>
      <w:pPr>
        <w:ind w:left="1360" w:hanging="390"/>
        <w:spacing w:after="0"/>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extent of coverage and reimbursement for IXINITY and the amount of IXINITY chargebacks, rebates and product returns;</w:t>
      </w:r>
    </w:p>
    <w:p>
      <w:pPr>
        <w:spacing w:after="0" w:line="3" w:lineRule="exact"/>
        <w:rPr>
          <w:rFonts w:ascii="Arial" w:cs="Arial" w:eastAsia="Arial" w:hAnsi="Arial"/>
          <w:sz w:val="13"/>
          <w:szCs w:val="13"/>
          <w:color w:val="auto"/>
        </w:rPr>
      </w:pPr>
    </w:p>
    <w:p>
      <w:pPr>
        <w:ind w:left="1360" w:right="20" w:hanging="390"/>
        <w:spacing w:after="0" w:line="245" w:lineRule="auto"/>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ind w:left="1360" w:hanging="390"/>
        <w:spacing w:after="0" w:line="250" w:lineRule="auto"/>
        <w:tabs>
          <w:tab w:leader="none" w:pos="1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timing, cost and level of investment in our research and development activities as well as expenditures we will or may incur to acquire or develop additional technologies, products and product candidates.</w:t>
      </w:r>
    </w:p>
    <w:p>
      <w:pPr>
        <w:spacing w:after="0" w:line="157"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 addition, the number of procedures in which IXINITY or any of our product candidates, if commercialized, would be used may be significantly less than the total number of such procedures performed or total possible market size. These and other factors, including our limited history of product sales, may make it difficult for us to forecast and provide accurate guidance (including updates to prior guidance) related to our expected financial performance. If our operating results are below the expectations of securities analysts or investors, the trading price of our stock could decline.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i w:val="1"/>
          <w:iCs w:val="1"/>
          <w:color w:val="auto"/>
        </w:rPr>
        <w:t>The terms of our credit agreement may restrict the operation of our business and limit the cash available for investment in our business operations.</w:t>
      </w:r>
    </w:p>
    <w:p>
      <w:pPr>
        <w:spacing w:after="0" w:line="80"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 August 2016, we entered into a Credit and Security Agreement, or the Credit Agreement, by and among us and certain our subsidiaries as borrowers, MidCap Financial Trust, as agent, and the lenders from time to time party thereto. The Credit Agreement was amended and restated in August 2018. The terms of the Credit Agreement and borrowings we may make under the Credit Agreement in the future, could have significant adverse consequences for our business, including:</w:t>
      </w:r>
    </w:p>
    <w:p>
      <w:pPr>
        <w:spacing w:after="0" w:line="60" w:lineRule="exact"/>
        <w:rPr>
          <w:sz w:val="20"/>
          <w:szCs w:val="20"/>
          <w:color w:val="auto"/>
        </w:rPr>
      </w:pPr>
    </w:p>
    <w:p>
      <w:pPr>
        <w:ind w:left="1020" w:hanging="508"/>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requiring us to dedicate a substantial portion of any cash flow from operations to payment on our debt, which would reduce the amounts available to fund other corporate initiatives;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increasing the amount of interest that we have to pay on borrowings under the Credit Agreement if market rates of interest increase;</w:t>
      </w:r>
    </w:p>
    <w:p>
      <w:pPr>
        <w:spacing w:after="0" w:line="79" w:lineRule="exact"/>
        <w:rPr>
          <w:rFonts w:ascii="Arial" w:cs="Arial" w:eastAsia="Arial" w:hAnsi="Arial"/>
          <w:sz w:val="13"/>
          <w:szCs w:val="13"/>
          <w:color w:val="auto"/>
        </w:rPr>
      </w:pPr>
    </w:p>
    <w:p>
      <w:pPr>
        <w:ind w:left="1020" w:right="20" w:hanging="508"/>
        <w:spacing w:after="0" w:line="264" w:lineRule="auto"/>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complying with restrictive covenants restricting, among other things, indebtedness, liens, dividends and other distributions, repayment of subordinated indebtedness, mergers, dispositions, investments (including licensing), acquisitions, transactions with affiliates and modification of organizational documents or certain other agreements;</w:t>
      </w:r>
    </w:p>
    <w:p>
      <w:pPr>
        <w:spacing w:after="0" w:line="52" w:lineRule="exact"/>
        <w:rPr>
          <w:rFonts w:ascii="Arial" w:cs="Arial" w:eastAsia="Arial" w:hAnsi="Arial"/>
          <w:sz w:val="13"/>
          <w:szCs w:val="13"/>
          <w:color w:val="auto"/>
        </w:rPr>
      </w:pPr>
    </w:p>
    <w:p>
      <w:pPr>
        <w:ind w:left="1020" w:hanging="508"/>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not complying with affirmative covenants including payment, reporting and revenue covenants;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placing us at a competitive disadvantage compared to our competitors that have less debt, better debt servicing options or stronger debt servicing capacity.</w:t>
      </w:r>
    </w:p>
    <w:p>
      <w:pPr>
        <w:spacing w:after="0" w:line="156"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We may not have sufficient funds or be able to obtain additional financing to pay the amounts due under the Credit Agreement. In addition, failure to comply with the covenants, including but not limited to the revenue covenants, under the Credit Agreement could result in an event of default. An event of default could result in the acceleration of amounts due under the Credit Agreement, and we may not be able to obtain additional financing to make any accelerated payments. Under these circumstances, our lenders could seek to enforce security interests in our assets securing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face product liability exposure, which could cause us to incur substantial liabilities and negatively affect our business, financial condition and results of operations.</w:t>
      </w:r>
    </w:p>
    <w:p>
      <w:pPr>
        <w:spacing w:after="0" w:line="80"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The nature of our business exposes us to potential liability inherent in pharmaceutical products, including with respect to the sale of IXINITY or any other product candidates that we successfully develop and the testing of our product candidates in clinical trials. Product liability claims might be made by patients in clinical trials, consumers, health care providers or pharmaceutical companies or others that sell our products. These claims may be made even with respect to those products that are manufactured in licensed and regulated facilities or otherwise possess regulatory approval for commercial sale or study. We cannot predict the frequency, outcome or cost to defend any such claims.</w:t>
      </w:r>
    </w:p>
    <w:p>
      <w:pPr>
        <w:spacing w:after="0" w:line="138"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If we cannot successfully defend ourselves against future claims that IXINITY or our product candidates caused injuries, we may incur substantial liabilities. Regardless of merit or eventual outcome, product liability claims may result in:</w:t>
      </w:r>
    </w:p>
    <w:p>
      <w:pPr>
        <w:spacing w:after="0" w:line="53" w:lineRule="exact"/>
        <w:rPr>
          <w:sz w:val="20"/>
          <w:szCs w:val="20"/>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decreased demand or withdrawal of a product;</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adverse publicity and/or injury to our reputation;</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withdrawal of clinical trial participants;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to defend the related litigation;</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substantial monetary awards to trial participants or patients;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loss of revenue;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an inability to commercialize products that we may develop.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32" w:name="page33"/>
    <w:bookmarkEnd w:id="32"/>
    <w:p>
      <w:pPr>
        <w:jc w:val="both"/>
        <w:ind w:firstLine="521"/>
        <w:spacing w:after="0" w:line="273" w:lineRule="auto"/>
        <w:rPr>
          <w:sz w:val="20"/>
          <w:szCs w:val="20"/>
          <w:color w:val="auto"/>
        </w:rPr>
      </w:pPr>
      <w:r>
        <w:rPr>
          <w:rFonts w:ascii="Arial" w:cs="Arial" w:eastAsia="Arial" w:hAnsi="Arial"/>
          <w:sz w:val="12"/>
          <w:szCs w:val="12"/>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products liability litigation or other proceeding, even if resolved in our favor, could be substantial. Uncertainties resulting from the initiation and continuation of products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IXINITY or any product candidates we successfully develop, withdrawal of clinical trial participants and potential termination of clinical trial sites or entire clinical programs, and could cause our stock price to fall.</w:t>
      </w:r>
    </w:p>
    <w:p>
      <w:pPr>
        <w:spacing w:after="0" w:line="127"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Product recalls may be issued at our discretion or at the discretion of our suppliers, government agencies and other entities that have regulatory authority for pharmaceutical sales. Any recall of IXINITY could materially adversely affect our business by rendering us unable to sell IXINITY for some time and by adversely affecting our reputation. A recall could also result in product liability claims by individuals and third-party payors. In addition, product liability claims could result in an investigation of the safety or efficacy of IXINITY, our manufacturing processes and facilities, or our marketing programs conducted by the U.S. Food and Drug Administration, or the FDA, the European Medicines Agency, or EMA, or the competent authorities of the EU Member States. Such investigations could also potentially lead to a recall of IXINITY or more serious enforcement actions, limitations on the indications for which they may be used, or suspension, variation, or withdrawal of approval. Any such regulatory action by the FDA, the EMA or the competent authorities of the EU Member States could lead to product liability lawsuits as well.</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80" w:lineRule="exact"/>
        <w:rPr>
          <w:sz w:val="20"/>
          <w:szCs w:val="20"/>
          <w:color w:val="auto"/>
        </w:rPr>
      </w:pPr>
    </w:p>
    <w:p>
      <w:pPr>
        <w:jc w:val="both"/>
        <w:ind w:firstLine="521"/>
        <w:spacing w:after="0" w:line="248" w:lineRule="auto"/>
        <w:rPr>
          <w:sz w:val="20"/>
          <w:szCs w:val="20"/>
          <w:color w:val="auto"/>
        </w:rPr>
      </w:pPr>
      <w:r>
        <w:rPr>
          <w:rFonts w:ascii="Arial" w:cs="Arial" w:eastAsia="Arial" w:hAnsi="Arial"/>
          <w:sz w:val="13"/>
          <w:szCs w:val="13"/>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Financial Officer, Jeffrey G. Lamothe, and our Chief Medical Officer, Scott C. Stromatt, or other key employees, our ability to implement our business strategy could be materially harmed. We face intense competition for qualified employees from biotechnology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periodic litigation, which could result in losses or unexpected expenditure of time and resources.</w:t>
      </w:r>
    </w:p>
    <w:p>
      <w:pPr>
        <w:spacing w:after="0" w:line="80" w:lineRule="exact"/>
        <w:rPr>
          <w:sz w:val="20"/>
          <w:szCs w:val="20"/>
          <w:color w:val="auto"/>
        </w:rPr>
      </w:pPr>
    </w:p>
    <w:p>
      <w:pPr>
        <w:jc w:val="both"/>
        <w:ind w:firstLine="521"/>
        <w:spacing w:after="0" w:line="322" w:lineRule="auto"/>
        <w:rPr>
          <w:sz w:val="20"/>
          <w:szCs w:val="20"/>
          <w:color w:val="auto"/>
        </w:rPr>
      </w:pPr>
      <w:r>
        <w:rPr>
          <w:rFonts w:ascii="Arial" w:cs="Arial" w:eastAsia="Arial" w:hAnsi="Arial"/>
          <w:sz w:val="11"/>
          <w:szCs w:val="11"/>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recently passed comprehensive tax reform bill could adversely affect our business and financial condition.</w:t>
      </w:r>
    </w:p>
    <w:p>
      <w:pPr>
        <w:spacing w:after="0" w:line="89" w:lineRule="exact"/>
        <w:rPr>
          <w:sz w:val="20"/>
          <w:szCs w:val="20"/>
          <w:color w:val="auto"/>
        </w:rPr>
      </w:pPr>
    </w:p>
    <w:p>
      <w:pPr>
        <w:jc w:val="both"/>
        <w:ind w:right="20" w:firstLine="521"/>
        <w:spacing w:after="0" w:line="272" w:lineRule="auto"/>
        <w:rPr>
          <w:sz w:val="20"/>
          <w:szCs w:val="20"/>
          <w:color w:val="auto"/>
        </w:rPr>
      </w:pPr>
      <w:r>
        <w:rPr>
          <w:rFonts w:ascii="Arial" w:cs="Arial" w:eastAsia="Arial" w:hAnsi="Arial"/>
          <w:sz w:val="12"/>
          <w:szCs w:val="12"/>
          <w:color w:val="auto"/>
        </w:rPr>
        <w:t>On December 22, 2017, the President of the United States signed into law new legislation that significantly revises the Internal Revenue Code of 1986, as amended. The newly enacted federal income tax law, among other things, contains significant changes to corporate taxation, including a reduction of the corporate tax rate from a top marginal rate of 35% to a flat rate of 21%,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i w:val="1"/>
          <w:iCs w:val="1"/>
          <w:color w:val="auto"/>
        </w:rPr>
        <w:t>Our ability to use net operating losses to offset future taxable income may be subject to limitations.</w:t>
      </w:r>
    </w:p>
    <w:p>
      <w:pPr>
        <w:spacing w:after="0" w:line="89" w:lineRule="exact"/>
        <w:rPr>
          <w:sz w:val="20"/>
          <w:szCs w:val="20"/>
          <w:color w:val="auto"/>
        </w:rPr>
      </w:pPr>
    </w:p>
    <w:p>
      <w:pPr>
        <w:jc w:val="both"/>
        <w:ind w:firstLine="521"/>
        <w:spacing w:after="0" w:line="271" w:lineRule="auto"/>
        <w:rPr>
          <w:sz w:val="20"/>
          <w:szCs w:val="20"/>
          <w:color w:val="auto"/>
        </w:rPr>
      </w:pPr>
      <w:r>
        <w:rPr>
          <w:rFonts w:ascii="Arial" w:cs="Arial" w:eastAsia="Arial" w:hAnsi="Arial"/>
          <w:sz w:val="12"/>
          <w:szCs w:val="12"/>
          <w:color w:val="auto"/>
        </w:rPr>
        <w:t>As of December 31, 2017, we had approximately $41.5 million and $20.2 million of federal and state net operating loss carryforwards, respectively, available to reduce future taxable income that will begin to expire in 2028 for federal purposes and 2018 for state tax purposes. These net operating loss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if and to what extent various states will conform to the newly enacted federal tax law. In addition, under Section 382 of the Internal Revenue Code of 1986, as amended, and corresponding provision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have not assessed whether such an ownership change has previously occurred. In addition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Product Development Risks</w:t>
      </w:r>
    </w:p>
    <w:p>
      <w:pPr>
        <w:spacing w:after="0" w:line="84"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53"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Serious adverse events or undesirable side effects caused by, or other unexpected properties of any of our product candidates could cause us or regulatory authorities to interrupt, delay or halt our manufacturing and distribution operations and could result in a more restrictive label, the imposition of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12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Undesirable side effects, or other unexpected adverse events or properties of any of our candidates, could arise or become known either during clinical development or, if approved, after the approved product has been marketed. If such an event occurs during development, our trials could be suspended or terminated, and the FDA or comparable foreign regulatory authorities could order us to cease further development of or deny approval of our other product candidates. If such an event occurs, a number of potentially significant negative consequences may result, including:</w:t>
      </w:r>
    </w:p>
    <w:p>
      <w:pPr>
        <w:spacing w:after="0" w:line="60" w:lineRule="exact"/>
        <w:rPr>
          <w:sz w:val="20"/>
          <w:szCs w:val="20"/>
          <w:color w:val="auto"/>
        </w:rPr>
      </w:pPr>
    </w:p>
    <w:p>
      <w:pPr>
        <w:ind w:left="1020" w:hanging="508"/>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authorities may require additional warnings on the label or impose distribution or use restrictions;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authorities may require one or more post-market studies;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may be required to create a medication guide outlining the risks of such side effects for distribution to patients;</w:t>
      </w:r>
    </w:p>
    <w:p>
      <w:pPr>
        <w:spacing w:after="0" w:line="79" w:lineRule="exact"/>
        <w:rPr>
          <w:rFonts w:ascii="Arial" w:cs="Arial" w:eastAsia="Arial" w:hAnsi="Arial"/>
          <w:sz w:val="13"/>
          <w:szCs w:val="13"/>
          <w:color w:val="auto"/>
        </w:rPr>
      </w:pPr>
    </w:p>
    <w:p>
      <w:pPr>
        <w:jc w:val="both"/>
        <w:ind w:left="1020" w:hanging="508"/>
        <w:spacing w:after="0" w:line="254" w:lineRule="auto"/>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regulatory authorities may require implementation of a Risk Evaluation and Mitigation Strategy, or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59" w:lineRule="exact"/>
        <w:rPr>
          <w:rFonts w:ascii="Arial" w:cs="Arial" w:eastAsia="Arial" w:hAnsi="Arial"/>
          <w:sz w:val="13"/>
          <w:szCs w:val="13"/>
          <w:color w:val="auto"/>
        </w:rPr>
      </w:pPr>
    </w:p>
    <w:p>
      <w:pPr>
        <w:ind w:left="1020" w:hanging="508"/>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 could be sued and held liable for harm caused to patients;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reputation may suffer.</w:t>
      </w:r>
    </w:p>
    <w:p>
      <w:pPr>
        <w:spacing w:after="0" w:line="156" w:lineRule="exact"/>
        <w:rPr>
          <w:sz w:val="20"/>
          <w:szCs w:val="20"/>
          <w:color w:val="auto"/>
        </w:rPr>
      </w:pPr>
    </w:p>
    <w:p>
      <w:pPr>
        <w:ind w:right="20" w:firstLine="521"/>
        <w:spacing w:after="0" w:line="264" w:lineRule="auto"/>
        <w:rPr>
          <w:sz w:val="20"/>
          <w:szCs w:val="20"/>
          <w:color w:val="auto"/>
        </w:rPr>
      </w:pPr>
      <w:r>
        <w:rPr>
          <w:rFonts w:ascii="Arial" w:cs="Arial" w:eastAsia="Arial" w:hAnsi="Arial"/>
          <w:sz w:val="13"/>
          <w:szCs w:val="13"/>
          <w:color w:val="auto"/>
        </w:rPr>
        <w:t>Any of these events could prevent us from achieving or maintaining market acceptance of the affected product candidate, or could substantially increase commercialization costs and expenses, which could delay or prevent us from generating revenue from the sale of our products and harm our business and results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i w:val="1"/>
          <w:iCs w:val="1"/>
          <w:color w:val="auto"/>
        </w:rPr>
        <w:t>We depend on third parties to conduct our clinical and non-clinical trials.</w:t>
      </w:r>
    </w:p>
    <w:p>
      <w:pPr>
        <w:spacing w:after="0" w:line="80" w:lineRule="exact"/>
        <w:rPr>
          <w:sz w:val="20"/>
          <w:szCs w:val="20"/>
          <w:color w:val="auto"/>
        </w:rPr>
      </w:pPr>
    </w:p>
    <w:p>
      <w:pPr>
        <w:jc w:val="both"/>
        <w:ind w:firstLine="521"/>
        <w:spacing w:after="0" w:line="272" w:lineRule="auto"/>
        <w:rPr>
          <w:sz w:val="20"/>
          <w:szCs w:val="20"/>
          <w:color w:val="auto"/>
        </w:rPr>
      </w:pPr>
      <w:r>
        <w:rPr>
          <w:rFonts w:ascii="Arial" w:cs="Arial" w:eastAsia="Arial" w:hAnsi="Arial"/>
          <w:sz w:val="12"/>
          <w:szCs w:val="12"/>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we do not exercise day-to-day control over their activities. Our reliance on these service providers does not relieve us of our regulatory responsibilities, including ensuring that our trials are conducted in accordance with the FDA-approved good clinical practices, or GCPs,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27" w:lineRule="exact"/>
        <w:rPr>
          <w:sz w:val="20"/>
          <w:szCs w:val="20"/>
          <w:color w:val="auto"/>
        </w:rPr>
      </w:pPr>
    </w:p>
    <w:p>
      <w:pPr>
        <w:jc w:val="both"/>
        <w:ind w:right="20" w:firstLine="521"/>
        <w:spacing w:after="0" w:line="311" w:lineRule="auto"/>
        <w:rPr>
          <w:sz w:val="20"/>
          <w:szCs w:val="20"/>
          <w:color w:val="auto"/>
        </w:rPr>
      </w:pPr>
      <w:r>
        <w:rPr>
          <w:rFonts w:ascii="Arial" w:cs="Arial" w:eastAsia="Arial" w:hAnsi="Arial"/>
          <w:sz w:val="11"/>
          <w:szCs w:val="11"/>
          <w:color w:val="auto"/>
        </w:rPr>
        <w:t>If we, contract research organizations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cannot assure you that, upon inspection, the FDA or non-U.S. regulatory agencies will determine that any of our clinical trials comply with GCPs. In addition, our clinical trials must be conducted with product produced under GCPs and similar regulations outside of the United States. Our failure, or the failure of our product manufacturers, to comply with these regulations may require us to repeat or redesign clinical trials, which would increase our development costs and delay or impact the likelihood of regulatory approval.</w:t>
      </w:r>
    </w:p>
    <w:p>
      <w:pPr>
        <w:spacing w:after="0" w:line="108"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If any of these events occur, we may not be able to obtain regulatory approval of our product candidates or succeed in our efforts to create approved line extensions for certain of our existing products or generate additional useful clinical data in support of these products.</w:t>
      </w:r>
    </w:p>
    <w:p>
      <w:pPr>
        <w:spacing w:after="0" w:line="122"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Commercialization Risks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grow revenues and execute on our long-term strategy depends heavily on our ability to discover, develop, and obtain marketing approval for additional products or product candidates.</w:t>
      </w:r>
    </w:p>
    <w:p>
      <w:pPr>
        <w:spacing w:after="0" w:line="91"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In order for us to achieve our long-term business objectives, we will need to successfully discover and/or develop and commercialize additional products or product candidates. Although we have made, and expect to continue to make, significant investments in research and development, we have had only a limited number of our internally-discovered product candidates reach the clinical development stage. Drug discovery and development is a complex, time-consuming and expensive process that is fraught with risk and a high rate of failure. Failure to successfully discover and/or develop, obtain marketing approval for and commercialize additional products and product candidates would likely have a material adverse effect on our ability to grow revenues and improve our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our efforts to use and further develop our ADAPTIR platform.</w:t>
      </w:r>
    </w:p>
    <w:p>
      <w:pPr>
        <w:spacing w:after="0" w:line="80" w:lineRule="exact"/>
        <w:rPr>
          <w:sz w:val="20"/>
          <w:szCs w:val="20"/>
          <w:color w:val="auto"/>
        </w:rPr>
      </w:pPr>
    </w:p>
    <w:p>
      <w:pPr>
        <w:jc w:val="both"/>
        <w:ind w:firstLine="521"/>
        <w:spacing w:after="0" w:line="303" w:lineRule="auto"/>
        <w:rPr>
          <w:sz w:val="20"/>
          <w:szCs w:val="20"/>
          <w:color w:val="auto"/>
        </w:rPr>
      </w:pPr>
      <w:r>
        <w:rPr>
          <w:rFonts w:ascii="Arial" w:cs="Arial" w:eastAsia="Arial" w:hAnsi="Arial"/>
          <w:sz w:val="11"/>
          <w:szCs w:val="11"/>
          <w:color w:val="auto"/>
        </w:rPr>
        <w:t>A key element of our strategy is to expand our product pipeline of immunotherapeutics based on our ADAPTIR platform technology.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autoimmune disease and other therapeutic areas. Our goal is to leverage this technology to make targeted investment in bispecific ADAPTIR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platform technology, our ability to obtain product revenues in future periods may be adversely affected, which likely would result in harm to our financial position and our financial prospects and adversely affect our stock price.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i w:val="1"/>
          <w:iCs w:val="1"/>
          <w:color w:val="auto"/>
        </w:rPr>
        <w:t>We face substantial competition.</w:t>
      </w:r>
    </w:p>
    <w:p>
      <w:pPr>
        <w:spacing w:after="0" w:line="80"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The development and commercialization of new biotechnology products is highly competitive and subject to rapid technological advances. We may face future competition with respect to IXINITY,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devote greater resources to market or sell their products, research and development capabilities, adapt more quickly to new technologies, scientific advances or patient preferences and needs, initiate or withstand substantial price competition more successfully, or more effectively negotiate third-party licensing and collaborative arrangements.</w:t>
      </w:r>
    </w:p>
    <w:p>
      <w:pPr>
        <w:spacing w:after="0" w:line="167" w:lineRule="exact"/>
        <w:rPr>
          <w:sz w:val="20"/>
          <w:szCs w:val="20"/>
          <w:color w:val="auto"/>
        </w:rPr>
      </w:pPr>
    </w:p>
    <w:p>
      <w:pPr>
        <w:jc w:val="both"/>
        <w:ind w:right="20" w:firstLine="521"/>
        <w:spacing w:after="0" w:line="272" w:lineRule="auto"/>
        <w:rPr>
          <w:sz w:val="20"/>
          <w:szCs w:val="20"/>
          <w:color w:val="auto"/>
        </w:rPr>
      </w:pPr>
      <w:r>
        <w:rPr>
          <w:rFonts w:ascii="Arial" w:cs="Arial" w:eastAsia="Arial" w:hAnsi="Arial"/>
          <w:sz w:val="12"/>
          <w:szCs w:val="12"/>
          <w:color w:val="auto"/>
        </w:rPr>
        <w:t>We believe that our most significant competitors in the hematology/oncology and inflammation markets include: AbbVie Inc., Aduro, Inc., Affirmed, Amgen Inc., AnaptysBio, Inc., Astellas Pharma Inc., Bayer AG, Biogen Idec Inc., Bioverativ Therapeutics Inc., Boehringer Ingelheim GmbH, CSL Behring, a subsidiary of CSL Limited, Dendron Corp., Genentech Inc. (a subsidiary of F. Hoffmann-La Roche Ltd.), Genmab A/S, Gilead Sciences, Inc., GlaxoSmithKline plc, Grifols USA LLC, ImmunoGen, Inc., Immunomedics, Inc., Janssen BioTech Inc., Johnson &amp; Johnson, Macrogenics, Inc., Novartis International AG, Pieris Pharmaceuticals, Inc., Pfizer Inc., Sanofi-Adventis US LLC, Shire US Inc., Takeda Pharmaceuticals U.S.A., Inc., Xencor, Inc. and Zymeworks Biopharmaceuticals, Inc. We compete, in the case of IXINITY, and expect to compete, in the cases of our product candidates in development,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our products, switch from our products to new products or choose to use our products only in limited circumstances, which could adversely affect our business, financial condition and results of operations.</w:t>
      </w:r>
    </w:p>
    <w:p>
      <w:pPr>
        <w:spacing w:after="0" w:line="127" w:lineRule="exact"/>
        <w:rPr>
          <w:sz w:val="20"/>
          <w:szCs w:val="20"/>
          <w:color w:val="auto"/>
        </w:rPr>
      </w:pPr>
    </w:p>
    <w:p>
      <w:pPr>
        <w:jc w:val="both"/>
        <w:ind w:firstLine="521"/>
        <w:spacing w:after="0" w:line="271" w:lineRule="auto"/>
        <w:rPr>
          <w:sz w:val="20"/>
          <w:szCs w:val="20"/>
          <w:color w:val="auto"/>
        </w:rPr>
      </w:pPr>
      <w:r>
        <w:rPr>
          <w:rFonts w:ascii="Arial" w:cs="Arial" w:eastAsia="Arial" w:hAnsi="Arial"/>
          <w:sz w:val="12"/>
          <w:szCs w:val="12"/>
          <w:color w:val="auto"/>
        </w:rPr>
        <w:t>In addition, many of our competitors are able to deploy more personnel to market and sell their products than we do. We currently have a relatively small number of sales representatives compared with the number of sales representatives of most other biotechnology companies with marketed products like ours. Each of our sales representatives is responsible for a territory of significant size. The continued growth of IXINITY and the launch of any future products may require expansion of our sales force and sales support organization internationally, and we may need to commit significant additional funds, management and other resources to the growth of our sales organization. We may not be able to achieve any necessary growth in a timely or cost-effective manner or realize a positive return on our investment, and we may not have the financial resources to achieve the necessary growth in a timely manner or at all. We also have to compete with other biotechnology and life sciences companies to recruit, hire, train and retain sales and marketing personnel, and turnover in our sales force and marketing personnel could negatively affect sales IXINITY. IXINITY and our product candidates may also compete in the future with new products currently under development by others or biosimilar products. Any products that we develop are likely to be in a highly competitive market, and many of our competitors may succeed in developing products before we do or in developing products that may render our products obsolete or noncompetitive.</w:t>
      </w: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IXINTY or any of our product candidates, if approved, may become subject to unfavorable pricing regulations or third-party coverage and reimbursement policies, which would harm our business</w:t>
      </w:r>
      <w:r>
        <w:rPr>
          <w:rFonts w:ascii="Arial" w:cs="Arial" w:eastAsia="Arial" w:hAnsi="Arial"/>
          <w:sz w:val="12"/>
          <w:szCs w:val="12"/>
          <w:b w:val="1"/>
          <w:bCs w:val="1"/>
          <w:color w:val="auto"/>
        </w:rPr>
        <w:t>.</w:t>
      </w:r>
    </w:p>
    <w:p>
      <w:pPr>
        <w:spacing w:after="0" w:line="95" w:lineRule="exact"/>
        <w:rPr>
          <w:sz w:val="20"/>
          <w:szCs w:val="20"/>
          <w:color w:val="auto"/>
        </w:rPr>
      </w:pPr>
    </w:p>
    <w:p>
      <w:pPr>
        <w:jc w:val="both"/>
        <w:ind w:firstLine="521"/>
        <w:spacing w:after="0" w:line="273" w:lineRule="auto"/>
        <w:rPr>
          <w:sz w:val="20"/>
          <w:szCs w:val="20"/>
          <w:color w:val="auto"/>
        </w:rPr>
      </w:pPr>
      <w:r>
        <w:rPr>
          <w:rFonts w:ascii="Arial" w:cs="Arial" w:eastAsia="Arial" w:hAnsi="Arial"/>
          <w:sz w:val="12"/>
          <w:szCs w:val="12"/>
          <w:color w:val="auto"/>
        </w:rPr>
        <w:t>The success of IXINITY and our product candidates, if approved, will depend upon, among other things, their acceptance by physicians, patients, third-party payors and other members of the medical community as a therapeutic and cost-effective alternative to competing products and treatments. If IXINITY or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36" w:name="page37"/>
    <w:bookmarkEnd w:id="36"/>
    <w:p>
      <w:pPr>
        <w:jc w:val="both"/>
        <w:ind w:firstLine="521"/>
        <w:spacing w:after="0" w:line="300" w:lineRule="auto"/>
        <w:rPr>
          <w:sz w:val="20"/>
          <w:szCs w:val="20"/>
          <w:color w:val="auto"/>
        </w:rPr>
      </w:pPr>
      <w:r>
        <w:rPr>
          <w:rFonts w:ascii="Arial" w:cs="Arial" w:eastAsia="Arial" w:hAnsi="Arial"/>
          <w:sz w:val="11"/>
          <w:szCs w:val="11"/>
          <w:color w:val="auto"/>
        </w:rPr>
        <w:t>In the United States and internationally, sales of IXINITY and our ability to generate revenues on such sales are dependent, in significant part, on the availability of coverage and level of reimbursement from third-party payors, including government payors, such as Medicare and Medicaid, and private insurance plans. Insurers have implemented cost-cutting measures and other initiatives to enforce more stringent reimbursement standards and likely will continue to do so in the future. These measures include the establishment of more restrictive formularies and increases in the out-of-pocket obligations of patients for such products. Third-party payors are also increasingly challenging the prices charged for medical products and services. Third-party payors may limit access to biotechnology products through the use of prior authorizations and step therapy. Any reimbursement granted may not be maintained, or limits on reimbursement available from third parties, may reduce the demand for or negatively affect the price and potential profitability of those products. If these payors do not provide sufficient coverage and reimbursement for IXINITY or any future drug product we may market, these products may be too costly for general use, and physicians may prescribe them less frequently. Our ability to successfully commercialize IXINITY and product candidates and the demand for our products depends, in part, on the extent to which reimbursement and access is available from such third-party payors.</w:t>
      </w:r>
    </w:p>
    <w:p>
      <w:pPr>
        <w:spacing w:after="0" w:line="115"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In addition, particularly in the United States and increasingly in other countries, we are required to provide discounts and pay rebates to state and federal governments and agencies in connection with purchases of IXINITY that are reimbursed by such entities. Various provisions of the Patient Protection and Affordable Care Act (as amended by the Health Care and Education Reconciliation Act), or ACA, increased the levels of rebates and discounts that we have to provide in connection with sales of IXINITY that are paid for, or reimbursed by, certain state and federal government agencies and programs. It is possible that future legislation and regulatory changes in the United States and other jurisdictions could be enacted, which could potentially impact the reimbursement rates for IXINITY and also could further impact the levels of discounts and rebates we are required to pay to state and federal government entities.</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Our future revenues will depend on the availability outside the United States of adequate coverage, pricing and reimbursement from third-party payors for IXINITY, if we pursue registration and sale of IXINITY outside of the United States, and future drug products, if any.</w:t>
      </w:r>
    </w:p>
    <w:p>
      <w:pPr>
        <w:spacing w:after="0" w:line="53"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Outside the United States, certain countries, including a number of EU Member States, set prices and reimbursement for pharmaceutical products, or medicinal products as they are commonly referred to in the EU, with limited participation from the marketing authorization holders. We cannot be sure that these prices and reimbursement will be acceptable to us or our collaborative partners. If the regulatory authorities in these foreign jurisdictions set prices or reimbursement that are not commercially attractive for us or our collaborative partners, our revenues from future sales, and the potential profitability of our drug products, in those countries would be negatively affected. An increasing number of countries are taking initiatives to attempt to reduce large budget deficits by focusing cost-cutting efforts on pharmaceuticals for their state-run health care systems. These international price control efforts have impacted all regions of the world but have been most drastic in the EU.</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 inability to convince hospitals and managed care organizations to include IXINITY on their approved formulary lists, may result in our failure to meet revenue expectations.</w:t>
      </w:r>
    </w:p>
    <w:p>
      <w:pPr>
        <w:spacing w:after="0" w:line="80"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Hospitals and managed care organizations establish formularies, which are lists of drugs approved for use in the hospital or under a managed care plan. If a drug is not included on the formulary, the ability of our engagement partners and engagement managers to promote and sell the drug may be limited or denied. If we fail to secure and maintain formulary inclusion for IXINITY on favorable terms or are significantly delayed in doing so, we may have difficulty achieving market acceptance of IXINITY and our business, results of operations and financial condition could be materially adversely affected.</w:t>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Healthcare legislature reform measures may have a material adverse effect on our business and results of operations.</w:t>
      </w:r>
    </w:p>
    <w:p>
      <w:pPr>
        <w:spacing w:after="0" w:line="89" w:lineRule="exact"/>
        <w:rPr>
          <w:sz w:val="20"/>
          <w:szCs w:val="20"/>
          <w:color w:val="auto"/>
        </w:rPr>
      </w:pPr>
    </w:p>
    <w:p>
      <w:pPr>
        <w:jc w:val="both"/>
        <w:ind w:firstLine="521"/>
        <w:spacing w:after="0" w:line="271" w:lineRule="auto"/>
        <w:rPr>
          <w:sz w:val="20"/>
          <w:szCs w:val="20"/>
          <w:color w:val="auto"/>
        </w:rPr>
      </w:pPr>
      <w:r>
        <w:rPr>
          <w:rFonts w:ascii="Arial" w:cs="Arial" w:eastAsia="Arial" w:hAnsi="Arial"/>
          <w:sz w:val="12"/>
          <w:szCs w:val="12"/>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by the Trump Administration to repeal or replace certain aspects of the ACA. For example, since January 2017, President Trump has signed two executive orders and other directives designed to delay, circumvent, or loosen certain requirements mandated by the ACA. Concurrently, Congress has considered legislation that would repeal or repeal and replace all or part of the ACA. While Congress has not passed comprehensive repeal legislation, two bills affecting the implementation of certain taxes under the ACA have been enacted. President Trump signed The Tax Cuts and Jobs Act of 2017 on December 22, 2017, which includes a provision repealing the tax-based shared responsibility payment imposed by the ACA on certain individuals who fail to maintain qualifying health coverage for all or part of a year, commonly referred to as the “individual mandate”, effective January 1, 2019. Additionally, on January 22, 2018, President Trump signed a continuing resolution on appropriations for fiscal year 2018 that delayed the implementation of certain fees mandated by the ACA, including the so-called “Cadillac” tax on certain high cost employer-sponsored insurance plans and the annual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37" w:name="page38"/>
    <w:bookmarkEnd w:id="37"/>
    <w:p>
      <w:pPr>
        <w:jc w:val="both"/>
        <w:ind w:right="20"/>
        <w:spacing w:after="0" w:line="249" w:lineRule="auto"/>
        <w:rPr>
          <w:sz w:val="20"/>
          <w:szCs w:val="20"/>
          <w:color w:val="auto"/>
        </w:rPr>
      </w:pPr>
      <w:r>
        <w:rPr>
          <w:rFonts w:ascii="Arial" w:cs="Arial" w:eastAsia="Arial" w:hAnsi="Arial"/>
          <w:sz w:val="13"/>
          <w:szCs w:val="13"/>
          <w:color w:val="auto"/>
        </w:rPr>
        <w:t>fee imposed on certain health insurance providers based on market share. Further, the Bipartisan Budget Act of 2018, or the BBA, among other things, amends the ACA, effective January 1, 2019, to close the coverage gap in most Medicare drug plans, commonly referred to as the “donut hole”, and also increases in 2019 the percentage that a drug manufacturer must discount the cost of prescription drugs from 50 percent under current law to 70 percent. More recently, in July 2018, CMS announced that it is suspending further collections and payments to and from certain ACA qualified health plans and health insurance issuers under the ACA risk adjustment program pending the outcome of federal district court litigation regarding the method CMS uses to determine this risk adjustment. We continue to evaluate how the ACA and recent efforts to repeal and replace or limit the implementation of the ACA will impact our business.</w:t>
      </w:r>
    </w:p>
    <w:p>
      <w:pPr>
        <w:spacing w:after="0" w:line="141"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2027 unless additional Congressional action is taken.</w:t>
      </w:r>
    </w:p>
    <w:p>
      <w:pPr>
        <w:spacing w:after="0" w:line="122" w:lineRule="exact"/>
        <w:rPr>
          <w:sz w:val="20"/>
          <w:szCs w:val="20"/>
          <w:color w:val="auto"/>
        </w:rPr>
      </w:pPr>
    </w:p>
    <w:p>
      <w:pPr>
        <w:jc w:val="both"/>
        <w:ind w:firstLine="521"/>
        <w:spacing w:after="0" w:line="295" w:lineRule="auto"/>
        <w:rPr>
          <w:sz w:val="20"/>
          <w:szCs w:val="20"/>
          <w:color w:val="auto"/>
        </w:rPr>
      </w:pPr>
      <w:r>
        <w:rPr>
          <w:rFonts w:ascii="Arial" w:cs="Arial" w:eastAsia="Arial" w:hAnsi="Arial"/>
          <w:sz w:val="11"/>
          <w:szCs w:val="11"/>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the process of soliciting feedback on some of these measures and, at the same,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and initiatives may result in additional reductions in Medicare and other healthcare funding, which could have a material adverse effect on our future customers and accordingly, our financial operations.</w:t>
      </w:r>
    </w:p>
    <w:p>
      <w:pPr>
        <w:spacing w:after="0" w:line="12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IXINITY or any product candidates we successfully develop or additional pricing pressures.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negotiate and maintain satisfactory arrangements with group purchasing organizations and our distributors our financial condition could be adversely affected.</w:t>
      </w:r>
    </w:p>
    <w:p>
      <w:pPr>
        <w:spacing w:after="0" w:line="80" w:lineRule="exact"/>
        <w:rPr>
          <w:sz w:val="20"/>
          <w:szCs w:val="20"/>
          <w:color w:val="auto"/>
        </w:rPr>
      </w:pPr>
    </w:p>
    <w:p>
      <w:pPr>
        <w:jc w:val="both"/>
        <w:ind w:right="20" w:firstLine="521"/>
        <w:spacing w:after="0" w:line="273" w:lineRule="auto"/>
        <w:rPr>
          <w:sz w:val="20"/>
          <w:szCs w:val="20"/>
          <w:color w:val="auto"/>
        </w:rPr>
      </w:pPr>
      <w:r>
        <w:rPr>
          <w:rFonts w:ascii="Arial" w:cs="Arial" w:eastAsia="Arial" w:hAnsi="Arial"/>
          <w:sz w:val="12"/>
          <w:szCs w:val="12"/>
          <w:color w:val="auto"/>
        </w:rPr>
        <w:t>Our ability to sell IXINITY to hospitals and clinics in the United States depends in part on our relationships with group purchasing organizations, or GPOs. GPOs negotiate pricing arrangements and contracts, sometimes on an exclusive basis, with medical supply manufacturers and distributors. These negotiated prices are then made available to a GPOs affiliated hospitals and clinics and other members. If we are not one of the providers selected by a GPO, affiliated hospitals, clinics and other members may be less likely to purchase IXINITY, and if the GPO has negotiated a strict sole source, market share compliance or bundling contract for another manufacturer’s products, we may be precluded from making sales to members of the GPO for the duration of the contractual arrangement. Our failure to renew contracts with GPOs may cause us to lose market share and could have a material adverse effect on our sales, financial condition and results of operations. We cannot assure you that we will be able to renew these contracts on the current or substantially similar terms. If we are unable to keep our relationships and develop new relationships with GPOs, our competitive position may suffer.</w:t>
      </w:r>
    </w:p>
    <w:p>
      <w:pPr>
        <w:spacing w:after="0" w:line="127"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Additionally, we rely on the sales and marketing strength of these distributors and the distribution channels through which they operate for a portion of our revenues. If third parties do not successfully carry out their contractual duties, or if there is a delay or interruption in the distribution of our products, it could negatively impact our revenues from product sales.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283" w:right="199" w:bottom="1440" w:gutter="0" w:footer="0" w:header="0"/>
        </w:sectPr>
      </w:pPr>
    </w:p>
    <w:bookmarkStart w:id="38" w:name="page39"/>
    <w:bookmarkEnd w:id="38"/>
    <w:p>
      <w:pPr>
        <w:spacing w:after="0"/>
        <w:rPr>
          <w:sz w:val="20"/>
          <w:szCs w:val="20"/>
          <w:color w:val="auto"/>
        </w:rPr>
      </w:pPr>
      <w:r>
        <w:rPr>
          <w:rFonts w:ascii="Arial" w:cs="Arial" w:eastAsia="Arial" w:hAnsi="Arial"/>
          <w:sz w:val="11"/>
          <w:szCs w:val="11"/>
          <w:b w:val="1"/>
          <w:bCs w:val="1"/>
          <w:i w:val="1"/>
          <w:iCs w:val="1"/>
          <w:color w:val="auto"/>
        </w:rPr>
        <w:t xml:space="preserve">The loss of any of our sole source manufacturers, or delays or problems in the manufacture of </w:t>
      </w:r>
      <w:r>
        <w:rPr>
          <w:rFonts w:ascii="Arial" w:cs="Arial" w:eastAsia="Arial" w:hAnsi="Arial"/>
          <w:sz w:val="11"/>
          <w:szCs w:val="11"/>
          <w:color w:val="auto"/>
        </w:rPr>
        <w:t>IXINITY</w:t>
      </w:r>
      <w:r>
        <w:rPr>
          <w:rFonts w:ascii="Arial" w:cs="Arial" w:eastAsia="Arial" w:hAnsi="Arial"/>
          <w:sz w:val="11"/>
          <w:szCs w:val="11"/>
          <w:b w:val="1"/>
          <w:bCs w:val="1"/>
          <w:i w:val="1"/>
          <w:iCs w:val="1"/>
          <w:color w:val="auto"/>
        </w:rPr>
        <w:t xml:space="preserve"> or our product candidates, could result in product shortages and loss in revenue or delays in clinical development.</w:t>
      </w:r>
    </w:p>
    <w:p>
      <w:pPr>
        <w:spacing w:after="0" w:line="103"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We do not have manufacturing capabilities and do not plan to develop such capacity in the foreseeable future. We depend on a limited number of sole source third-party suppliers, including AGC Biologics, for our products and product candidates. Accordingly, our ability to develop and deliver products in a timely and competitive manner depends on our third-party manufacturers being able to continue to meet our ongoing commercial and clinical trial needs and perform their contractual obligations. Increases in the prices we pay our suppliers, interruptions in the supply of raw materials or IXINITY or lapses in quality could adversely impact our margins, profitability, cash flows and prospects.</w:t>
      </w:r>
    </w:p>
    <w:p>
      <w:pPr>
        <w:spacing w:after="0" w:line="138" w:lineRule="exact"/>
        <w:rPr>
          <w:sz w:val="20"/>
          <w:szCs w:val="20"/>
          <w:color w:val="auto"/>
        </w:rPr>
      </w:pPr>
    </w:p>
    <w:p>
      <w:pPr>
        <w:jc w:val="both"/>
        <w:ind w:firstLine="521"/>
        <w:spacing w:after="0" w:line="273" w:lineRule="auto"/>
        <w:rPr>
          <w:sz w:val="20"/>
          <w:szCs w:val="20"/>
          <w:color w:val="auto"/>
        </w:rPr>
      </w:pPr>
      <w:r>
        <w:rPr>
          <w:rFonts w:ascii="Arial" w:cs="Arial" w:eastAsia="Arial" w:hAnsi="Arial"/>
          <w:sz w:val="12"/>
          <w:szCs w:val="12"/>
          <w:color w:val="auto"/>
        </w:rPr>
        <w:t>If, for any reason, AGC, sole manufacturer of bulk drug substance for our IXINITY product, does not continue to supply us with IXINITY in a timely fashion and in compliance with applicable quality and regulatory requirements, or otherwise fails or refuses to comply with its obligations to us under our manufacturing arrangement, we may not have adequate remedies for any breach of contract, and its failure to supply us could result in a shortage of IXINITY, which could lead to lost revenue and otherwise adversely affect our business, financial condition, results of operations and growth prospects. In addition, if AGC fails or refuses to supply us for any reason, we may be forced to consider entering into additional manufacturing arrangements with other third-party manufacturers. In each case, we will incur significant costs and time in obtaining the regulatory approvals for these third-party facilities and in taking the necessary steps to prepare these third parties for the manufacture of IXINITY. Because of contractual restraints and the lead-time necessary to obtain FDA approval of a new manufacturer, replacement of any of AGC may be expensive and time consuming and may cause interruptions in our supply of IXINITY to our customers or an inability to manufacture.</w:t>
      </w:r>
    </w:p>
    <w:p>
      <w:pPr>
        <w:spacing w:after="0" w:line="127" w:lineRule="exact"/>
        <w:rPr>
          <w:sz w:val="20"/>
          <w:szCs w:val="20"/>
          <w:color w:val="auto"/>
        </w:rPr>
      </w:pPr>
    </w:p>
    <w:p>
      <w:pPr>
        <w:jc w:val="both"/>
        <w:ind w:firstLine="521"/>
        <w:spacing w:after="0" w:line="264" w:lineRule="auto"/>
        <w:rPr>
          <w:sz w:val="20"/>
          <w:szCs w:val="20"/>
          <w:color w:val="auto"/>
        </w:rPr>
      </w:pPr>
      <w:r>
        <w:rPr>
          <w:rFonts w:ascii="Arial" w:cs="Arial" w:eastAsia="Arial" w:hAnsi="Arial"/>
          <w:sz w:val="13"/>
          <w:szCs w:val="13"/>
          <w:color w:val="auto"/>
        </w:rPr>
        <w:t>For example, during 2015, we ordered nine manufacturing lots of bulk drug substance from AGC and only one of those lots was successfully manufactured and released in 2015. During 2016, we ordered five manufacturing lots of bulk drug substance from AGC and none of these lots satisfied product release specifications.</w:t>
      </w:r>
    </w:p>
    <w:p>
      <w:pPr>
        <w:spacing w:after="0" w:line="158"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On March 15, 2017, we announced the successful manufacture of a new bulk drug substance batch of IXINITY, providing new supply of IXINITY for the commercial market in May 2017. We have had success manufacturing batches of IXINITY since that time.</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Manufacturer of our products and product candidates, especially in large quantities, is complex and time consuming.</w:t>
      </w:r>
    </w:p>
    <w:p>
      <w:pPr>
        <w:spacing w:after="0" w:line="80" w:lineRule="exact"/>
        <w:rPr>
          <w:sz w:val="20"/>
          <w:szCs w:val="20"/>
          <w:color w:val="auto"/>
        </w:rPr>
      </w:pPr>
    </w:p>
    <w:p>
      <w:pPr>
        <w:jc w:val="both"/>
        <w:ind w:right="20" w:firstLine="521"/>
        <w:spacing w:after="0" w:line="311" w:lineRule="auto"/>
        <w:rPr>
          <w:sz w:val="20"/>
          <w:szCs w:val="20"/>
          <w:color w:val="auto"/>
        </w:rPr>
      </w:pPr>
      <w:r>
        <w:rPr>
          <w:rFonts w:ascii="Arial" w:cs="Arial" w:eastAsia="Arial" w:hAnsi="Arial"/>
          <w:sz w:val="11"/>
          <w:szCs w:val="11"/>
          <w:color w:val="auto"/>
        </w:rPr>
        <w:t>IXINITY and all of our current product candidates are biologics. IXINITY and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3" w:lineRule="exact"/>
        <w:rPr>
          <w:sz w:val="20"/>
          <w:szCs w:val="20"/>
          <w:color w:val="auto"/>
        </w:rPr>
      </w:pPr>
    </w:p>
    <w:p>
      <w:pPr>
        <w:jc w:val="both"/>
        <w:ind w:right="20" w:firstLine="521"/>
        <w:spacing w:after="0" w:line="273" w:lineRule="auto"/>
        <w:rPr>
          <w:sz w:val="20"/>
          <w:szCs w:val="20"/>
          <w:color w:val="auto"/>
        </w:rPr>
      </w:pPr>
      <w:r>
        <w:rPr>
          <w:rFonts w:ascii="Arial" w:cs="Arial" w:eastAsia="Arial" w:hAnsi="Arial"/>
          <w:sz w:val="12"/>
          <w:szCs w:val="12"/>
          <w:color w:val="auto"/>
        </w:rPr>
        <w:t>We rely on third parties to manufacture all clinical trial materials for our product candidates, and we will rely on third parties to manufacture commercial supplies, if any such product candidates are ultimately approved for commercial sale. Our product candidates, including APVO210, APVO436, ALG.APV-527, and an immunotherapeutic protein targeting ROR1,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In order to successfully develop and commercialize our product candidates in a timely manner, we and our third-party manufacturers must be able to develop and execute on manufacturing processes and reach agreement on contract terms.</w:t>
      </w:r>
    </w:p>
    <w:p>
      <w:pPr>
        <w:spacing w:after="0" w:line="127"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 effective manner, and as a result, our development programs will be delayed, our financial performance will be adversely impacted and we will be unable to meet our long-term goals.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i w:val="1"/>
          <w:iCs w:val="1"/>
          <w:color w:val="auto"/>
        </w:rPr>
        <w:t>Development and commercialization of IXINITY and our product candidates may be terminated or delayed.</w:t>
      </w:r>
    </w:p>
    <w:p>
      <w:pPr>
        <w:spacing w:after="0" w:line="80" w:lineRule="exact"/>
        <w:rPr>
          <w:sz w:val="20"/>
          <w:szCs w:val="20"/>
          <w:color w:val="auto"/>
        </w:rPr>
      </w:pPr>
    </w:p>
    <w:p>
      <w:pPr>
        <w:jc w:val="both"/>
        <w:ind w:firstLine="521"/>
        <w:spacing w:after="0" w:line="273" w:lineRule="auto"/>
        <w:rPr>
          <w:sz w:val="20"/>
          <w:szCs w:val="20"/>
          <w:color w:val="auto"/>
        </w:rPr>
      </w:pPr>
      <w:r>
        <w:rPr>
          <w:rFonts w:ascii="Arial" w:cs="Arial" w:eastAsia="Arial" w:hAnsi="Arial"/>
          <w:sz w:val="12"/>
          <w:szCs w:val="12"/>
          <w:color w:val="auto"/>
        </w:rPr>
        <w:t>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IXINITY and our product candidates and market and sell our products outside of the United States and maintaining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IXINITY and our product candidates in development, our results of operations would be materially and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a number of risks and uncertainties associated with our international activities and operations.</w:t>
      </w:r>
    </w:p>
    <w:p>
      <w:pPr>
        <w:spacing w:after="0" w:line="80" w:lineRule="exact"/>
        <w:rPr>
          <w:sz w:val="20"/>
          <w:szCs w:val="20"/>
          <w:color w:val="auto"/>
        </w:rPr>
      </w:pPr>
    </w:p>
    <w:p>
      <w:pPr>
        <w:jc w:val="both"/>
        <w:ind w:firstLine="521"/>
        <w:spacing w:after="0" w:line="270" w:lineRule="auto"/>
        <w:rPr>
          <w:sz w:val="20"/>
          <w:szCs w:val="20"/>
          <w:color w:val="auto"/>
        </w:rPr>
      </w:pPr>
      <w:r>
        <w:rPr>
          <w:rFonts w:ascii="Arial" w:cs="Arial" w:eastAsia="Arial" w:hAnsi="Arial"/>
          <w:sz w:val="12"/>
          <w:szCs w:val="12"/>
          <w:color w:val="auto"/>
        </w:rPr>
        <w:t>We currently have limited operations outside of the United States. However, we have manufacturing, collaboration, clinical trial and other relationships outside the United States and we may seek to grow our international operations significantly over the next several years. Our future results of operations will depend in part on our ability to grow our product sales in foreign markets, particularly in Europe. Our foreign operations subject us to additional risks and uncertainties, particularly because we have limited experience in marketing, servicing and distributing our products or otherwise operating our business outside of the United States and Canada. These risks and uncertainties include: political and economic determinations that adversely impact pricing or reimbursement policies; our customers’ ability to obtain reimbursement for procedures using our products in foreign markets; export licensing requirements, political and economic instability, trade restrictions, and changes in tariffs and difficulties in staffing and managing foreign operations; cross border restrictions on the movement of cash funds and repatriation of earnings; foreign currency fluctuations; longer accounts receivable collection times; reduced protection of intellectual property rights in some foreign countries; the interpretation of contractual provisions governed by foreign laws in the event of a contract dispute; and compliance with foreign or U.S. laws, rules and regulations, including data privacy requirements, labor relations laws, tax laws, anti-competition regulations, anti-bribery/anti-corruption laws, including but not limited to the U.S. Foreign Corrupt Practices Act, or FCPA, and the U.K. Bribery Act of 2010, which could subject us to investigation or prosecution under such U.S. or foreign laws.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Regulatory and Compliance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long-term success depends, in part, upon our ability to develop, receive regulatory approval for and commercialize our product candidates.</w:t>
      </w:r>
    </w:p>
    <w:p>
      <w:pPr>
        <w:spacing w:after="0" w:line="80"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Generally,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138"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The FDA and other comparable regulatory agencies in foreign countries impose substantial and rigorous requirements for the development, production, marketing authorization and commercial introduction of drug products. These requirements include preclinical,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138"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In the United States, to obtain approval from the FDA to market any of our future biologic products, we will be required to submit a biologics license application, or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136" w:lineRule="exact"/>
        <w:rPr>
          <w:sz w:val="20"/>
          <w:szCs w:val="20"/>
          <w:color w:val="auto"/>
        </w:rPr>
      </w:pPr>
    </w:p>
    <w:p>
      <w:pPr>
        <w:jc w:val="both"/>
        <w:ind w:firstLine="521"/>
        <w:spacing w:after="0" w:line="322" w:lineRule="auto"/>
        <w:rPr>
          <w:sz w:val="20"/>
          <w:szCs w:val="20"/>
          <w:color w:val="auto"/>
        </w:rPr>
      </w:pPr>
      <w:r>
        <w:rPr>
          <w:rFonts w:ascii="Arial" w:cs="Arial" w:eastAsia="Arial" w:hAnsi="Arial"/>
          <w:sz w:val="11"/>
          <w:szCs w:val="11"/>
          <w:color w:val="auto"/>
        </w:rPr>
        <w:t>Developing and obtaining regulatory approval for product candidates is a lengthy process, often taking a number of years, is uncertain and is expensive. All of the product candidates that we are developing, or may develop in the future, require research and development, preclinical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40" w:name="page41"/>
    <w:bookmarkEnd w:id="40"/>
    <w:p>
      <w:pPr>
        <w:jc w:val="both"/>
        <w:ind w:right="20"/>
        <w:spacing w:after="0" w:line="306" w:lineRule="auto"/>
        <w:rPr>
          <w:sz w:val="20"/>
          <w:szCs w:val="20"/>
          <w:color w:val="auto"/>
        </w:rPr>
      </w:pPr>
      <w:r>
        <w:rPr>
          <w:rFonts w:ascii="Arial" w:cs="Arial" w:eastAsia="Arial" w:hAnsi="Arial"/>
          <w:sz w:val="12"/>
          <w:szCs w:val="12"/>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30"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122"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122"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129" w:lineRule="exact"/>
        <w:rPr>
          <w:sz w:val="20"/>
          <w:szCs w:val="20"/>
          <w:color w:val="auto"/>
        </w:rPr>
      </w:pPr>
    </w:p>
    <w:p>
      <w:pPr>
        <w:jc w:val="both"/>
        <w:ind w:firstLine="521"/>
        <w:spacing w:after="0" w:line="273" w:lineRule="auto"/>
        <w:rPr>
          <w:sz w:val="20"/>
          <w:szCs w:val="20"/>
          <w:color w:val="auto"/>
        </w:rPr>
      </w:pPr>
      <w:r>
        <w:rPr>
          <w:rFonts w:ascii="Arial" w:cs="Arial" w:eastAsia="Arial" w:hAnsi="Arial"/>
          <w:sz w:val="12"/>
          <w:szCs w:val="12"/>
          <w:color w:val="auto"/>
        </w:rPr>
        <w:t>Certain of our products in development have experienced regulatory and/or clinical setbacks. For example, in December 2015, after a review of data from the Phase 1 dose escalation study of APVO414 in prostate cancer patients, we concluded that the dosing regimen and administration required adjustment. Patients receiving weekly doses of APVO414 developed ADA. ADA developed in most patients including those receiving the maximum tolerated dose of drug that could be given safely on a weekly basis. These antibodies bind to the drug and reduce the concentration of active APVO414 in the blood and thus could potentially reduce its efficacy. However, we observed no safety issues related to the development of ADA. The cause of these antibodies is unclear but could be due to the weekly administration of the drug. The protocol was amended to continuous intravenous infusion which delayed the development of ADA compared to the weekly IV infusion. However, with longer dosing, ADA developed that cleared the drug from the blood in some patients. We elected to discontinue the development of APVO414 and are no longer enrolling patients into the Phase 1 clinical study, although we will continue to monitor the patients remaining on the therapy.</w:t>
      </w:r>
    </w:p>
    <w:p>
      <w:pPr>
        <w:spacing w:after="0" w:line="127" w:lineRule="exact"/>
        <w:rPr>
          <w:sz w:val="20"/>
          <w:szCs w:val="20"/>
          <w:color w:val="auto"/>
        </w:rPr>
      </w:pPr>
    </w:p>
    <w:p>
      <w:pPr>
        <w:jc w:val="both"/>
        <w:ind w:firstLine="521"/>
        <w:spacing w:after="0" w:line="306" w:lineRule="auto"/>
        <w:rPr>
          <w:sz w:val="20"/>
          <w:szCs w:val="20"/>
          <w:color w:val="auto"/>
        </w:rPr>
      </w:pPr>
      <w:r>
        <w:rPr>
          <w:rFonts w:ascii="Arial" w:cs="Arial" w:eastAsia="Arial" w:hAnsi="Arial"/>
          <w:sz w:val="11"/>
          <w:szCs w:val="11"/>
          <w:color w:val="auto"/>
        </w:rPr>
        <w:t>In addition, earlier this year we commenced a pilot Phase 2 study of otlertuzumab in combination with bendamustine in peripheral T cell lymphoma (PTCL). Otlertuzumab is a first-generation monospecific antibody targeting CD37. Reports in the literature showed that CD37 appeared to be overexpressed in various T-cell lymphomas, suggesting a potential role for otlertuzumab in the treatment of T-cell malignancies. While there was some evidence of tumor regression (43% in primary tumor) in one patient, there has been no evidence of an early response in the remaining patients. Preliminary immunohistochemistry analysis has revealed that the number of patients with tumors expressing CD37, and the degree of CD37 expression within the tumors, is much lower than that found on panels of PTCL patient samples that were tested prior to the initiation of the pilot study. At this time, we have elected to discontinue the otlertuzumab development program and to close the study to further enrollment, although we will continue to monitor patients remaining on therapy.</w:t>
      </w:r>
    </w:p>
    <w:p>
      <w:pPr>
        <w:spacing w:after="0" w:line="110"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2"/>
          <w:szCs w:val="12"/>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We may not be able to file for regulatory approvals and may not receive necessary approvals to commercialize our products and products in development in any market on a timely basis, if at all.</w:t>
      </w:r>
    </w:p>
    <w:p>
      <w:pPr>
        <w:spacing w:after="0" w:line="12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41" w:name="page42"/>
    <w:bookmarkEnd w:id="41"/>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Regulatory approval for any approved product is limited by the FDA to those specific indications and conditions for which clinical safety and efficacy have been demonstrated, and we may incur significant liability if it is determined that we are promoting the “off-label” use of IXINITY or any of our future product candidates if approved.</w:t>
      </w:r>
    </w:p>
    <w:p>
      <w:pPr>
        <w:spacing w:after="0" w:line="53" w:lineRule="exact"/>
        <w:rPr>
          <w:sz w:val="20"/>
          <w:szCs w:val="20"/>
          <w:color w:val="auto"/>
        </w:rPr>
      </w:pPr>
    </w:p>
    <w:p>
      <w:pPr>
        <w:jc w:val="both"/>
        <w:ind w:right="20" w:firstLine="521"/>
        <w:spacing w:after="0" w:line="322" w:lineRule="auto"/>
        <w:rPr>
          <w:sz w:val="20"/>
          <w:szCs w:val="20"/>
          <w:color w:val="auto"/>
        </w:rPr>
      </w:pPr>
      <w:r>
        <w:rPr>
          <w:rFonts w:ascii="Arial" w:cs="Arial" w:eastAsia="Arial" w:hAnsi="Arial"/>
          <w:sz w:val="11"/>
          <w:szCs w:val="11"/>
          <w:color w:val="auto"/>
        </w:rPr>
        <w:t>Any regulatory approval is limited to those specific diseases, indications and patient populations for which a product is deemed to be safe and effective by the FDA. For example, the FDA-approved label for IXINITY is not approved for use in patients younger than twelve years old.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adversely affected.</w:t>
      </w:r>
    </w:p>
    <w:p>
      <w:pPr>
        <w:spacing w:after="0" w:line="102" w:lineRule="exact"/>
        <w:rPr>
          <w:sz w:val="20"/>
          <w:szCs w:val="20"/>
          <w:color w:val="auto"/>
        </w:rPr>
      </w:pPr>
    </w:p>
    <w:p>
      <w:pPr>
        <w:jc w:val="both"/>
        <w:ind w:right="20" w:firstLine="521"/>
        <w:spacing w:after="0" w:line="303" w:lineRule="auto"/>
        <w:rPr>
          <w:sz w:val="20"/>
          <w:szCs w:val="20"/>
          <w:color w:val="auto"/>
        </w:rPr>
      </w:pPr>
      <w:r>
        <w:rPr>
          <w:rFonts w:ascii="Arial" w:cs="Arial" w:eastAsia="Arial" w:hAnsi="Arial"/>
          <w:sz w:val="11"/>
          <w:szCs w:val="11"/>
          <w:color w:val="auto"/>
        </w:rPr>
        <w:t>While physicians may choose to prescribe drugs for uses that are not described in the product’s labeling and for uses that differ from those tested in clinical trials and approved by the regulatory authorities, our ability to promote the products is limited to those indications and patient populations that are specifically approved by the FDA. These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suspend or withdraw an approved product from the market, require a recall or institute fines, which could result in the disgorgement of money, operating restrictions, injunctions or civil or criminal enforcement, any of which could harm our business.</w:t>
      </w:r>
    </w:p>
    <w:p>
      <w:pPr>
        <w:spacing w:after="0" w:line="111"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Notwithstanding the regulatory restrictions on off-label promotion, the FDA and other regulatory authorities allow companies to engage in truthful, non-misleading and non-promotional scientific exchange concerning their products. We engage in medical education activities and communicate with investigators and potential investigators regarding our clinical trials. If the FDA or other regulatory or enforcement authorities determine that our communications regarding our marketed product are not in compliance with the relevant regulatory requirements and that we have improperly promoted off-label uses, or that our communications regarding our investigational products are not in compliance with the relevant regulatory requirements and that we have improperly engaged in pre-approval promotion, we may be subject to significant liability, including civil and administrative remedies as well as criminal sanctions.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products may face regulatory, legal or commercial challenges even after approval.</w:t>
      </w:r>
    </w:p>
    <w:p>
      <w:pPr>
        <w:spacing w:after="0" w:line="80"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Any drug or biologic for which we receive FDA approval, along with the manufacturing processes, post-approval clinical data, labeling, advertising and promotional activities for such product, will be subject to continuing regulation by the FDA, including, among other things, record keeping requirements, reporting of adverse experiences,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or those of our third-party manufacturers and distributors, could be subject to challenge under one or more of such laws.</w:t>
      </w:r>
    </w:p>
    <w:p>
      <w:pPr>
        <w:spacing w:after="0" w:line="139"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In addition, the FDA has post-approval authority to require post-approval clinical trials and/or safety labeling changes if warranted by the appearance of new safety information. In certain circumstances, the FDA may impose a Risk Evaluation and Mitigation Strategy, or REMS, after a product has been approved. Facilities involved in the manufacture and distribution of approved products are required to register their establishments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boxed warnings in their approved package inserts.</w:t>
      </w:r>
    </w:p>
    <w:p>
      <w:pPr>
        <w:spacing w:after="0" w:line="126"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Similar actions may be taken against us should we fail to comply with regulatory requirements, or later discover previously unknown problems with our products.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3"/>
          <w:szCs w:val="13"/>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3"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As a biotechnology company, even though we do not provide healthcare services or receive payments directly from or bill directly to Medicare, Medicaid or other third-party payors for our products, certain federal, state and local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jc w:val="both"/>
        <w:ind w:left="1020" w:hanging="508"/>
        <w:spacing w:after="0" w:line="279"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45" w:lineRule="exact"/>
        <w:rPr>
          <w:rFonts w:ascii="Arial" w:cs="Arial" w:eastAsia="Arial" w:hAnsi="Arial"/>
          <w:sz w:val="12"/>
          <w:szCs w:val="12"/>
          <w:color w:val="auto"/>
        </w:rPr>
      </w:pPr>
    </w:p>
    <w:p>
      <w:pPr>
        <w:jc w:val="both"/>
        <w:ind w:left="1020" w:right="20" w:hanging="508"/>
        <w:spacing w:after="0" w:line="322" w:lineRule="auto"/>
        <w:tabs>
          <w:tab w:leader="none" w:pos="10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25" w:lineRule="exact"/>
        <w:rPr>
          <w:rFonts w:ascii="Arial" w:cs="Arial" w:eastAsia="Arial" w:hAnsi="Arial"/>
          <w:sz w:val="11"/>
          <w:szCs w:val="11"/>
          <w:color w:val="auto"/>
        </w:rPr>
      </w:pPr>
    </w:p>
    <w:p>
      <w:pPr>
        <w:jc w:val="both"/>
        <w:ind w:left="1020" w:hanging="508"/>
        <w:spacing w:after="0" w:line="275" w:lineRule="auto"/>
        <w:tabs>
          <w:tab w:leader="none" w:pos="10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49" w:lineRule="exact"/>
        <w:rPr>
          <w:rFonts w:ascii="Arial" w:cs="Arial" w:eastAsia="Arial" w:hAnsi="Arial"/>
          <w:sz w:val="12"/>
          <w:szCs w:val="12"/>
          <w:color w:val="auto"/>
        </w:rPr>
      </w:pPr>
    </w:p>
    <w:p>
      <w:pPr>
        <w:jc w:val="both"/>
        <w:ind w:left="1020" w:right="20" w:hanging="508"/>
        <w:spacing w:after="0" w:line="249" w:lineRule="auto"/>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64" w:lineRule="exact"/>
        <w:rPr>
          <w:rFonts w:ascii="Arial" w:cs="Arial" w:eastAsia="Arial" w:hAnsi="Arial"/>
          <w:sz w:val="13"/>
          <w:szCs w:val="13"/>
          <w:color w:val="auto"/>
        </w:rPr>
      </w:pPr>
    </w:p>
    <w:p>
      <w:pPr>
        <w:jc w:val="both"/>
        <w:ind w:left="1020" w:right="20" w:hanging="508"/>
        <w:spacing w:after="0" w:line="249" w:lineRule="auto"/>
        <w:tabs>
          <w:tab w:leader="none" w:pos="10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Physician Payments Sunshine Act and its implementing regulations, which requires certain manufacturers of drugs, biologics, medical devices and medical supplies for which payment is available under Medicare, Medicaid or the Children’s Health Insurance Program to report annually to the Centers for Medicare and Medicaid Services, or CMS, certain payments and transfers of value made to physicians, certain other healthcare professionals, and teaching hospitals, and ownership or investment interests held by physicians and their immediate family members. Beginning in 2022, applicable manufacturers will also be required to report information regarding payments and transfers of value provided to physician assistants, nurse practitioners, clinical nurse specialists, certified nurse anesthetists, and certified nurse-midwives; and</w:t>
      </w:r>
    </w:p>
    <w:p>
      <w:pPr>
        <w:spacing w:after="0" w:line="64" w:lineRule="exact"/>
        <w:rPr>
          <w:rFonts w:ascii="Arial" w:cs="Arial" w:eastAsia="Arial" w:hAnsi="Arial"/>
          <w:sz w:val="13"/>
          <w:szCs w:val="13"/>
          <w:color w:val="auto"/>
        </w:rPr>
      </w:pPr>
    </w:p>
    <w:p>
      <w:pPr>
        <w:jc w:val="both"/>
        <w:ind w:left="1020" w:hanging="508"/>
        <w:spacing w:after="0" w:line="306" w:lineRule="auto"/>
        <w:tabs>
          <w:tab w:leader="none" w:pos="102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state law equivalents of each of the above federal laws, such as anti-kickback and false claims laws, which may apply to items or services reimbursed by any third-party payor, including commercial insurers; state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that require drug manufacturers to report information related to payments and other transfers of value to healthcare providers or entities, or marketing expenditures.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43" w:name="page44"/>
    <w:bookmarkEnd w:id="43"/>
    <w:p>
      <w:pPr>
        <w:jc w:val="both"/>
        <w:ind w:firstLine="521"/>
        <w:spacing w:after="0" w:line="279" w:lineRule="auto"/>
        <w:rPr>
          <w:sz w:val="20"/>
          <w:szCs w:val="20"/>
          <w:color w:val="auto"/>
        </w:rPr>
      </w:pPr>
      <w:r>
        <w:rPr>
          <w:rFonts w:ascii="Arial" w:cs="Arial" w:eastAsia="Arial" w:hAnsi="Arial"/>
          <w:sz w:val="12"/>
          <w:szCs w:val="12"/>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122" w:lineRule="exact"/>
        <w:rPr>
          <w:sz w:val="20"/>
          <w:szCs w:val="20"/>
          <w:color w:val="auto"/>
        </w:rPr>
      </w:pPr>
    </w:p>
    <w:p>
      <w:pPr>
        <w:jc w:val="both"/>
        <w:ind w:right="20" w:firstLine="521"/>
        <w:spacing w:after="0" w:line="322" w:lineRule="auto"/>
        <w:rPr>
          <w:sz w:val="20"/>
          <w:szCs w:val="20"/>
          <w:color w:val="auto"/>
        </w:rPr>
      </w:pPr>
      <w:r>
        <w:rPr>
          <w:rFonts w:ascii="Arial" w:cs="Arial" w:eastAsia="Arial" w:hAnsi="Arial"/>
          <w:sz w:val="11"/>
          <w:szCs w:val="11"/>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To the extent that any product we make is sold in a foreign country, we may be subject to similar foreign laws and regulations.</w:t>
      </w:r>
    </w:p>
    <w:p>
      <w:pPr>
        <w:spacing w:after="0" w:line="102"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In addition, certain state and local laws mandate that we comply with a state code of conduct, adopt a company code of conduct under state criteria, disclose marketing payments made to health care professionals and entities,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138" w:lineRule="exact"/>
        <w:rPr>
          <w:sz w:val="20"/>
          <w:szCs w:val="20"/>
          <w:color w:val="auto"/>
        </w:rPr>
      </w:pPr>
    </w:p>
    <w:p>
      <w:pPr>
        <w:jc w:val="both"/>
        <w:ind w:firstLine="521"/>
        <w:spacing w:after="0" w:line="272" w:lineRule="auto"/>
        <w:rPr>
          <w:sz w:val="20"/>
          <w:szCs w:val="20"/>
          <w:color w:val="auto"/>
        </w:rPr>
      </w:pPr>
      <w:r>
        <w:rPr>
          <w:rFonts w:ascii="Arial" w:cs="Arial" w:eastAsia="Arial" w:hAnsi="Arial"/>
          <w:sz w:val="12"/>
          <w:szCs w:val="12"/>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20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our obligations under U.S. governmental pricing programs, we could be required to reimburse government programs for underpayments and could pay penalties, sanctions and fines.</w:t>
      </w:r>
    </w:p>
    <w:p>
      <w:pPr>
        <w:spacing w:after="0" w:line="103"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The issuance of regulations and coverage expansion by various governmental agencies relating to the Medicaid rebate program will continue to increase our costs and the complexity of compliance and will be time-consuming. Changes to the definition of “average manufacturer price,” or AMP, and the Medicaid rebate amount under the ACA and CMS, issuance of final regulations implementing those changes also has affected and could further affect our 340B “ceiling price” calculations. Because we participate in the Medicaid rebate program, we are required to report “average sales price,” or ASP, information to CMS for certain categories of drugs that are paid for under Part B of the Medicare program, including IXINITY. Future statutory or regulatory changes or CMS binding guidance could affect the ASP calculations for our products and the resulting Medicare payment rate, and could negatively impact our results of operations.</w:t>
      </w:r>
    </w:p>
    <w:p>
      <w:pPr>
        <w:spacing w:after="0" w:line="141"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Pricing and rebate calculations vary among products and programs, involve complex calculations and are often subject to interpretation by us, governmental or regulatory agencies and the courts. The Medicaid rebate amount is computed each quarter based on our submission to CMS of our current AMP and “best price” for the quarter. If we become aware that our reporting for a prior quarter was incorrect, or has changed as a result of recalculation of the pricing data, we are obligated to resubmit the corrected data for a period not to exceed twelve quarters from the quarter in which the data originally were due. Any such revisions could have the impact of increasing or decreasing our rebate liability for prior quarters, depending on the direction of the revision. Such restatements and recalculations increase our costs for complying with the laws and regulations governing the Medicaid rebate program. Price recalculations also may affect the “ceiling price” at which we are required to offer our products to certain covered entities, such as safety-net providers, under the 340B/PHS drug pricing program.</w:t>
      </w:r>
    </w:p>
    <w:p>
      <w:pPr>
        <w:spacing w:after="0" w:line="139" w:lineRule="exact"/>
        <w:rPr>
          <w:sz w:val="20"/>
          <w:szCs w:val="20"/>
          <w:color w:val="auto"/>
        </w:rPr>
      </w:pPr>
    </w:p>
    <w:p>
      <w:pPr>
        <w:jc w:val="both"/>
        <w:ind w:firstLine="521"/>
        <w:spacing w:after="0" w:line="286" w:lineRule="auto"/>
        <w:rPr>
          <w:sz w:val="20"/>
          <w:szCs w:val="20"/>
          <w:color w:val="auto"/>
        </w:rPr>
      </w:pPr>
      <w:r>
        <w:rPr>
          <w:rFonts w:ascii="Arial" w:cs="Arial" w:eastAsia="Arial" w:hAnsi="Arial"/>
          <w:sz w:val="12"/>
          <w:szCs w:val="12"/>
          <w:color w:val="auto"/>
        </w:rPr>
        <w:t>In addition to retroactive rebate liability and the potential for 340B program refunds, if we are found to have made a misrepresentation in the reporting of ASP, we are subject to civil monetary penalties for each such price misrepresentation and for each day in which such price misrepresentation was applied. If we are found to have knowingly submitted false AMP or “best price” information to the government, we may be liable for civil monetary penalties per item of false information. Any refusal of a request for information or knowing provision of false information in connection with an AMP survey verification also would subject us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44" w:name="page45"/>
    <w:bookmarkEnd w:id="44"/>
    <w:p>
      <w:pPr>
        <w:jc w:val="both"/>
        <w:ind w:right="20"/>
        <w:spacing w:after="0" w:line="279" w:lineRule="auto"/>
        <w:rPr>
          <w:sz w:val="20"/>
          <w:szCs w:val="20"/>
          <w:color w:val="auto"/>
        </w:rPr>
      </w:pPr>
      <w:r>
        <w:rPr>
          <w:rFonts w:ascii="Arial" w:cs="Arial" w:eastAsia="Arial" w:hAnsi="Arial"/>
          <w:sz w:val="12"/>
          <w:szCs w:val="12"/>
          <w:color w:val="auto"/>
        </w:rPr>
        <w:t>civil monetary penalties. In addition, our failure to submit monthly/quarterly AMP or “best price” information on a timely basis could result in a civil monetary penalty per day for each day the information is late beyond the due date. Such failure also could be grounds for CMS to terminate our Medicaid drug rebate agreement, pursuant to which we participate in the Medicaid program. In the event that CMS terminates our rebate agreement, no federal payments would be available under Medicaid or Medicare Part B for our covered outpatient drugs. Governmental agencies may also make changes in program interpretations, requirements or conditions of participation, some of which may have implications for amounts previously estimated or paid. We cannot assure you that our submissions will not be found by CMS to be incomplete or incorrect.</w:t>
      </w:r>
    </w:p>
    <w:p>
      <w:pPr>
        <w:spacing w:after="0" w:line="122" w:lineRule="exact"/>
        <w:rPr>
          <w:sz w:val="20"/>
          <w:szCs w:val="20"/>
          <w:color w:val="auto"/>
        </w:rPr>
      </w:pPr>
    </w:p>
    <w:p>
      <w:pPr>
        <w:jc w:val="both"/>
        <w:ind w:firstLine="521"/>
        <w:spacing w:after="0" w:line="270" w:lineRule="auto"/>
        <w:rPr>
          <w:sz w:val="20"/>
          <w:szCs w:val="20"/>
          <w:color w:val="auto"/>
        </w:rPr>
      </w:pPr>
      <w:r>
        <w:rPr>
          <w:rFonts w:ascii="Arial" w:cs="Arial" w:eastAsia="Arial" w:hAnsi="Arial"/>
          <w:sz w:val="12"/>
          <w:szCs w:val="12"/>
          <w:color w:val="auto"/>
        </w:rPr>
        <w:t>In order for our products to be reimbursed by the primary federal governmental programs, we report certain pricing data to the U.S. federal government. Compliance with reporting and other requirements of these federal programs is a pre-condition to: (i) the availability of federal funds to pay for our products under Medicaid and Medicare Part B; and (ii) procurement of our products by the Department of Veterans Affairs, or DVA, and by covered entities under the 340B/PHS program. The pricing data reported are used as the basis for establishing Federal Supply Schedule, or FSS, and 340B/PHS program contract pricing and payment and rebate rates under the Medicare Part B and Medicaid programs, respectively. Pharmaceutical companies have been prosecuted under federal and state false claims laws for submitting inaccurate and/or incomplete pricing information to the government that resulted in increased payments made by these programs. The rules governing the calculation of certain reported prices are highly complex. Although we maintain and follow strict procedures to ensure the maximum possible integrity for our federal pricing calculations, the process for making the required calculations involves some subjective judgments and the risk of errors always exists, which creates the potential for exposure under the false claims laws. If we become subject to investigations or other inquiries concerning our compliance with price reporting laws and regulations, and our methodologies for calculating federal prices are found to include flaws or to have been incorrectly applied, we could be required to pay or be subject to additional reimbursements, penalties, sanctions or fines, which could have a material adverse effect on our business, financial condition and results of operations.</w:t>
      </w:r>
    </w:p>
    <w:p>
      <w:pPr>
        <w:spacing w:after="0" w:line="130" w:lineRule="exact"/>
        <w:rPr>
          <w:sz w:val="20"/>
          <w:szCs w:val="20"/>
          <w:color w:val="auto"/>
        </w:rPr>
      </w:pPr>
    </w:p>
    <w:p>
      <w:pPr>
        <w:jc w:val="both"/>
        <w:ind w:firstLine="521"/>
        <w:spacing w:after="0" w:line="270" w:lineRule="auto"/>
        <w:rPr>
          <w:sz w:val="20"/>
          <w:szCs w:val="20"/>
          <w:color w:val="auto"/>
        </w:rPr>
      </w:pPr>
      <w:r>
        <w:rPr>
          <w:rFonts w:ascii="Arial" w:cs="Arial" w:eastAsia="Arial" w:hAnsi="Arial"/>
          <w:sz w:val="12"/>
          <w:szCs w:val="12"/>
          <w:color w:val="auto"/>
        </w:rPr>
        <w:t>To be eligible to have our products paid for with federal funds under the Medicaid and Medicare Part B programs as well as to be purchased by certain federal agencies and certain federal grantees, we also must participate in the DVA FSS pricing program. To participate, we are required to enter into an FSS contract with the DVA, under which we must make our innovator “covered drugs” available to the “Big Four” federal agencies —the DVA, the U.S. Department of Defense, or the DoD, the Public Health Service (including the Indian Health Service), and the Coast Guard—at pricing that is capped pursuant to a statutory federal ceiling price, or FCP, formula set forth in Section 603 of the Veterans Health Care Act of 1992, or VHCA. The FCP is based on a weighted average wholesale price known as the Non-Federal Average Manufacturer Price, or Non-FAMP, which manufacturers are required to report on a quarterly and annual basis to the DVA. Pursuant to the VHCA, knowing provision of false information in connection with a Non-FAMP filing can subject us to penalties of $184,767 for each item of false information. If we overcharge the government in connection with our FSS contract or Section 703 Agreement, whether due to a misstated FCP or otherwise, we are required to disclose the error and refund the difference to the government. The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91"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91" w:lineRule="exact"/>
        <w:rPr>
          <w:sz w:val="20"/>
          <w:szCs w:val="20"/>
          <w:color w:val="auto"/>
        </w:rPr>
      </w:pPr>
    </w:p>
    <w:p>
      <w:pPr>
        <w:jc w:val="both"/>
        <w:ind w:right="20" w:firstLine="521"/>
        <w:spacing w:after="0" w:line="275" w:lineRule="auto"/>
        <w:rPr>
          <w:sz w:val="20"/>
          <w:szCs w:val="20"/>
          <w:color w:val="auto"/>
        </w:rPr>
      </w:pPr>
      <w:r>
        <w:rPr>
          <w:rFonts w:ascii="Arial" w:cs="Arial" w:eastAsia="Arial" w:hAnsi="Arial"/>
          <w:sz w:val="12"/>
          <w:szCs w:val="12"/>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2"/>
          <w:szCs w:val="12"/>
          <w:color w:val="auto"/>
        </w:rPr>
        <w:t>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to bring our practices into compliance with the GDPR,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Intellectual Property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protect our intellectual proprietary rights, our business could be harmed.</w:t>
      </w:r>
    </w:p>
    <w:p>
      <w:pPr>
        <w:spacing w:after="0" w:line="80"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protecting our intellectual property depends significantly on our ability to:</w:t>
      </w:r>
    </w:p>
    <w:p>
      <w:pPr>
        <w:spacing w:after="0" w:line="62" w:lineRule="exact"/>
        <w:rPr>
          <w:sz w:val="20"/>
          <w:szCs w:val="20"/>
          <w:color w:val="auto"/>
        </w:rPr>
      </w:pPr>
    </w:p>
    <w:p>
      <w:pPr>
        <w:ind w:left="1020" w:hanging="508"/>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obtain and maintain U.S. and foreign patents, that are meaningful to our products, including defending those patents against adverse claims;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secure patent term extension for the patents covering our approved products;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protect trade secrets;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operate without infringing the proprietary rights of others;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prevent others from infringing our proprietary rights.</w:t>
      </w:r>
    </w:p>
    <w:p>
      <w:pPr>
        <w:spacing w:after="0" w:line="156" w:lineRule="exact"/>
        <w:rPr>
          <w:sz w:val="20"/>
          <w:szCs w:val="20"/>
          <w:color w:val="auto"/>
        </w:rPr>
      </w:pPr>
    </w:p>
    <w:p>
      <w:pPr>
        <w:jc w:val="both"/>
        <w:ind w:right="20" w:firstLine="521"/>
        <w:spacing w:after="0" w:line="249" w:lineRule="auto"/>
        <w:rPr>
          <w:sz w:val="20"/>
          <w:szCs w:val="20"/>
          <w:color w:val="auto"/>
        </w:rPr>
      </w:pPr>
      <w:r>
        <w:rPr>
          <w:rFonts w:ascii="Arial" w:cs="Arial" w:eastAsia="Arial" w:hAnsi="Arial"/>
          <w:sz w:val="13"/>
          <w:szCs w:val="13"/>
          <w:color w:val="auto"/>
        </w:rPr>
        <w:t>We may not be able to obtain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39"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139"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In addition to patent litigation, we may be a party to adversarial proceedings before the Patent Trial and Appeal Board (PTAB) of the US Patent and Trademark Office (USPTO), or the Opposition Division of the European Patent Office (EPO). Potential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60" w:right="199" w:bottom="1440" w:gutter="0" w:footer="0" w:header="0"/>
        </w:sectPr>
      </w:pPr>
    </w:p>
    <w:bookmarkStart w:id="46" w:name="page47"/>
    <w:bookmarkEnd w:id="46"/>
    <w:p>
      <w:pPr>
        <w:jc w:val="both"/>
        <w:ind w:right="20"/>
        <w:spacing w:after="0" w:line="264" w:lineRule="auto"/>
        <w:rPr>
          <w:sz w:val="20"/>
          <w:szCs w:val="20"/>
          <w:color w:val="auto"/>
        </w:rPr>
      </w:pPr>
      <w:r>
        <w:rPr>
          <w:rFonts w:ascii="Arial" w:cs="Arial" w:eastAsia="Arial" w:hAnsi="Arial"/>
          <w:sz w:val="13"/>
          <w:szCs w:val="13"/>
          <w:color w:val="auto"/>
        </w:rPr>
        <w:t>proceedings before the PTAB include inter partes review proceedings, post-grant review proceedings and interference proceedings. Depending on our level of success at the PTAB and Opposition Division of the EPO, these proceedings could adversely impact our intellectual property rights with respect to our products and technology.</w:t>
      </w:r>
    </w:p>
    <w:p>
      <w:pPr>
        <w:spacing w:after="0" w:line="129"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122"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136"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118"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We also will rely on current and future trademarks to establish and maintain recognized brands. If we fail to acquire and protect such trademarks, our ability to market and sell our products, and therefore our business, financial condition and operating results, could be materially and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Third parties may choose to file patent infringement claims against us.</w:t>
      </w:r>
    </w:p>
    <w:p>
      <w:pPr>
        <w:spacing w:after="0" w:line="80" w:lineRule="exact"/>
        <w:rPr>
          <w:sz w:val="20"/>
          <w:szCs w:val="20"/>
          <w:color w:val="auto"/>
        </w:rPr>
      </w:pPr>
    </w:p>
    <w:p>
      <w:pPr>
        <w:jc w:val="both"/>
        <w:ind w:firstLine="521"/>
        <w:spacing w:after="0" w:line="275" w:lineRule="auto"/>
        <w:rPr>
          <w:sz w:val="20"/>
          <w:szCs w:val="20"/>
          <w:color w:val="auto"/>
        </w:rPr>
      </w:pPr>
      <w:r>
        <w:rPr>
          <w:rFonts w:ascii="Arial" w:cs="Arial" w:eastAsia="Arial" w:hAnsi="Arial"/>
          <w:sz w:val="12"/>
          <w:szCs w:val="12"/>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126" w:lineRule="exact"/>
        <w:rPr>
          <w:sz w:val="20"/>
          <w:szCs w:val="20"/>
          <w:color w:val="auto"/>
        </w:rPr>
      </w:pPr>
    </w:p>
    <w:p>
      <w:pPr>
        <w:jc w:val="both"/>
        <w:ind w:right="20" w:firstLine="521"/>
        <w:spacing w:after="0" w:line="251" w:lineRule="auto"/>
        <w:rPr>
          <w:sz w:val="20"/>
          <w:szCs w:val="20"/>
          <w:color w:val="auto"/>
        </w:rPr>
      </w:pPr>
      <w:r>
        <w:rPr>
          <w:rFonts w:ascii="Arial" w:cs="Arial" w:eastAsia="Arial" w:hAnsi="Arial"/>
          <w:sz w:val="13"/>
          <w:szCs w:val="13"/>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138"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PTAB and opposition proceedings in the European Patent Office, regarding intellectual property rights that could impact our products and technology.</w:t>
      </w:r>
    </w:p>
    <w:p>
      <w:pPr>
        <w:spacing w:after="0" w:line="136" w:lineRule="exact"/>
        <w:rPr>
          <w:sz w:val="20"/>
          <w:szCs w:val="20"/>
          <w:color w:val="auto"/>
        </w:rPr>
      </w:pPr>
    </w:p>
    <w:p>
      <w:pPr>
        <w:jc w:val="both"/>
        <w:ind w:right="20" w:firstLine="521"/>
        <w:spacing w:after="0" w:line="322" w:lineRule="auto"/>
        <w:rPr>
          <w:sz w:val="20"/>
          <w:szCs w:val="20"/>
          <w:color w:val="auto"/>
        </w:rPr>
      </w:pPr>
      <w:r>
        <w:rPr>
          <w:rFonts w:ascii="Arial" w:cs="Arial" w:eastAsia="Arial" w:hAnsi="Arial"/>
          <w:sz w:val="11"/>
          <w:szCs w:val="11"/>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Aptevo trademarks may be opposed which could have a material and adverse effect on our business.</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We have applications pending that cover the APTEVO THERAPEUTICS, APTEVO BIOTHERAPEUTICS and APTEVO RESEARCH AND DEVELOPMENT trademarks. We refer to these trademarks as our house marks. If a third party opposes any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436" w:right="199" w:bottom="1440" w:gutter="0" w:footer="0" w:header="0"/>
        </w:sectPr>
      </w:pPr>
    </w:p>
    <w:bookmarkStart w:id="47" w:name="page48"/>
    <w:bookmarkEnd w:id="47"/>
    <w:p>
      <w:pPr>
        <w:jc w:val="both"/>
        <w:ind w:right="20"/>
        <w:spacing w:after="0" w:line="322" w:lineRule="auto"/>
        <w:rPr>
          <w:sz w:val="20"/>
          <w:szCs w:val="20"/>
          <w:color w:val="auto"/>
        </w:rPr>
      </w:pPr>
      <w:r>
        <w:rPr>
          <w:rFonts w:ascii="Arial" w:cs="Arial" w:eastAsia="Arial" w:hAnsi="Arial"/>
          <w:sz w:val="11"/>
          <w:szCs w:val="11"/>
          <w:color w:val="auto"/>
        </w:rPr>
        <w:t>these house marks and we are unable to reach settlement prior to the commencement of an opposition proceeding, we may incur significant expense in the course of participating in the opposition process, which can be expensive and lengthy. Any settlement with a third 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02"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Synoptis Pharma Sp. z.o.o., or Synoptis, has opposed several of our house marks in the European Union. We are in settlement discussions with Synoptis and believe we will be able to reach agreement with Synoptis on terms. In the event we are unsuccessful with our efforts to negotiate a settlement with Synoptis, we may lose our ability to obtain trademark registration for one or more of the house marks in the European Union, where Synoptis has opposed the marks, which could have a material and adverse effect on our business.</w:t>
      </w:r>
    </w:p>
    <w:p>
      <w:pPr>
        <w:spacing w:after="0" w:line="136"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The Bristol Myers Squibb Company, or BMS, previously opposed several of our house marks in and outside the United States. We entered into a settlement and co-existence agreement with BMS and its licensee, Ono Pharmaceutical Co., Ltd on July 5, 2017. BMS subsequently withdrew oppositions of our house marks. The settlement and co-existence agreement places restrictions on how we can use our house marks and how we can seek trademark protection for our house marks.</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subject to claims that our employees have wrongfully used or disclosed alleged trade secrets of their former employers.</w:t>
      </w:r>
    </w:p>
    <w:p>
      <w:pPr>
        <w:spacing w:after="0" w:line="80"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comply with our obligations in our intellectual property licenses with third parties, could result in loss of license rights or other damages.</w:t>
      </w:r>
    </w:p>
    <w:p>
      <w:pPr>
        <w:spacing w:after="0" w:line="80"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protect the confidentiality of our proprietary information and know-how, the value of our technology and products could be adversely affected.</w:t>
      </w:r>
    </w:p>
    <w:p>
      <w:pPr>
        <w:spacing w:after="0" w:line="80"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experience a significant disruption in our information technology systems or breaches of data security, our business could be adversely affected.</w:t>
      </w:r>
    </w:p>
    <w:p>
      <w:pPr>
        <w:spacing w:after="0" w:line="80"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 If we were to experience a prolonged system disruption in our information technology systems or those of certain of our vendors, it could delay or negatively impact our sales of IXINITY or the development and commercialization of our product candidates, which could adversely impact our business. If operations at our facilities were disrupted, it may cause a material disruption in our business if we are not capable of restoring function on an acceptable timeframe. In addition, our information technology systems are potentially vulnerable to data security breaches—whether by employees or others—which may expose sensitive or personal data to unauthorized persons. Such data security breaches could lead to the loss of trade secrets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60" w:right="19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2"/>
          <w:szCs w:val="12"/>
          <w:color w:val="auto"/>
        </w:rPr>
        <w:t>other intellectual property, or could lead to the public exposure of personal information (including sensitive personal information) of our employees, patients in our clinical trials, customers and others, any of which could have a material adverse effect on our business, financial condition and results of operations. 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which could disrupt our business, result in increased costs or loss of revenue, and/or result in significant legal and financial exposure. In addition, a data security breach could result in loss of clinical trial data or damage to the integrity of that data. 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 Related to Collaborations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establishing and maintaining collaborations that leverage our capabilities in pursuit of developing and commercializing our product candidates.</w:t>
      </w:r>
    </w:p>
    <w:p>
      <w:pPr>
        <w:spacing w:after="0" w:line="80" w:lineRule="exact"/>
        <w:rPr>
          <w:sz w:val="20"/>
          <w:szCs w:val="20"/>
          <w:color w:val="auto"/>
        </w:rPr>
      </w:pPr>
    </w:p>
    <w:p>
      <w:pPr>
        <w:jc w:val="both"/>
        <w:ind w:firstLine="521"/>
        <w:spacing w:after="0" w:line="300" w:lineRule="auto"/>
        <w:rPr>
          <w:sz w:val="20"/>
          <w:szCs w:val="20"/>
          <w:color w:val="auto"/>
        </w:rPr>
      </w:pPr>
      <w:r>
        <w:rPr>
          <w:rFonts w:ascii="Arial" w:cs="Arial" w:eastAsia="Arial" w:hAnsi="Arial"/>
          <w:sz w:val="11"/>
          <w:szCs w:val="11"/>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Bioscience AB, or Alligator, pursuant to which Aptevo R&amp;D and Alligator will collaboratively develop ALG.APV-527, a lead bispecific antibody candidate simultaneously targeting 4-1BB (CD137), a member of the TNFR superfamily of a costimulatory receptor found on activated T-cells, and 5T4, a tumor antigen widely overexpressed in a number of different types of cancer. We expect to selectively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115" w:lineRule="exact"/>
        <w:rPr>
          <w:sz w:val="20"/>
          <w:szCs w:val="20"/>
          <w:color w:val="auto"/>
        </w:rPr>
      </w:pPr>
    </w:p>
    <w:p>
      <w:pPr>
        <w:jc w:val="both"/>
        <w:ind w:right="20" w:firstLine="521"/>
        <w:spacing w:after="0" w:line="306" w:lineRule="auto"/>
        <w:rPr>
          <w:sz w:val="20"/>
          <w:szCs w:val="20"/>
          <w:color w:val="auto"/>
        </w:rPr>
      </w:pPr>
      <w:r>
        <w:rPr>
          <w:rFonts w:ascii="Arial" w:cs="Arial" w:eastAsia="Arial" w:hAnsi="Arial"/>
          <w:sz w:val="12"/>
          <w:szCs w:val="12"/>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risks that we are subject to in any of our collaborations include, among others:</w:t>
      </w:r>
    </w:p>
    <w:p>
      <w:pPr>
        <w:spacing w:after="0" w:line="80" w:lineRule="exact"/>
        <w:rPr>
          <w:sz w:val="20"/>
          <w:szCs w:val="20"/>
          <w:color w:val="auto"/>
        </w:rPr>
      </w:pPr>
    </w:p>
    <w:p>
      <w:pPr>
        <w:ind w:left="1020" w:hanging="508"/>
        <w:spacing w:after="0"/>
        <w:tabs>
          <w:tab w:leader="none" w:pos="10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collaborative partners may not commit adequate resources to the development, marketing and distribution of any collaboration products, limiting our potential revenues from these products;</w:t>
      </w:r>
    </w:p>
    <w:p>
      <w:pPr>
        <w:spacing w:after="0" w:line="91" w:lineRule="exact"/>
        <w:rPr>
          <w:rFonts w:ascii="Arial" w:cs="Arial" w:eastAsia="Arial" w:hAnsi="Arial"/>
          <w:sz w:val="12"/>
          <w:szCs w:val="12"/>
          <w:color w:val="auto"/>
        </w:rPr>
      </w:pPr>
    </w:p>
    <w:p>
      <w:pPr>
        <w:ind w:left="1020" w:hanging="508"/>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collaborative partners may experience financial difficulties and may therefore be unable to meet their commitments to us;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collaborative partners may pursue a competing product candidate developed either independently or in collaboration with others, including our competitors;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collaborative partners may terminate our relationship.</w:t>
      </w:r>
    </w:p>
    <w:p>
      <w:pPr>
        <w:spacing w:after="0" w:line="156"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60" w:right="19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i w:val="1"/>
          <w:iCs w:val="1"/>
          <w:color w:val="auto"/>
        </w:rPr>
        <w:t>If we do not continue to develop effective internal controls, we may not be able to accurately report our financial results and our business could be harmed.</w:t>
      </w:r>
    </w:p>
    <w:p>
      <w:pPr>
        <w:spacing w:after="0" w:line="80" w:lineRule="exact"/>
        <w:rPr>
          <w:sz w:val="20"/>
          <w:szCs w:val="20"/>
          <w:color w:val="auto"/>
        </w:rPr>
      </w:pPr>
    </w:p>
    <w:p>
      <w:pPr>
        <w:jc w:val="both"/>
        <w:ind w:firstLine="521"/>
        <w:spacing w:after="0" w:line="298" w:lineRule="auto"/>
        <w:rPr>
          <w:sz w:val="20"/>
          <w:szCs w:val="20"/>
          <w:color w:val="auto"/>
        </w:rPr>
      </w:pPr>
      <w:r>
        <w:rPr>
          <w:rFonts w:ascii="Arial" w:cs="Arial" w:eastAsia="Arial" w:hAnsi="Arial"/>
          <w:sz w:val="11"/>
          <w:szCs w:val="11"/>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have availed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14"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i w:val="1"/>
          <w:iCs w:val="1"/>
          <w:color w:val="auto"/>
        </w:rPr>
        <w:t>In connection with our separation from Emergent, we and Emergent agreed to indemnify the other party for certain liabilities. The Emergent indemnity may not be sufficient to hold us harmless from the full amount of liabilities for which Emergent will be allocated responsibility, and Emergent may not be able to satisfy its indemnification obligations in the future.</w:t>
      </w:r>
    </w:p>
    <w:p>
      <w:pPr>
        <w:spacing w:after="0" w:line="53" w:lineRule="exact"/>
        <w:rPr>
          <w:sz w:val="20"/>
          <w:szCs w:val="20"/>
          <w:color w:val="auto"/>
        </w:rPr>
      </w:pPr>
    </w:p>
    <w:p>
      <w:pPr>
        <w:jc w:val="both"/>
        <w:ind w:right="20" w:firstLine="521"/>
        <w:spacing w:after="0" w:line="273" w:lineRule="auto"/>
        <w:rPr>
          <w:sz w:val="20"/>
          <w:szCs w:val="20"/>
          <w:color w:val="auto"/>
        </w:rPr>
      </w:pPr>
      <w:r>
        <w:rPr>
          <w:rFonts w:ascii="Arial" w:cs="Arial" w:eastAsia="Arial" w:hAnsi="Arial"/>
          <w:sz w:val="12"/>
          <w:szCs w:val="12"/>
          <w:color w:val="auto"/>
        </w:rPr>
        <w:t>Pursuant to the separation agreement and certain other agreements with Emergent, Emergent has agreed to indemnify us for certain liabilities, and we agreed to indemnify Emergent for certain liabilities. Indemnities that we may be required to provide Emergent are not subject to any cap, may be significant and could negatively impact our business, particularly indemnities relating to our actions that could impact the tax-free nature of the distribution. Third parties could also seek to hold us responsible for any of the liabilities that Emergent has agreed to retain. Any amounts we are required to pay pursuant to these indemnification obligations and other liabilities could require us to divert cash that would otherwise have been used in furtherance of our operating business. Further, the indemnity from Emergent may not be sufficient to protect us against the full amount of such liabilities, and Emergent may not be able to fully satisfy its indemnification obligations. Moreover, even if we ultimately succeed in recovering from Emergent any amounts for which we are held liable, we may be temporarily required to bear these losses ourselves. Each of these risks could negatively affect our business, results of operations and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Common Stock</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stock price may be volatile.</w:t>
      </w:r>
    </w:p>
    <w:p>
      <w:pPr>
        <w:spacing w:after="0" w:line="80" w:lineRule="exact"/>
        <w:rPr>
          <w:sz w:val="20"/>
          <w:szCs w:val="20"/>
          <w:color w:val="auto"/>
        </w:rPr>
      </w:pPr>
    </w:p>
    <w:p>
      <w:pPr>
        <w:jc w:val="both"/>
        <w:ind w:right="20" w:firstLine="521"/>
        <w:spacing w:after="0" w:line="286" w:lineRule="auto"/>
        <w:rPr>
          <w:sz w:val="20"/>
          <w:szCs w:val="20"/>
          <w:color w:val="auto"/>
        </w:rPr>
      </w:pPr>
      <w:r>
        <w:rPr>
          <w:rFonts w:ascii="Arial" w:cs="Arial" w:eastAsia="Arial" w:hAnsi="Arial"/>
          <w:sz w:val="12"/>
          <w:szCs w:val="12"/>
          <w:color w:val="auto"/>
        </w:rPr>
        <w:t>Our stock price has fluctuated in the past and is likely to be volatile in the future. Since August 1, 2016, the reported closing price of our common stock has fluctuated between $1.19 and $5.94 per share. The stock market in general, and the market for biotechnology companies in particular, have experienced extreme volatility that has often been unrelated to the operating performance of particular companies. The market price of our common stock may fluctuate significantly due to a number of factors, some of which may be beyond our control or unrelated to our operations, including, among others:</w:t>
      </w:r>
    </w:p>
    <w:p>
      <w:pPr>
        <w:spacing w:after="0" w:line="41" w:lineRule="exact"/>
        <w:rPr>
          <w:sz w:val="20"/>
          <w:szCs w:val="20"/>
          <w:color w:val="auto"/>
        </w:rPr>
      </w:pPr>
    </w:p>
    <w:p>
      <w:pPr>
        <w:ind w:left="1020" w:hanging="508"/>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changes in earnings estimated by securities analysts or management, or our ability to meet those estimates;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investor perceptions or negative announcements by our customers, competitors or suppliers regarding their own performance;</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success of competitive products or technologies;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timing, expenses and results of clinical and non-clinical trials of our product candidates;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announcements regarding clinical trial results and product introductions by us or our competitors;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50" w:name="page51"/>
    <w:bookmarkEnd w:id="50"/>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announcements of acquisitions, collaborations, financings or other transactions by us or our competitors;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public concern as to the safety of our products;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termination or delay of a development program;</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recruitment or departure of key personnel;</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actual or anticipated variations in our product revenue and results of operations;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operating and stock price performance of comparable companies;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general industry conditions and domestic and worldwide financial, economic and political instability;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other factors described in this “Risk Factors” section.</w:t>
      </w:r>
    </w:p>
    <w:p>
      <w:pPr>
        <w:spacing w:after="0" w:line="156"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public announcement of data from clinical trials or news of any developments related to our product pipeline may cause significant volatility in our stock price.</w:t>
      </w:r>
    </w:p>
    <w:p>
      <w:pPr>
        <w:spacing w:after="0" w:line="80" w:lineRule="exact"/>
        <w:rPr>
          <w:sz w:val="20"/>
          <w:szCs w:val="20"/>
          <w:color w:val="auto"/>
        </w:rPr>
      </w:pPr>
    </w:p>
    <w:p>
      <w:pPr>
        <w:jc w:val="both"/>
        <w:ind w:firstLine="521"/>
        <w:spacing w:after="0" w:line="251" w:lineRule="auto"/>
        <w:rPr>
          <w:sz w:val="20"/>
          <w:szCs w:val="20"/>
          <w:color w:val="auto"/>
        </w:rPr>
      </w:pPr>
      <w:r>
        <w:rPr>
          <w:rFonts w:ascii="Arial" w:cs="Arial" w:eastAsia="Arial" w:hAnsi="Arial"/>
          <w:sz w:val="13"/>
          <w:szCs w:val="13"/>
          <w:color w:val="auto"/>
        </w:rPr>
        <w:t>The announcement of data from clinical trials by us or our collaborative partners or news of any developments related to our key pipeline product candidates may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Your percentage of ownership in Aptevo may be diluted in the future.</w:t>
      </w:r>
    </w:p>
    <w:p>
      <w:pPr>
        <w:spacing w:after="0" w:line="80"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In the future, your percentage ownership in Aptevo may be diluted because of equity issuances for acquisitions, capital market transactions or otherwise, including equity awards to our directors, officers and employees. Our employees have options to purchase shares of our common stock and we have issued significant number of restricted stock units that will vest over time. From time to time, we expect to issue additional options, RSUs or other stock-based awards to our employees under our employee benefits plans.</w:t>
      </w:r>
    </w:p>
    <w:p>
      <w:pPr>
        <w:spacing w:after="0" w:line="136" w:lineRule="exact"/>
        <w:rPr>
          <w:sz w:val="20"/>
          <w:szCs w:val="20"/>
          <w:color w:val="auto"/>
        </w:rPr>
      </w:pPr>
    </w:p>
    <w:p>
      <w:pPr>
        <w:jc w:val="both"/>
        <w:ind w:firstLine="521"/>
        <w:spacing w:after="0" w:line="249" w:lineRule="auto"/>
        <w:rPr>
          <w:sz w:val="20"/>
          <w:szCs w:val="20"/>
          <w:color w:val="auto"/>
        </w:rPr>
      </w:pPr>
      <w:r>
        <w:rPr>
          <w:rFonts w:ascii="Arial" w:cs="Arial" w:eastAsia="Arial" w:hAnsi="Arial"/>
          <w:sz w:val="13"/>
          <w:szCs w:val="13"/>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217"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Fuad El-Hibri, the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53" w:lineRule="exact"/>
        <w:rPr>
          <w:sz w:val="20"/>
          <w:szCs w:val="20"/>
          <w:color w:val="auto"/>
        </w:rPr>
      </w:pPr>
    </w:p>
    <w:p>
      <w:pPr>
        <w:jc w:val="both"/>
        <w:ind w:right="20" w:firstLine="521"/>
        <w:spacing w:after="0" w:line="279" w:lineRule="auto"/>
        <w:rPr>
          <w:sz w:val="20"/>
          <w:szCs w:val="20"/>
          <w:color w:val="auto"/>
        </w:rPr>
      </w:pPr>
      <w:r>
        <w:rPr>
          <w:rFonts w:ascii="Arial" w:cs="Arial" w:eastAsia="Arial" w:hAnsi="Arial"/>
          <w:sz w:val="12"/>
          <w:szCs w:val="12"/>
          <w:color w:val="auto"/>
        </w:rPr>
        <w:t>Mr. El-Hibri has the ability to significantly influence the election of the members of our Board of Directors due to his substantial beneficial ownership of our common stock. As of September 30, 2018, Mr. El-Hibri was the beneficial owner of approximately 12% of our outstanding common stock. As a result, Mr. El-Hibri could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360" w:right="199" w:bottom="1440" w:gutter="0" w:footer="0" w:header="0"/>
        </w:sectPr>
      </w:pPr>
    </w:p>
    <w:bookmarkStart w:id="51" w:name="page52"/>
    <w:bookmarkEnd w:id="51"/>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Provisions under Delaware law and in our restated certificate of incorporation and amended and restated by-laws may discourage acquisition proposals, delay a change in control or prevent transactions that stockholders may consider favorable.</w:t>
      </w:r>
    </w:p>
    <w:p>
      <w:pPr>
        <w:spacing w:after="0" w:line="53" w:lineRule="exact"/>
        <w:rPr>
          <w:sz w:val="20"/>
          <w:szCs w:val="20"/>
          <w:color w:val="auto"/>
        </w:rPr>
      </w:pPr>
    </w:p>
    <w:p>
      <w:pPr>
        <w:jc w:val="both"/>
        <w:ind w:right="20" w:firstLine="521"/>
        <w:spacing w:after="0" w:line="254" w:lineRule="auto"/>
        <w:rPr>
          <w:sz w:val="20"/>
          <w:szCs w:val="20"/>
          <w:color w:val="auto"/>
        </w:rPr>
      </w:pPr>
      <w:r>
        <w:rPr>
          <w:rFonts w:ascii="Arial" w:cs="Arial" w:eastAsia="Arial" w:hAnsi="Arial"/>
          <w:sz w:val="13"/>
          <w:szCs w:val="13"/>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These provisions include:</w:t>
      </w:r>
    </w:p>
    <w:p>
      <w:pPr>
        <w:spacing w:after="0" w:line="80" w:lineRule="exact"/>
        <w:rPr>
          <w:sz w:val="20"/>
          <w:szCs w:val="20"/>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classification of our directors;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limitations on the removal of directors;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limitations on filling vacancies on the board;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advance notice requirements for stockholder nominations of candidates for election to the Board of Directors and other proposals;</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inability of stockholders to act by written consent;</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inability of stockholders to call special meetings;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ability of our Board of Directors to designate the terms of and issue a new series of preferred stock without stockholder approval.</w:t>
      </w:r>
    </w:p>
    <w:p>
      <w:pPr>
        <w:spacing w:after="0" w:line="15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36" w:lineRule="exact"/>
        <w:rPr>
          <w:sz w:val="20"/>
          <w:szCs w:val="20"/>
          <w:color w:val="auto"/>
        </w:rPr>
      </w:pPr>
    </w:p>
    <w:p>
      <w:pPr>
        <w:jc w:val="both"/>
        <w:ind w:firstLine="521"/>
        <w:spacing w:after="0" w:line="254" w:lineRule="auto"/>
        <w:rPr>
          <w:sz w:val="20"/>
          <w:szCs w:val="20"/>
          <w:color w:val="auto"/>
        </w:rPr>
      </w:pPr>
      <w:r>
        <w:rPr>
          <w:rFonts w:ascii="Arial" w:cs="Arial" w:eastAsia="Arial" w:hAnsi="Arial"/>
          <w:sz w:val="13"/>
          <w:szCs w:val="13"/>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213"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b w:val="1"/>
          <w:bCs w:val="1"/>
          <w:i w:val="1"/>
          <w:iCs w:val="1"/>
          <w:color w:val="auto"/>
        </w:rPr>
        <w:t>Our by-laws include an exclusive forum provision that could limit our stockholders’ ability to obtain a judicial forum viewed by stockholders as more favorable for disputes with us or our directors, officers or other employees or certain stockholders.</w:t>
      </w:r>
    </w:p>
    <w:p>
      <w:pPr>
        <w:spacing w:after="0" w:line="53" w:lineRule="exact"/>
        <w:rPr>
          <w:sz w:val="20"/>
          <w:szCs w:val="20"/>
          <w:color w:val="auto"/>
        </w:rPr>
      </w:pPr>
    </w:p>
    <w:p>
      <w:pPr>
        <w:jc w:val="both"/>
        <w:ind w:firstLine="521"/>
        <w:spacing w:after="0" w:line="279" w:lineRule="auto"/>
        <w:rPr>
          <w:sz w:val="20"/>
          <w:szCs w:val="20"/>
          <w:color w:val="auto"/>
        </w:rPr>
      </w:pPr>
      <w:r>
        <w:rPr>
          <w:rFonts w:ascii="Arial" w:cs="Arial" w:eastAsia="Arial" w:hAnsi="Arial"/>
          <w:sz w:val="12"/>
          <w:szCs w:val="12"/>
          <w:color w:val="auto"/>
        </w:rPr>
        <w:t>Our by-laws provide that the Chancery Court of the State of Delaware will be the sole and exclusive forum for certain legal proceedings, unless we consent in writing to the selection of an alternative forum. This exclusive forum provision may limit the ability of our stockholders to bring a claim in a judicial forum that such stockholders find favorable for disputes with us or our directors or officers, which may discourage lawsuits against us or our directors or officers. Alternatively, if a court outside of Delaware were to find this exclusive forum provision inapplicable to, or unenforceable in respect of, one or more of the types of actions or proceedings described above, we may incur additional costs associated with resolving such matters in other jurisdictions, which could adversely affect our business, financial condition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significant portion of our shares may be sold into the market at any time which could depress our stock price</w:t>
      </w:r>
    </w:p>
    <w:p>
      <w:pPr>
        <w:spacing w:after="0" w:line="80" w:lineRule="exact"/>
        <w:rPr>
          <w:sz w:val="20"/>
          <w:szCs w:val="20"/>
          <w:color w:val="auto"/>
        </w:rPr>
      </w:pPr>
    </w:p>
    <w:p>
      <w:pPr>
        <w:jc w:val="both"/>
        <w:ind w:right="20" w:firstLine="521"/>
        <w:spacing w:after="0" w:line="264" w:lineRule="auto"/>
        <w:rPr>
          <w:sz w:val="20"/>
          <w:szCs w:val="20"/>
          <w:color w:val="auto"/>
        </w:rPr>
      </w:pPr>
      <w:r>
        <w:rPr>
          <w:rFonts w:ascii="Arial" w:cs="Arial" w:eastAsia="Arial" w:hAnsi="Arial"/>
          <w:sz w:val="13"/>
          <w:szCs w:val="13"/>
          <w:color w:val="auto"/>
        </w:rPr>
        <w:t>If our stockholders sell a substantial number of shares of our common stock in the public market, our market price could decline. In addition, holders of an aggregate of approximately three million shares of our common stock have the right to require us to register these shares of common stock under the Securities Act of 1933, as amended, under specified circumstances.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0"/>
          </w:cols>
          <w:pgMar w:left="220" w:top="513" w:right="19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 applicable.</w:t>
      </w:r>
    </w:p>
    <w:p>
      <w:pPr>
        <w:spacing w:after="0" w:line="156"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32409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279" w:right="1440" w:bottom="1440" w:gutter="0" w:footer="0" w:header="0"/>
        </w:sectPr>
      </w:pPr>
    </w:p>
    <w:bookmarkStart w:id="53" w:name="page54"/>
    <w:bookmarkEnd w:id="53"/>
    <w:p>
      <w:pPr>
        <w:ind w:left="4"/>
        <w:spacing w:after="0"/>
        <w:rPr>
          <w:sz w:val="20"/>
          <w:szCs w:val="20"/>
          <w:color w:val="auto"/>
        </w:rPr>
      </w:pPr>
      <w:r>
        <w:rPr>
          <w:rFonts w:ascii="Arial" w:cs="Arial" w:eastAsia="Arial" w:hAnsi="Arial"/>
          <w:sz w:val="13"/>
          <w:szCs w:val="13"/>
          <w:b w:val="1"/>
          <w:bCs w:val="1"/>
          <w:color w:val="auto"/>
        </w:rPr>
        <w:t>Item 6. Exhibits</w:t>
      </w:r>
    </w:p>
    <w:p>
      <w:pPr>
        <w:spacing w:after="0" w:line="16" w:lineRule="exact"/>
        <w:rPr>
          <w:sz w:val="20"/>
          <w:szCs w:val="20"/>
          <w:color w:val="auto"/>
        </w:rPr>
      </w:pPr>
    </w:p>
    <w:tbl>
      <w:tblPr>
        <w:tblLayout w:type="fixed"/>
        <w:tblInd w:w="4" w:type="dxa"/>
        <w:tblCellMar>
          <w:top w:w="0" w:type="dxa"/>
          <w:left w:w="0" w:type="dxa"/>
          <w:bottom w:w="0" w:type="dxa"/>
          <w:right w:w="0" w:type="dxa"/>
        </w:tblCellMar>
      </w:tblPr>
      <w:tr>
        <w:trPr>
          <w:trHeight w:val="165"/>
        </w:trPr>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540" w:type="dxa"/>
            <w:vAlign w:val="bottom"/>
            <w:gridSpan w:val="6"/>
          </w:tcPr>
          <w:p>
            <w:pPr>
              <w:ind w:left="4420"/>
              <w:spacing w:after="0"/>
              <w:rPr>
                <w:sz w:val="20"/>
                <w:szCs w:val="20"/>
                <w:color w:val="auto"/>
              </w:rPr>
            </w:pPr>
            <w:r>
              <w:rPr>
                <w:rFonts w:ascii="Arial" w:cs="Arial" w:eastAsia="Arial" w:hAnsi="Arial"/>
                <w:sz w:val="13"/>
                <w:szCs w:val="13"/>
                <w:b w:val="1"/>
                <w:bCs w:val="1"/>
                <w:color w:val="auto"/>
              </w:rPr>
              <w:t>Exhibit Index</w:t>
            </w:r>
          </w:p>
        </w:tc>
      </w:tr>
      <w:tr>
        <w:trPr>
          <w:trHeight w:val="231"/>
        </w:trPr>
        <w:tc>
          <w:tcPr>
            <w:tcW w:w="940" w:type="dxa"/>
            <w:vAlign w:val="bottom"/>
            <w:gridSpan w:val="2"/>
          </w:tcPr>
          <w:p>
            <w:pPr>
              <w:ind w:left="280"/>
              <w:spacing w:after="0"/>
              <w:rPr>
                <w:sz w:val="20"/>
                <w:szCs w:val="20"/>
                <w:color w:val="auto"/>
              </w:rPr>
            </w:pPr>
            <w:r>
              <w:rPr>
                <w:rFonts w:ascii="Arial" w:cs="Arial" w:eastAsia="Arial" w:hAnsi="Arial"/>
                <w:sz w:val="10"/>
                <w:szCs w:val="10"/>
                <w:b w:val="1"/>
                <w:bCs w:val="1"/>
                <w:color w:val="auto"/>
              </w:rPr>
              <w:t>Exhibit</w:t>
            </w:r>
          </w:p>
        </w:tc>
        <w:tc>
          <w:tcPr>
            <w:tcW w:w="4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20"/>
        </w:trPr>
        <w:tc>
          <w:tcPr>
            <w:tcW w:w="940" w:type="dxa"/>
            <w:vAlign w:val="bottom"/>
            <w:gridSpan w:val="2"/>
          </w:tcPr>
          <w:p>
            <w:pPr>
              <w:ind w:left="260"/>
              <w:spacing w:after="0"/>
              <w:rPr>
                <w:sz w:val="20"/>
                <w:szCs w:val="20"/>
                <w:color w:val="auto"/>
              </w:rPr>
            </w:pPr>
            <w:r>
              <w:rPr>
                <w:rFonts w:ascii="Arial" w:cs="Arial" w:eastAsia="Arial" w:hAnsi="Arial"/>
                <w:sz w:val="10"/>
                <w:szCs w:val="10"/>
                <w:b w:val="1"/>
                <w:bCs w:val="1"/>
                <w:color w:val="auto"/>
              </w:rPr>
              <w:t>Number</w:t>
            </w:r>
          </w:p>
        </w:tc>
        <w:tc>
          <w:tcPr>
            <w:tcW w:w="4760" w:type="dxa"/>
            <w:vAlign w:val="bottom"/>
          </w:tcPr>
          <w:p>
            <w:pPr>
              <w:spacing w:after="0"/>
              <w:rPr>
                <w:sz w:val="10"/>
                <w:szCs w:val="10"/>
                <w:color w:val="auto"/>
              </w:rPr>
            </w:pPr>
          </w:p>
        </w:tc>
        <w:tc>
          <w:tcPr>
            <w:tcW w:w="5780" w:type="dxa"/>
            <w:vAlign w:val="bottom"/>
            <w:gridSpan w:val="5"/>
          </w:tcPr>
          <w:p>
            <w:pPr>
              <w:ind w:left="260"/>
              <w:spacing w:after="0"/>
              <w:rPr>
                <w:sz w:val="20"/>
                <w:szCs w:val="20"/>
                <w:color w:val="auto"/>
              </w:rPr>
            </w:pPr>
            <w:r>
              <w:rPr>
                <w:rFonts w:ascii="Arial" w:cs="Arial" w:eastAsia="Arial" w:hAnsi="Arial"/>
                <w:sz w:val="10"/>
                <w:szCs w:val="10"/>
                <w:b w:val="1"/>
                <w:bCs w:val="1"/>
                <w:color w:val="auto"/>
              </w:rPr>
              <w:t>Description</w:t>
            </w:r>
          </w:p>
        </w:tc>
      </w:tr>
      <w:tr>
        <w:trPr>
          <w:trHeight w:val="200"/>
        </w:trPr>
        <w:tc>
          <w:tcPr>
            <w:tcW w:w="9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10.1*</w:t>
            </w:r>
          </w:p>
        </w:tc>
        <w:tc>
          <w:tcPr>
            <w:tcW w:w="40" w:type="dxa"/>
            <w:vAlign w:val="bottom"/>
          </w:tcPr>
          <w:p>
            <w:pPr>
              <w:spacing w:after="0"/>
              <w:rPr>
                <w:sz w:val="17"/>
                <w:szCs w:val="17"/>
                <w:color w:val="auto"/>
              </w:rPr>
            </w:pPr>
          </w:p>
        </w:tc>
        <w:tc>
          <w:tcPr>
            <w:tcW w:w="476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3"/>
                <w:szCs w:val="13"/>
                <w:color w:val="0000EE"/>
                <w:w w:val="88"/>
              </w:rPr>
              <w:t>Amended and Restated Credit and Security Agreement with MidCap, dated August 16, 2018.</w:t>
            </w:r>
          </w:p>
        </w:tc>
        <w:tc>
          <w:tcPr>
            <w:tcW w:w="5780" w:type="dxa"/>
            <w:vAlign w:val="bottom"/>
            <w:tcBorders>
              <w:top w:val="single" w:sz="8" w:color="auto"/>
            </w:tcBorders>
            <w:gridSpan w:val="5"/>
          </w:tcPr>
          <w:p>
            <w:pPr>
              <w:spacing w:after="0"/>
              <w:rPr>
                <w:sz w:val="17"/>
                <w:szCs w:val="17"/>
                <w:color w:val="auto"/>
              </w:rPr>
            </w:pPr>
          </w:p>
        </w:tc>
      </w:tr>
      <w:tr>
        <w:trPr>
          <w:trHeight w:val="285"/>
        </w:trPr>
        <w:tc>
          <w:tcPr>
            <w:tcW w:w="900" w:type="dxa"/>
            <w:vAlign w:val="bottom"/>
          </w:tcPr>
          <w:p>
            <w:pPr>
              <w:ind w:left="60"/>
              <w:spacing w:after="0"/>
              <w:rPr>
                <w:sz w:val="20"/>
                <w:szCs w:val="20"/>
                <w:color w:val="auto"/>
              </w:rPr>
            </w:pPr>
            <w:r>
              <w:rPr>
                <w:rFonts w:ascii="Arial" w:cs="Arial" w:eastAsia="Arial" w:hAnsi="Arial"/>
                <w:sz w:val="13"/>
                <w:szCs w:val="13"/>
                <w:color w:val="auto"/>
              </w:rPr>
              <w:t>31.1*</w:t>
            </w:r>
          </w:p>
        </w:tc>
        <w:tc>
          <w:tcPr>
            <w:tcW w:w="4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sz w:val="20"/>
                <w:szCs w:val="20"/>
                <w:color w:val="auto"/>
              </w:rPr>
            </w:pPr>
            <w:r>
              <w:rPr>
                <w:rFonts w:ascii="Arial" w:cs="Arial" w:eastAsia="Arial" w:hAnsi="Arial"/>
                <w:sz w:val="13"/>
                <w:szCs w:val="13"/>
                <w:color w:val="0000EE"/>
                <w:w w:val="89"/>
              </w:rPr>
              <w:t>Certification of Principal Executive Officer Pursuant to Rules 13a-14(a) and 15d-14(a) under the Securities Exchange Act of 1934, as Adopted Pursuant to Section 302 of the Sarbanes Oxley Act of 2002.</w:t>
            </w:r>
          </w:p>
        </w:tc>
        <w:tc>
          <w:tcPr>
            <w:tcW w:w="180" w:type="dxa"/>
            <w:vAlign w:val="bottom"/>
          </w:tcPr>
          <w:p>
            <w:pPr>
              <w:spacing w:after="0"/>
              <w:rPr>
                <w:sz w:val="24"/>
                <w:szCs w:val="24"/>
                <w:color w:val="auto"/>
              </w:rPr>
            </w:pPr>
          </w:p>
        </w:tc>
      </w:tr>
      <w:tr>
        <w:trPr>
          <w:trHeight w:val="285"/>
        </w:trPr>
        <w:tc>
          <w:tcPr>
            <w:tcW w:w="900" w:type="dxa"/>
            <w:vAlign w:val="bottom"/>
          </w:tcPr>
          <w:p>
            <w:pPr>
              <w:ind w:left="60"/>
              <w:spacing w:after="0"/>
              <w:rPr>
                <w:sz w:val="20"/>
                <w:szCs w:val="20"/>
                <w:color w:val="auto"/>
              </w:rPr>
            </w:pPr>
            <w:r>
              <w:rPr>
                <w:rFonts w:ascii="Arial" w:cs="Arial" w:eastAsia="Arial" w:hAnsi="Arial"/>
                <w:sz w:val="13"/>
                <w:szCs w:val="13"/>
                <w:color w:val="auto"/>
              </w:rPr>
              <w:t>31.2*</w:t>
            </w:r>
          </w:p>
        </w:tc>
        <w:tc>
          <w:tcPr>
            <w:tcW w:w="40" w:type="dxa"/>
            <w:vAlign w:val="bottom"/>
          </w:tcPr>
          <w:p>
            <w:pPr>
              <w:spacing w:after="0"/>
              <w:rPr>
                <w:sz w:val="24"/>
                <w:szCs w:val="24"/>
                <w:color w:val="auto"/>
              </w:rPr>
            </w:pPr>
          </w:p>
        </w:tc>
        <w:tc>
          <w:tcPr>
            <w:tcW w:w="10540" w:type="dxa"/>
            <w:vAlign w:val="bottom"/>
            <w:gridSpan w:val="6"/>
          </w:tcPr>
          <w:p>
            <w:pPr>
              <w:spacing w:after="0"/>
              <w:rPr>
                <w:sz w:val="20"/>
                <w:szCs w:val="20"/>
                <w:color w:val="auto"/>
              </w:rPr>
            </w:pPr>
            <w:r>
              <w:rPr>
                <w:rFonts w:ascii="Arial" w:cs="Arial" w:eastAsia="Arial" w:hAnsi="Arial"/>
                <w:sz w:val="13"/>
                <w:szCs w:val="13"/>
                <w:color w:val="0000EE"/>
                <w:w w:val="90"/>
              </w:rPr>
              <w:t>Certification of Principal Executive Officer Pursuant to Rules 13a-14(a) and 15d-14(a) under the Securities Exchange Act of 1934, as Adopted Pursuant to Section 302 of the Sarbanes Oxley Act of 2002.</w:t>
            </w:r>
          </w:p>
        </w:tc>
      </w:tr>
      <w:tr>
        <w:trPr>
          <w:trHeight w:val="219"/>
        </w:trPr>
        <w:tc>
          <w:tcPr>
            <w:tcW w:w="900" w:type="dxa"/>
            <w:vAlign w:val="bottom"/>
          </w:tcPr>
          <w:p>
            <w:pPr>
              <w:ind w:left="60"/>
              <w:spacing w:after="0"/>
              <w:rPr>
                <w:sz w:val="20"/>
                <w:szCs w:val="20"/>
                <w:color w:val="auto"/>
              </w:rPr>
            </w:pPr>
            <w:r>
              <w:rPr>
                <w:rFonts w:ascii="Arial" w:cs="Arial" w:eastAsia="Arial" w:hAnsi="Arial"/>
                <w:sz w:val="13"/>
                <w:szCs w:val="13"/>
                <w:color w:val="auto"/>
              </w:rPr>
              <w:t>32.1*</w:t>
            </w:r>
          </w:p>
        </w:tc>
        <w:tc>
          <w:tcPr>
            <w:tcW w:w="40" w:type="dxa"/>
            <w:vAlign w:val="bottom"/>
          </w:tcPr>
          <w:p>
            <w:pPr>
              <w:spacing w:after="0"/>
              <w:rPr>
                <w:sz w:val="19"/>
                <w:szCs w:val="19"/>
                <w:color w:val="auto"/>
              </w:rPr>
            </w:pPr>
          </w:p>
        </w:tc>
        <w:tc>
          <w:tcPr>
            <w:tcW w:w="78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3"/>
                <w:szCs w:val="13"/>
                <w:color w:val="0000EE"/>
                <w:w w:val="89"/>
              </w:rPr>
              <w:t>Certification of Principal Executive Officer Pursuant to 18 U.S.C. Section 1350, as Adopted Pursuant to Section 906 of the Sarbanes-Oxley Act of 2002.</w:t>
            </w:r>
          </w:p>
        </w:tc>
        <w:tc>
          <w:tcPr>
            <w:tcW w:w="2540" w:type="dxa"/>
            <w:vAlign w:val="bottom"/>
            <w:tcBorders>
              <w:top w:val="single" w:sz="8" w:color="0000EE"/>
            </w:tcBorders>
          </w:tcPr>
          <w:p>
            <w:pPr>
              <w:spacing w:after="0"/>
              <w:rPr>
                <w:sz w:val="19"/>
                <w:szCs w:val="19"/>
                <w:color w:val="auto"/>
              </w:rPr>
            </w:pPr>
          </w:p>
        </w:tc>
        <w:tc>
          <w:tcPr>
            <w:tcW w:w="200" w:type="dxa"/>
            <w:vAlign w:val="bottom"/>
            <w:gridSpan w:val="2"/>
          </w:tcPr>
          <w:p>
            <w:pPr>
              <w:spacing w:after="0"/>
              <w:rPr>
                <w:sz w:val="19"/>
                <w:szCs w:val="19"/>
                <w:color w:val="auto"/>
              </w:rPr>
            </w:pPr>
          </w:p>
        </w:tc>
      </w:tr>
      <w:tr>
        <w:trPr>
          <w:trHeight w:val="219"/>
        </w:trPr>
        <w:tc>
          <w:tcPr>
            <w:tcW w:w="900" w:type="dxa"/>
            <w:vAlign w:val="bottom"/>
          </w:tcPr>
          <w:p>
            <w:pPr>
              <w:ind w:left="60"/>
              <w:spacing w:after="0"/>
              <w:rPr>
                <w:sz w:val="20"/>
                <w:szCs w:val="20"/>
                <w:color w:val="auto"/>
              </w:rPr>
            </w:pPr>
            <w:r>
              <w:rPr>
                <w:rFonts w:ascii="Arial" w:cs="Arial" w:eastAsia="Arial" w:hAnsi="Arial"/>
                <w:sz w:val="13"/>
                <w:szCs w:val="13"/>
                <w:color w:val="auto"/>
              </w:rPr>
              <w:t>32.2*</w:t>
            </w:r>
          </w:p>
        </w:tc>
        <w:tc>
          <w:tcPr>
            <w:tcW w:w="40" w:type="dxa"/>
            <w:vAlign w:val="bottom"/>
          </w:tcPr>
          <w:p>
            <w:pPr>
              <w:spacing w:after="0"/>
              <w:rPr>
                <w:sz w:val="19"/>
                <w:szCs w:val="19"/>
                <w:color w:val="auto"/>
              </w:rPr>
            </w:pPr>
          </w:p>
        </w:tc>
        <w:tc>
          <w:tcPr>
            <w:tcW w:w="7780" w:type="dxa"/>
            <w:vAlign w:val="bottom"/>
            <w:tcBorders>
              <w:bottom w:val="single" w:sz="8" w:color="0000EE"/>
            </w:tcBorders>
            <w:gridSpan w:val="2"/>
          </w:tcPr>
          <w:p>
            <w:pPr>
              <w:spacing w:after="0"/>
              <w:rPr>
                <w:sz w:val="20"/>
                <w:szCs w:val="20"/>
                <w:color w:val="auto"/>
              </w:rPr>
            </w:pPr>
            <w:r>
              <w:rPr>
                <w:rFonts w:ascii="Arial" w:cs="Arial" w:eastAsia="Arial" w:hAnsi="Arial"/>
                <w:sz w:val="13"/>
                <w:szCs w:val="13"/>
                <w:color w:val="0000EE"/>
                <w:w w:val="89"/>
              </w:rPr>
              <w:t>Certification of Principal Executive Officer Pursuant to 18 U.S.C. Section 1350, as Adopted Pursuant to Section 906 of the Sarbanes-Oxley Act of 2002.</w:t>
            </w:r>
          </w:p>
        </w:tc>
        <w:tc>
          <w:tcPr>
            <w:tcW w:w="2760" w:type="dxa"/>
            <w:vAlign w:val="bottom"/>
            <w:gridSpan w:val="4"/>
          </w:tcPr>
          <w:p>
            <w:pPr>
              <w:spacing w:after="0"/>
              <w:rPr>
                <w:sz w:val="19"/>
                <w:szCs w:val="19"/>
                <w:color w:val="auto"/>
              </w:rPr>
            </w:pPr>
          </w:p>
        </w:tc>
      </w:tr>
      <w:tr>
        <w:trPr>
          <w:trHeight w:val="238"/>
        </w:trPr>
        <w:tc>
          <w:tcPr>
            <w:tcW w:w="940" w:type="dxa"/>
            <w:vAlign w:val="bottom"/>
            <w:gridSpan w:val="2"/>
          </w:tcPr>
          <w:p>
            <w:pPr>
              <w:spacing w:after="0"/>
              <w:rPr>
                <w:sz w:val="20"/>
                <w:szCs w:val="20"/>
                <w:color w:val="auto"/>
              </w:rPr>
            </w:pPr>
            <w:r>
              <w:rPr>
                <w:rFonts w:ascii="Arial" w:cs="Arial" w:eastAsia="Arial" w:hAnsi="Arial"/>
                <w:sz w:val="13"/>
                <w:szCs w:val="13"/>
                <w:color w:val="auto"/>
              </w:rPr>
              <w:t>101.INS*</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Instance Document</w:t>
            </w:r>
          </w:p>
        </w:tc>
      </w:tr>
      <w:tr>
        <w:trPr>
          <w:trHeight w:val="153"/>
        </w:trPr>
        <w:tc>
          <w:tcPr>
            <w:tcW w:w="940" w:type="dxa"/>
            <w:vAlign w:val="bottom"/>
            <w:gridSpan w:val="2"/>
          </w:tcPr>
          <w:p>
            <w:pPr>
              <w:spacing w:after="0"/>
              <w:rPr>
                <w:sz w:val="20"/>
                <w:szCs w:val="20"/>
                <w:color w:val="auto"/>
              </w:rPr>
            </w:pPr>
            <w:r>
              <w:rPr>
                <w:rFonts w:ascii="Arial" w:cs="Arial" w:eastAsia="Arial" w:hAnsi="Arial"/>
                <w:sz w:val="13"/>
                <w:szCs w:val="13"/>
                <w:color w:val="auto"/>
              </w:rPr>
              <w:t>101.SCH*</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Taxonomy Extension Schema Document</w:t>
            </w:r>
          </w:p>
        </w:tc>
      </w:tr>
      <w:tr>
        <w:trPr>
          <w:trHeight w:val="153"/>
        </w:trPr>
        <w:tc>
          <w:tcPr>
            <w:tcW w:w="940" w:type="dxa"/>
            <w:vAlign w:val="bottom"/>
            <w:gridSpan w:val="2"/>
          </w:tcPr>
          <w:p>
            <w:pPr>
              <w:spacing w:after="0"/>
              <w:rPr>
                <w:sz w:val="20"/>
                <w:szCs w:val="20"/>
                <w:color w:val="auto"/>
              </w:rPr>
            </w:pPr>
            <w:r>
              <w:rPr>
                <w:rFonts w:ascii="Arial" w:cs="Arial" w:eastAsia="Arial" w:hAnsi="Arial"/>
                <w:sz w:val="13"/>
                <w:szCs w:val="13"/>
                <w:color w:val="auto"/>
              </w:rPr>
              <w:t>101.CAL*</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Taxonomy Extension Calculation Linkbase Document</w:t>
            </w:r>
          </w:p>
        </w:tc>
      </w:tr>
      <w:tr>
        <w:trPr>
          <w:trHeight w:val="153"/>
        </w:trPr>
        <w:tc>
          <w:tcPr>
            <w:tcW w:w="940" w:type="dxa"/>
            <w:vAlign w:val="bottom"/>
            <w:gridSpan w:val="2"/>
          </w:tcPr>
          <w:p>
            <w:pPr>
              <w:spacing w:after="0"/>
              <w:rPr>
                <w:sz w:val="20"/>
                <w:szCs w:val="20"/>
                <w:color w:val="auto"/>
              </w:rPr>
            </w:pPr>
            <w:r>
              <w:rPr>
                <w:rFonts w:ascii="Arial" w:cs="Arial" w:eastAsia="Arial" w:hAnsi="Arial"/>
                <w:sz w:val="13"/>
                <w:szCs w:val="13"/>
                <w:color w:val="auto"/>
              </w:rPr>
              <w:t>101.DEF*</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Taxonomy Extension Definition Linkbase Document</w:t>
            </w:r>
          </w:p>
        </w:tc>
      </w:tr>
      <w:tr>
        <w:trPr>
          <w:trHeight w:val="153"/>
        </w:trPr>
        <w:tc>
          <w:tcPr>
            <w:tcW w:w="940" w:type="dxa"/>
            <w:vAlign w:val="bottom"/>
            <w:gridSpan w:val="2"/>
          </w:tcPr>
          <w:p>
            <w:pPr>
              <w:spacing w:after="0"/>
              <w:rPr>
                <w:sz w:val="20"/>
                <w:szCs w:val="20"/>
                <w:color w:val="auto"/>
              </w:rPr>
            </w:pPr>
            <w:r>
              <w:rPr>
                <w:rFonts w:ascii="Arial" w:cs="Arial" w:eastAsia="Arial" w:hAnsi="Arial"/>
                <w:sz w:val="13"/>
                <w:szCs w:val="13"/>
                <w:color w:val="auto"/>
              </w:rPr>
              <w:t>101.LAB*</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Taxonomy Extension Label Linkbase Document</w:t>
            </w:r>
          </w:p>
        </w:tc>
      </w:t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101.PRE*</w:t>
            </w:r>
          </w:p>
        </w:tc>
        <w:tc>
          <w:tcPr>
            <w:tcW w:w="10540" w:type="dxa"/>
            <w:vAlign w:val="bottom"/>
            <w:gridSpan w:val="6"/>
          </w:tcPr>
          <w:p>
            <w:pPr>
              <w:spacing w:after="0"/>
              <w:rPr>
                <w:sz w:val="20"/>
                <w:szCs w:val="20"/>
                <w:color w:val="auto"/>
              </w:rPr>
            </w:pPr>
            <w:r>
              <w:rPr>
                <w:rFonts w:ascii="Arial" w:cs="Arial" w:eastAsia="Arial" w:hAnsi="Arial"/>
                <w:sz w:val="13"/>
                <w:szCs w:val="13"/>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1212215"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12215" cy="6350"/>
                    </a:xfrm>
                    <a:prstGeom prst="rect">
                      <a:avLst/>
                    </a:prstGeom>
                    <a:noFill/>
                  </pic:spPr>
                </pic:pic>
              </a:graphicData>
            </a:graphic>
          </wp:anchor>
        </w:drawing>
      </w:r>
    </w:p>
    <w:p>
      <w:pPr>
        <w:spacing w:after="0" w:line="105" w:lineRule="exact"/>
        <w:rPr>
          <w:sz w:val="20"/>
          <w:szCs w:val="20"/>
          <w:color w:val="auto"/>
        </w:rPr>
      </w:pPr>
    </w:p>
    <w:p>
      <w:pPr>
        <w:ind w:left="524" w:hanging="524"/>
        <w:spacing w:after="0"/>
        <w:tabs>
          <w:tab w:leader="none" w:pos="5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32409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484"/>
          </w:cols>
          <w:pgMar w:left="216" w:top="279" w:right="19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3"/>
          <w:szCs w:val="13"/>
          <w:b w:val="1"/>
          <w:bCs w:val="1"/>
          <w:color w:val="auto"/>
        </w:rPr>
        <w:t>SIGNATURES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260" w:type="dxa"/>
            <w:vAlign w:val="bottom"/>
            <w:gridSpan w:val="2"/>
          </w:tcPr>
          <w:p>
            <w:pPr>
              <w:ind w:left="2500"/>
              <w:spacing w:after="0"/>
              <w:rPr>
                <w:sz w:val="20"/>
                <w:szCs w:val="20"/>
                <w:color w:val="auto"/>
              </w:rPr>
            </w:pPr>
            <w:r>
              <w:rPr>
                <w:rFonts w:ascii="Arial" w:cs="Arial" w:eastAsia="Arial" w:hAnsi="Arial"/>
                <w:sz w:val="13"/>
                <w:szCs w:val="13"/>
                <w:color w:val="auto"/>
                <w:w w:val="93"/>
              </w:rPr>
              <w:t>APTEVO THERAPEUTICS INC.</w:t>
            </w:r>
          </w:p>
        </w:tc>
        <w:tc>
          <w:tcPr>
            <w:tcW w:w="3400" w:type="dxa"/>
            <w:vAlign w:val="bottom"/>
          </w:tcPr>
          <w:p>
            <w:pPr>
              <w:spacing w:after="0"/>
              <w:rPr>
                <w:sz w:val="14"/>
                <w:szCs w:val="14"/>
                <w:color w:val="auto"/>
              </w:rPr>
            </w:pPr>
          </w:p>
        </w:tc>
      </w:tr>
      <w:tr>
        <w:trPr>
          <w:trHeight w:val="353"/>
        </w:trPr>
        <w:tc>
          <w:tcPr>
            <w:tcW w:w="3820" w:type="dxa"/>
            <w:vAlign w:val="bottom"/>
          </w:tcPr>
          <w:p>
            <w:pPr>
              <w:spacing w:after="0"/>
              <w:rPr>
                <w:sz w:val="20"/>
                <w:szCs w:val="20"/>
                <w:color w:val="auto"/>
              </w:rPr>
            </w:pPr>
            <w:r>
              <w:rPr>
                <w:rFonts w:ascii="Arial" w:cs="Arial" w:eastAsia="Arial" w:hAnsi="Arial"/>
                <w:sz w:val="13"/>
                <w:szCs w:val="13"/>
                <w:color w:val="auto"/>
              </w:rPr>
              <w:t>Date: November 14, 2018</w:t>
            </w:r>
          </w:p>
        </w:tc>
        <w:tc>
          <w:tcPr>
            <w:tcW w:w="4260" w:type="dxa"/>
            <w:vAlign w:val="bottom"/>
            <w:gridSpan w:val="2"/>
          </w:tcPr>
          <w:p>
            <w:pPr>
              <w:ind w:left="2500"/>
              <w:spacing w:after="0"/>
              <w:rPr>
                <w:sz w:val="20"/>
                <w:szCs w:val="20"/>
                <w:color w:val="auto"/>
              </w:rPr>
            </w:pPr>
            <w:r>
              <w:rPr>
                <w:rFonts w:ascii="Arial" w:cs="Arial" w:eastAsia="Arial" w:hAnsi="Arial"/>
                <w:sz w:val="13"/>
                <w:szCs w:val="13"/>
                <w:color w:val="auto"/>
              </w:rPr>
              <w:t>By:</w:t>
            </w:r>
          </w:p>
        </w:tc>
        <w:tc>
          <w:tcPr>
            <w:tcW w:w="3400" w:type="dxa"/>
            <w:vAlign w:val="bottom"/>
          </w:tcPr>
          <w:p>
            <w:pPr>
              <w:jc w:val="center"/>
              <w:ind w:right="1256"/>
              <w:spacing w:after="0"/>
              <w:rPr>
                <w:sz w:val="20"/>
                <w:szCs w:val="20"/>
                <w:color w:val="auto"/>
              </w:rPr>
            </w:pPr>
            <w:r>
              <w:rPr>
                <w:rFonts w:ascii="Arial" w:cs="Arial" w:eastAsia="Arial" w:hAnsi="Arial"/>
                <w:sz w:val="13"/>
                <w:szCs w:val="13"/>
                <w:color w:val="auto"/>
                <w:w w:val="94"/>
              </w:rPr>
              <w:t>/s/ Marvin White</w:t>
            </w:r>
          </w:p>
        </w:tc>
      </w:tr>
      <w:tr>
        <w:trPr>
          <w:trHeight w:val="149"/>
        </w:trPr>
        <w:tc>
          <w:tcPr>
            <w:tcW w:w="38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tcPr>
          <w:p>
            <w:pPr>
              <w:jc w:val="center"/>
              <w:ind w:right="1256"/>
              <w:spacing w:after="0"/>
              <w:rPr>
                <w:sz w:val="20"/>
                <w:szCs w:val="20"/>
                <w:color w:val="auto"/>
              </w:rPr>
            </w:pPr>
            <w:r>
              <w:rPr>
                <w:rFonts w:ascii="Arial" w:cs="Arial" w:eastAsia="Arial" w:hAnsi="Arial"/>
                <w:sz w:val="13"/>
                <w:szCs w:val="13"/>
                <w:b w:val="1"/>
                <w:bCs w:val="1"/>
                <w:color w:val="auto"/>
                <w:w w:val="93"/>
              </w:rPr>
              <w:t>Marvin White</w:t>
            </w:r>
          </w:p>
        </w:tc>
      </w:tr>
      <w:tr>
        <w:trPr>
          <w:trHeight w:val="165"/>
        </w:trPr>
        <w:tc>
          <w:tcPr>
            <w:tcW w:w="38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0" w:type="dxa"/>
            <w:vAlign w:val="bottom"/>
          </w:tcPr>
          <w:p>
            <w:pPr>
              <w:jc w:val="center"/>
              <w:ind w:right="1276"/>
              <w:spacing w:after="0"/>
              <w:rPr>
                <w:sz w:val="20"/>
                <w:szCs w:val="20"/>
                <w:color w:val="auto"/>
              </w:rPr>
            </w:pPr>
            <w:r>
              <w:rPr>
                <w:rFonts w:ascii="Arial" w:cs="Arial" w:eastAsia="Arial" w:hAnsi="Arial"/>
                <w:sz w:val="13"/>
                <w:szCs w:val="13"/>
                <w:b w:val="1"/>
                <w:bCs w:val="1"/>
                <w:color w:val="auto"/>
                <w:w w:val="88"/>
              </w:rPr>
              <w:t>President and Chief Executive Officer</w:t>
            </w:r>
          </w:p>
        </w:tc>
      </w:tr>
      <w:tr>
        <w:trPr>
          <w:trHeight w:val="344"/>
        </w:trPr>
        <w:tc>
          <w:tcPr>
            <w:tcW w:w="3820" w:type="dxa"/>
            <w:vAlign w:val="bottom"/>
          </w:tcPr>
          <w:p>
            <w:pPr>
              <w:spacing w:after="0"/>
              <w:rPr>
                <w:sz w:val="20"/>
                <w:szCs w:val="20"/>
                <w:color w:val="auto"/>
              </w:rPr>
            </w:pPr>
            <w:r>
              <w:rPr>
                <w:rFonts w:ascii="Arial" w:cs="Arial" w:eastAsia="Arial" w:hAnsi="Arial"/>
                <w:sz w:val="13"/>
                <w:szCs w:val="13"/>
                <w:color w:val="auto"/>
              </w:rPr>
              <w:t>Date: November 14, 2018</w:t>
            </w:r>
          </w:p>
        </w:tc>
        <w:tc>
          <w:tcPr>
            <w:tcW w:w="4260" w:type="dxa"/>
            <w:vAlign w:val="bottom"/>
            <w:gridSpan w:val="2"/>
          </w:tcPr>
          <w:p>
            <w:pPr>
              <w:ind w:left="2500"/>
              <w:spacing w:after="0"/>
              <w:rPr>
                <w:sz w:val="20"/>
                <w:szCs w:val="20"/>
                <w:color w:val="auto"/>
              </w:rPr>
            </w:pPr>
            <w:r>
              <w:rPr>
                <w:rFonts w:ascii="Arial" w:cs="Arial" w:eastAsia="Arial" w:hAnsi="Arial"/>
                <w:sz w:val="13"/>
                <w:szCs w:val="13"/>
                <w:color w:val="auto"/>
              </w:rPr>
              <w:t>By:</w:t>
            </w:r>
          </w:p>
        </w:tc>
        <w:tc>
          <w:tcPr>
            <w:tcW w:w="3400" w:type="dxa"/>
            <w:vAlign w:val="bottom"/>
          </w:tcPr>
          <w:p>
            <w:pPr>
              <w:jc w:val="center"/>
              <w:ind w:right="1276"/>
              <w:spacing w:after="0"/>
              <w:rPr>
                <w:sz w:val="20"/>
                <w:szCs w:val="20"/>
                <w:color w:val="auto"/>
              </w:rPr>
            </w:pPr>
            <w:r>
              <w:rPr>
                <w:rFonts w:ascii="Arial" w:cs="Arial" w:eastAsia="Arial" w:hAnsi="Arial"/>
                <w:sz w:val="13"/>
                <w:szCs w:val="13"/>
                <w:color w:val="auto"/>
                <w:w w:val="89"/>
              </w:rPr>
              <w:t>/s/ Jeffrey G. Lamothe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4302125</wp:posOffset>
            </wp:positionH>
            <wp:positionV relativeFrom="paragraph">
              <wp:posOffset>0</wp:posOffset>
            </wp:positionV>
            <wp:extent cx="2982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82595" cy="6350"/>
                    </a:xfrm>
                    <a:prstGeom prst="rect">
                      <a:avLst/>
                    </a:prstGeom>
                    <a:noFill/>
                  </pic:spPr>
                </pic:pic>
              </a:graphicData>
            </a:graphic>
          </wp:anchor>
        </w:drawing>
      </w:r>
    </w:p>
    <w:p>
      <w:pPr>
        <w:ind w:left="8580"/>
        <w:spacing w:after="0"/>
        <w:rPr>
          <w:sz w:val="20"/>
          <w:szCs w:val="20"/>
          <w:color w:val="auto"/>
        </w:rPr>
      </w:pPr>
      <w:r>
        <w:rPr>
          <w:rFonts w:ascii="Arial" w:cs="Arial" w:eastAsia="Arial" w:hAnsi="Arial"/>
          <w:sz w:val="13"/>
          <w:szCs w:val="13"/>
          <w:b w:val="1"/>
          <w:bCs w:val="1"/>
          <w:color w:val="auto"/>
        </w:rPr>
        <w:t>Jeffrey G. Lamothe</w:t>
      </w:r>
    </w:p>
    <w:p>
      <w:pPr>
        <w:spacing w:after="0" w:line="16" w:lineRule="exact"/>
        <w:rPr>
          <w:sz w:val="20"/>
          <w:szCs w:val="20"/>
          <w:color w:val="auto"/>
        </w:rPr>
      </w:pPr>
    </w:p>
    <w:p>
      <w:pPr>
        <w:ind w:left="786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13"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and Treasurer</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480"/>
          </w:cols>
          <w:pgMar w:left="220" w:top="279" w:right="19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AMENDED AND RESTATED CREDIT AND SECURITY AGREEMENT</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dated as of August 6, 2018 by and among</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APTEVO THERAPEUTICS INC., APTEVO BIOTHERAPEUTICS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LLC,</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APTEVO RESEARCH AND DEVELOPMENT LLC,</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and any additional borrower that hereafter becomes party hereto, each as Borrower, and collectively as Borrowers,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and</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MIDCAP FINANCIAL TRUST,</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as Agent, and</w:t>
      </w:r>
    </w:p>
    <w:p>
      <w:pPr>
        <w:spacing w:after="0" w:line="1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THE LENDERS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11430</wp:posOffset>
            </wp:positionV>
            <wp:extent cx="1297305" cy="3695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97305" cy="36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00"/>
          </w:cols>
          <w:pgMar w:left="240" w:top="120" w:right="359" w:bottom="1440" w:gutter="0" w:footer="0" w:header="0"/>
        </w:sectPr>
      </w:pPr>
    </w:p>
    <w:bookmarkStart w:id="56" w:name="page57"/>
    <w:bookmarkEnd w:id="56"/>
    <w:tbl>
      <w:tblPr>
        <w:tblLayout w:type="fixed"/>
        <w:tblInd w:w="140" w:type="dxa"/>
        <w:tblCellMar>
          <w:top w:w="0" w:type="dxa"/>
          <w:left w:w="0" w:type="dxa"/>
          <w:bottom w:w="0" w:type="dxa"/>
          <w:right w:w="0" w:type="dxa"/>
        </w:tblCellMar>
      </w:tblPr>
      <w:tr>
        <w:trPr>
          <w:trHeight w:val="183"/>
        </w:trPr>
        <w:tc>
          <w:tcPr>
            <w:tcW w:w="2840" w:type="dxa"/>
            <w:vAlign w:val="bottom"/>
          </w:tcPr>
          <w:p>
            <w:pPr>
              <w:spacing w:after="0"/>
              <w:rPr>
                <w:sz w:val="15"/>
                <w:szCs w:val="15"/>
                <w:color w:val="auto"/>
              </w:rPr>
            </w:pPr>
          </w:p>
        </w:tc>
        <w:tc>
          <w:tcPr>
            <w:tcW w:w="4260" w:type="dxa"/>
            <w:vAlign w:val="bottom"/>
            <w:gridSpan w:val="3"/>
          </w:tcPr>
          <w:p>
            <w:pPr>
              <w:jc w:val="center"/>
              <w:ind w:left="1170"/>
              <w:spacing w:after="0"/>
              <w:rPr>
                <w:sz w:val="20"/>
                <w:szCs w:val="20"/>
                <w:color w:val="auto"/>
              </w:rPr>
            </w:pPr>
            <w:r>
              <w:rPr>
                <w:rFonts w:ascii="Arial" w:cs="Arial" w:eastAsia="Arial" w:hAnsi="Arial"/>
                <w:sz w:val="14"/>
                <w:szCs w:val="14"/>
                <w:b w:val="1"/>
                <w:bCs w:val="1"/>
                <w:color w:val="auto"/>
                <w:w w:val="99"/>
              </w:rPr>
              <w:t>TABLE OF CONTENTS</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840" w:type="dxa"/>
            <w:vAlign w:val="bottom"/>
          </w:tcPr>
          <w:p>
            <w:pPr>
              <w:spacing w:after="0"/>
              <w:rPr>
                <w:sz w:val="24"/>
                <w:szCs w:val="24"/>
                <w:color w:val="auto"/>
              </w:rPr>
            </w:pPr>
          </w:p>
        </w:tc>
        <w:tc>
          <w:tcPr>
            <w:tcW w:w="24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ARTICLE 1 -</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2"/>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DEFINITIONS</w:t>
            </w:r>
          </w:p>
        </w:tc>
        <w:tc>
          <w:tcPr>
            <w:tcW w:w="24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1</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1.1</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Certain Defined Terms</w:t>
            </w:r>
          </w:p>
        </w:tc>
        <w:tc>
          <w:tcPr>
            <w:tcW w:w="240" w:type="dxa"/>
            <w:vAlign w:val="bottom"/>
          </w:tcPr>
          <w:p>
            <w:pPr>
              <w:spacing w:after="0"/>
              <w:rPr>
                <w:sz w:val="15"/>
                <w:szCs w:val="15"/>
                <w:color w:val="auto"/>
              </w:rPr>
            </w:pPr>
          </w:p>
        </w:tc>
        <w:tc>
          <w:tcPr>
            <w:tcW w:w="1600" w:type="dxa"/>
            <w:vAlign w:val="bottom"/>
          </w:tcPr>
          <w:p>
            <w:pPr>
              <w:jc w:val="right"/>
              <w:ind w:right="1190"/>
              <w:spacing w:after="0"/>
              <w:rPr>
                <w:sz w:val="20"/>
                <w:szCs w:val="20"/>
                <w:color w:val="auto"/>
              </w:rPr>
            </w:pPr>
            <w:r>
              <w:rPr>
                <w:rFonts w:ascii="Arial" w:cs="Arial" w:eastAsia="Arial" w:hAnsi="Arial"/>
                <w:sz w:val="14"/>
                <w:szCs w:val="14"/>
                <w:b w:val="1"/>
                <w:bCs w:val="1"/>
                <w:color w:val="auto"/>
              </w:rPr>
              <w:t>1</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1.2</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w w:val="88"/>
              </w:rPr>
              <w:t>Accounting Terms and Determinations</w:t>
            </w:r>
          </w:p>
        </w:tc>
        <w:tc>
          <w:tcPr>
            <w:tcW w:w="24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4"/>
                <w:szCs w:val="14"/>
                <w:b w:val="1"/>
                <w:bCs w:val="1"/>
                <w:color w:val="auto"/>
              </w:rPr>
              <w:t>24</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1.3</w:t>
            </w:r>
          </w:p>
        </w:tc>
        <w:tc>
          <w:tcPr>
            <w:tcW w:w="426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Definitional and Interpretive Provisions</w:t>
            </w:r>
          </w:p>
        </w:tc>
        <w:tc>
          <w:tcPr>
            <w:tcW w:w="3520" w:type="dxa"/>
            <w:vAlign w:val="bottom"/>
          </w:tcPr>
          <w:p>
            <w:pPr>
              <w:jc w:val="right"/>
              <w:ind w:right="3250"/>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Arial" w:cs="Arial" w:eastAsia="Arial" w:hAnsi="Arial"/>
                <w:sz w:val="14"/>
                <w:szCs w:val="14"/>
                <w:b w:val="1"/>
                <w:bCs w:val="1"/>
                <w:color w:val="auto"/>
              </w:rPr>
              <w:t>ARTICLE 2 - LOANS</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3190"/>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30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2.1</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Loans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1190"/>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2.2</w:t>
            </w:r>
          </w:p>
        </w:tc>
        <w:tc>
          <w:tcPr>
            <w:tcW w:w="42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Interest, Interest Calculations and Certain Fees</w:t>
            </w:r>
          </w:p>
        </w:tc>
        <w:tc>
          <w:tcPr>
            <w:tcW w:w="3520" w:type="dxa"/>
            <w:vAlign w:val="bottom"/>
          </w:tcPr>
          <w:p>
            <w:pPr>
              <w:jc w:val="right"/>
              <w:ind w:right="3190"/>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2.3</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Notes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1230"/>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96"/>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2.4</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Reserved</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1010"/>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2.5</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Reserved</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1010"/>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2.6</w:t>
            </w:r>
          </w:p>
        </w:tc>
        <w:tc>
          <w:tcPr>
            <w:tcW w:w="4260" w:type="dxa"/>
            <w:vAlign w:val="bottom"/>
            <w:gridSpan w:val="3"/>
          </w:tcPr>
          <w:p>
            <w:pPr>
              <w:ind w:left="120"/>
              <w:spacing w:after="0"/>
              <w:rPr>
                <w:sz w:val="20"/>
                <w:szCs w:val="20"/>
                <w:color w:val="auto"/>
              </w:rPr>
            </w:pPr>
            <w:r>
              <w:rPr>
                <w:rFonts w:ascii="Arial" w:cs="Arial" w:eastAsia="Arial" w:hAnsi="Arial"/>
                <w:sz w:val="14"/>
                <w:szCs w:val="14"/>
                <w:b w:val="1"/>
                <w:bCs w:val="1"/>
                <w:color w:val="auto"/>
              </w:rPr>
              <w:t>General Provisions Regarding Payment; Loan Account</w:t>
            </w:r>
          </w:p>
        </w:tc>
        <w:tc>
          <w:tcPr>
            <w:tcW w:w="3520" w:type="dxa"/>
            <w:vAlign w:val="bottom"/>
          </w:tcPr>
          <w:p>
            <w:pPr>
              <w:jc w:val="right"/>
              <w:ind w:right="2730"/>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2.7</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Maximum Interest</w:t>
            </w:r>
          </w:p>
        </w:tc>
        <w:tc>
          <w:tcPr>
            <w:tcW w:w="240" w:type="dxa"/>
            <w:vAlign w:val="bottom"/>
          </w:tcPr>
          <w:p>
            <w:pPr>
              <w:spacing w:after="0"/>
              <w:rPr>
                <w:sz w:val="24"/>
                <w:szCs w:val="24"/>
                <w:color w:val="auto"/>
              </w:rPr>
            </w:pPr>
          </w:p>
        </w:tc>
        <w:tc>
          <w:tcPr>
            <w:tcW w:w="1600" w:type="dxa"/>
            <w:vAlign w:val="bottom"/>
          </w:tcPr>
          <w:p>
            <w:pPr>
              <w:jc w:val="right"/>
              <w:ind w:right="1370"/>
              <w:spacing w:after="0"/>
              <w:rPr>
                <w:sz w:val="20"/>
                <w:szCs w:val="20"/>
                <w:color w:val="auto"/>
              </w:rPr>
            </w:pPr>
            <w:r>
              <w:rPr>
                <w:rFonts w:ascii="Arial" w:cs="Arial" w:eastAsia="Arial" w:hAnsi="Arial"/>
                <w:sz w:val="14"/>
                <w:szCs w:val="14"/>
                <w:b w:val="1"/>
                <w:bCs w:val="1"/>
                <w:color w:val="auto"/>
                <w:w w:val="89"/>
              </w:rPr>
              <w:t>30</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2.8</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Taxes; Capital Adequacy</w:t>
            </w:r>
          </w:p>
        </w:tc>
        <w:tc>
          <w:tcPr>
            <w:tcW w:w="240" w:type="dxa"/>
            <w:vAlign w:val="bottom"/>
          </w:tcPr>
          <w:p>
            <w:pPr>
              <w:spacing w:after="0"/>
              <w:rPr>
                <w:sz w:val="24"/>
                <w:szCs w:val="24"/>
                <w:color w:val="auto"/>
              </w:rPr>
            </w:pPr>
          </w:p>
        </w:tc>
        <w:tc>
          <w:tcPr>
            <w:tcW w:w="1600" w:type="dxa"/>
            <w:vAlign w:val="bottom"/>
          </w:tcPr>
          <w:p>
            <w:pPr>
              <w:jc w:val="right"/>
              <w:ind w:right="990"/>
              <w:spacing w:after="0"/>
              <w:rPr>
                <w:sz w:val="20"/>
                <w:szCs w:val="20"/>
                <w:color w:val="auto"/>
              </w:rPr>
            </w:pPr>
            <w:r>
              <w:rPr>
                <w:rFonts w:ascii="Arial" w:cs="Arial" w:eastAsia="Arial" w:hAnsi="Arial"/>
                <w:sz w:val="14"/>
                <w:szCs w:val="14"/>
                <w:b w:val="1"/>
                <w:bCs w:val="1"/>
                <w:color w:val="auto"/>
              </w:rPr>
              <w:t>31</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2.9</w:t>
            </w:r>
          </w:p>
        </w:tc>
        <w:tc>
          <w:tcPr>
            <w:tcW w:w="2660" w:type="dxa"/>
            <w:vAlign w:val="bottom"/>
            <w:gridSpan w:val="2"/>
          </w:tcPr>
          <w:p>
            <w:pPr>
              <w:ind w:left="120"/>
              <w:spacing w:after="0"/>
              <w:rPr>
                <w:sz w:val="20"/>
                <w:szCs w:val="20"/>
                <w:color w:val="auto"/>
              </w:rPr>
            </w:pPr>
            <w:r>
              <w:rPr>
                <w:rFonts w:ascii="Arial" w:cs="Arial" w:eastAsia="Arial" w:hAnsi="Arial"/>
                <w:sz w:val="14"/>
                <w:szCs w:val="14"/>
                <w:b w:val="1"/>
                <w:bCs w:val="1"/>
                <w:color w:val="auto"/>
                <w:w w:val="92"/>
              </w:rPr>
              <w:t>Appointment of Borrower Representative</w:t>
            </w:r>
          </w:p>
        </w:tc>
        <w:tc>
          <w:tcPr>
            <w:tcW w:w="1600" w:type="dxa"/>
            <w:vAlign w:val="bottom"/>
          </w:tcPr>
          <w:p>
            <w:pPr>
              <w:ind w:left="1380"/>
              <w:spacing w:after="0"/>
              <w:rPr>
                <w:sz w:val="20"/>
                <w:szCs w:val="20"/>
                <w:color w:val="auto"/>
              </w:rPr>
            </w:pPr>
            <w:r>
              <w:rPr>
                <w:rFonts w:ascii="Arial" w:cs="Arial" w:eastAsia="Arial" w:hAnsi="Arial"/>
                <w:sz w:val="14"/>
                <w:szCs w:val="14"/>
                <w:b w:val="1"/>
                <w:bCs w:val="1"/>
                <w:color w:val="auto"/>
              </w:rPr>
              <w:t>34</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2.10</w:t>
            </w:r>
          </w:p>
        </w:tc>
        <w:tc>
          <w:tcPr>
            <w:tcW w:w="426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Joint and Several Liability; Rights of Contribution; Subordination</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40" w:type="dxa"/>
            <w:vAlign w:val="bottom"/>
          </w:tcPr>
          <w:p>
            <w:pPr>
              <w:ind w:left="1720"/>
              <w:spacing w:after="0"/>
              <w:rPr>
                <w:sz w:val="20"/>
                <w:szCs w:val="20"/>
                <w:color w:val="auto"/>
              </w:rPr>
            </w:pPr>
            <w:r>
              <w:rPr>
                <w:rFonts w:ascii="Arial" w:cs="Arial" w:eastAsia="Arial" w:hAnsi="Arial"/>
                <w:sz w:val="14"/>
                <w:szCs w:val="14"/>
                <w:b w:val="1"/>
                <w:bCs w:val="1"/>
                <w:color w:val="auto"/>
                <w:w w:val="98"/>
              </w:rPr>
              <w:t>and Subrogation</w:t>
            </w:r>
          </w:p>
        </w:tc>
        <w:tc>
          <w:tcPr>
            <w:tcW w:w="2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20" w:type="dxa"/>
            <w:vAlign w:val="bottom"/>
          </w:tcPr>
          <w:p>
            <w:pPr>
              <w:jc w:val="right"/>
              <w:ind w:right="181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30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2.11</w:t>
            </w:r>
          </w:p>
        </w:tc>
        <w:tc>
          <w:tcPr>
            <w:tcW w:w="2420" w:type="dxa"/>
            <w:vAlign w:val="bottom"/>
          </w:tcPr>
          <w:p>
            <w:pPr>
              <w:ind w:left="180"/>
              <w:spacing w:after="0"/>
              <w:rPr>
                <w:sz w:val="20"/>
                <w:szCs w:val="20"/>
                <w:color w:val="auto"/>
              </w:rPr>
            </w:pPr>
            <w:r>
              <w:rPr>
                <w:rFonts w:ascii="Arial" w:cs="Arial" w:eastAsia="Arial" w:hAnsi="Arial"/>
                <w:sz w:val="14"/>
                <w:szCs w:val="14"/>
                <w:b w:val="1"/>
                <w:bCs w:val="1"/>
                <w:color w:val="auto"/>
              </w:rPr>
              <w:t>Reserved</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950"/>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2.12</w:t>
            </w:r>
          </w:p>
        </w:tc>
        <w:tc>
          <w:tcPr>
            <w:tcW w:w="2660" w:type="dxa"/>
            <w:vAlign w:val="bottom"/>
            <w:gridSpan w:val="2"/>
          </w:tcPr>
          <w:p>
            <w:pPr>
              <w:ind w:left="180"/>
              <w:spacing w:after="0"/>
              <w:rPr>
                <w:sz w:val="20"/>
                <w:szCs w:val="20"/>
                <w:color w:val="auto"/>
              </w:rPr>
            </w:pPr>
            <w:r>
              <w:rPr>
                <w:rFonts w:ascii="Arial" w:cs="Arial" w:eastAsia="Arial" w:hAnsi="Arial"/>
                <w:sz w:val="14"/>
                <w:szCs w:val="14"/>
                <w:b w:val="1"/>
                <w:bCs w:val="1"/>
                <w:color w:val="auto"/>
                <w:w w:val="92"/>
              </w:rPr>
              <w:t>Termination; Restriction on Termination</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ARTICLE 3 - REPRESENTATIONS AND WARRANTIES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990"/>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3.1</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Existence and Power</w:t>
            </w:r>
          </w:p>
        </w:tc>
        <w:tc>
          <w:tcPr>
            <w:tcW w:w="240" w:type="dxa"/>
            <w:vAlign w:val="bottom"/>
          </w:tcPr>
          <w:p>
            <w:pPr>
              <w:spacing w:after="0"/>
              <w:rPr>
                <w:sz w:val="24"/>
                <w:szCs w:val="24"/>
                <w:color w:val="auto"/>
              </w:rPr>
            </w:pPr>
          </w:p>
        </w:tc>
        <w:tc>
          <w:tcPr>
            <w:tcW w:w="1600" w:type="dxa"/>
            <w:vAlign w:val="bottom"/>
          </w:tcPr>
          <w:p>
            <w:pPr>
              <w:jc w:val="right"/>
              <w:ind w:right="1250"/>
              <w:spacing w:after="0"/>
              <w:rPr>
                <w:sz w:val="20"/>
                <w:szCs w:val="20"/>
                <w:color w:val="auto"/>
              </w:rPr>
            </w:pPr>
            <w:r>
              <w:rPr>
                <w:rFonts w:ascii="Arial" w:cs="Arial" w:eastAsia="Arial" w:hAnsi="Arial"/>
                <w:sz w:val="14"/>
                <w:szCs w:val="14"/>
                <w:b w:val="1"/>
                <w:bCs w:val="1"/>
                <w:color w:val="auto"/>
              </w:rPr>
              <w:t>38</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3.2</w:t>
            </w:r>
          </w:p>
        </w:tc>
        <w:tc>
          <w:tcPr>
            <w:tcW w:w="4260" w:type="dxa"/>
            <w:vAlign w:val="bottom"/>
            <w:gridSpan w:val="3"/>
          </w:tcPr>
          <w:p>
            <w:pPr>
              <w:ind w:left="120"/>
              <w:spacing w:after="0"/>
              <w:rPr>
                <w:sz w:val="20"/>
                <w:szCs w:val="20"/>
                <w:color w:val="auto"/>
              </w:rPr>
            </w:pPr>
            <w:r>
              <w:rPr>
                <w:rFonts w:ascii="Arial" w:cs="Arial" w:eastAsia="Arial" w:hAnsi="Arial"/>
                <w:sz w:val="14"/>
                <w:szCs w:val="14"/>
                <w:b w:val="1"/>
                <w:bCs w:val="1"/>
                <w:color w:val="auto"/>
                <w:w w:val="95"/>
              </w:rPr>
              <w:t>Organization and Governmental Authorization; No Contravention</w:t>
            </w:r>
          </w:p>
        </w:tc>
        <w:tc>
          <w:tcPr>
            <w:tcW w:w="3520" w:type="dxa"/>
            <w:vAlign w:val="bottom"/>
          </w:tcPr>
          <w:p>
            <w:pPr>
              <w:jc w:val="right"/>
              <w:ind w:right="2030"/>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3.3</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Binding Effect</w:t>
            </w:r>
          </w:p>
        </w:tc>
        <w:tc>
          <w:tcPr>
            <w:tcW w:w="240" w:type="dxa"/>
            <w:vAlign w:val="bottom"/>
          </w:tcPr>
          <w:p>
            <w:pPr>
              <w:jc w:val="right"/>
              <w:ind w:right="10"/>
              <w:spacing w:after="0"/>
              <w:rPr>
                <w:sz w:val="20"/>
                <w:szCs w:val="20"/>
                <w:color w:val="auto"/>
              </w:rPr>
            </w:pPr>
            <w:r>
              <w:rPr>
                <w:rFonts w:ascii="Arial" w:cs="Arial" w:eastAsia="Arial" w:hAnsi="Arial"/>
                <w:sz w:val="14"/>
                <w:szCs w:val="14"/>
                <w:b w:val="1"/>
                <w:bCs w:val="1"/>
                <w:color w:val="auto"/>
                <w:w w:val="89"/>
              </w:rPr>
              <w:t>38</w:t>
            </w:r>
          </w:p>
        </w:tc>
        <w:tc>
          <w:tcPr>
            <w:tcW w:w="1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3.4</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Capitalization</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710"/>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3.5</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Financial Information</w:t>
            </w:r>
          </w:p>
        </w:tc>
        <w:tc>
          <w:tcPr>
            <w:tcW w:w="240" w:type="dxa"/>
            <w:vAlign w:val="bottom"/>
          </w:tcPr>
          <w:p>
            <w:pPr>
              <w:spacing w:after="0"/>
              <w:rPr>
                <w:sz w:val="24"/>
                <w:szCs w:val="24"/>
                <w:color w:val="auto"/>
              </w:rPr>
            </w:pPr>
          </w:p>
        </w:tc>
        <w:tc>
          <w:tcPr>
            <w:tcW w:w="1600" w:type="dxa"/>
            <w:vAlign w:val="bottom"/>
          </w:tcPr>
          <w:p>
            <w:pPr>
              <w:jc w:val="right"/>
              <w:ind w:right="1170"/>
              <w:spacing w:after="0"/>
              <w:rPr>
                <w:sz w:val="20"/>
                <w:szCs w:val="20"/>
                <w:color w:val="auto"/>
              </w:rPr>
            </w:pPr>
            <w:r>
              <w:rPr>
                <w:rFonts w:ascii="Arial" w:cs="Arial" w:eastAsia="Arial" w:hAnsi="Arial"/>
                <w:sz w:val="14"/>
                <w:szCs w:val="14"/>
                <w:b w:val="1"/>
                <w:bCs w:val="1"/>
                <w:color w:val="auto"/>
              </w:rPr>
              <w:t>38</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860"/>
              <w:spacing w:after="0"/>
              <w:rPr>
                <w:sz w:val="20"/>
                <w:szCs w:val="20"/>
                <w:color w:val="auto"/>
              </w:rPr>
            </w:pPr>
            <w:r>
              <w:rPr>
                <w:rFonts w:ascii="Arial" w:cs="Arial" w:eastAsia="Arial" w:hAnsi="Arial"/>
                <w:sz w:val="14"/>
                <w:szCs w:val="14"/>
                <w:b w:val="1"/>
                <w:bCs w:val="1"/>
                <w:color w:val="auto"/>
              </w:rPr>
              <w:t>Section 3.6</w:t>
            </w:r>
          </w:p>
        </w:tc>
        <w:tc>
          <w:tcPr>
            <w:tcW w:w="2420" w:type="dxa"/>
            <w:vAlign w:val="bottom"/>
          </w:tcPr>
          <w:p>
            <w:pPr>
              <w:ind w:left="120"/>
              <w:spacing w:after="0"/>
              <w:rPr>
                <w:sz w:val="20"/>
                <w:szCs w:val="20"/>
                <w:color w:val="auto"/>
              </w:rPr>
            </w:pPr>
            <w:r>
              <w:rPr>
                <w:rFonts w:ascii="Arial" w:cs="Arial" w:eastAsia="Arial" w:hAnsi="Arial"/>
                <w:sz w:val="14"/>
                <w:szCs w:val="14"/>
                <w:b w:val="1"/>
                <w:bCs w:val="1"/>
                <w:color w:val="auto"/>
              </w:rPr>
              <w:t>Litigation</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970"/>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622"/>
        </w:trPr>
        <w:tc>
          <w:tcPr>
            <w:tcW w:w="2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20" w:type="dxa"/>
            <w:vAlign w:val="bottom"/>
          </w:tcPr>
          <w:p>
            <w:pPr>
              <w:jc w:val="right"/>
              <w:ind w:right="2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760"/>
          </w:cols>
          <w:pgMar w:left="240" w:top="161" w:right="899" w:bottom="1440" w:gutter="0" w:footer="0" w:header="0"/>
        </w:sectPr>
      </w:pPr>
    </w:p>
    <w:bookmarkStart w:id="57" w:name="page58"/>
    <w:bookmarkEnd w:id="57"/>
    <w:tbl>
      <w:tblPr>
        <w:tblLayout w:type="fixed"/>
        <w:tblInd w:w="100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Arial" w:cs="Arial" w:eastAsia="Arial" w:hAnsi="Arial"/>
                <w:sz w:val="14"/>
                <w:szCs w:val="14"/>
                <w:b w:val="1"/>
                <w:bCs w:val="1"/>
                <w:color w:val="auto"/>
              </w:rPr>
              <w:t>Section 3.7</w:t>
            </w:r>
          </w:p>
        </w:tc>
        <w:tc>
          <w:tcPr>
            <w:tcW w:w="2520" w:type="dxa"/>
            <w:vAlign w:val="bottom"/>
            <w:gridSpan w:val="2"/>
          </w:tcPr>
          <w:p>
            <w:pPr>
              <w:ind w:left="740"/>
              <w:spacing w:after="0"/>
              <w:rPr>
                <w:sz w:val="20"/>
                <w:szCs w:val="20"/>
                <w:color w:val="auto"/>
              </w:rPr>
            </w:pPr>
            <w:r>
              <w:rPr>
                <w:rFonts w:ascii="Arial" w:cs="Arial" w:eastAsia="Arial" w:hAnsi="Arial"/>
                <w:sz w:val="14"/>
                <w:szCs w:val="14"/>
                <w:b w:val="1"/>
                <w:bCs w:val="1"/>
                <w:color w:val="auto"/>
              </w:rPr>
              <w:t>Ownership of Property</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15"/>
        </w:trPr>
        <w:tc>
          <w:tcPr>
            <w:tcW w:w="1360" w:type="dxa"/>
            <w:vAlign w:val="bottom"/>
          </w:tcPr>
          <w:p>
            <w:pPr>
              <w:spacing w:after="0"/>
              <w:rPr>
                <w:sz w:val="20"/>
                <w:szCs w:val="20"/>
                <w:color w:val="auto"/>
              </w:rPr>
            </w:pPr>
            <w:r>
              <w:rPr>
                <w:rFonts w:ascii="Arial" w:cs="Arial" w:eastAsia="Arial" w:hAnsi="Arial"/>
                <w:sz w:val="14"/>
                <w:szCs w:val="14"/>
                <w:b w:val="1"/>
                <w:bCs w:val="1"/>
                <w:color w:val="auto"/>
              </w:rPr>
              <w:t>Section 3.8</w:t>
            </w:r>
          </w:p>
        </w:tc>
        <w:tc>
          <w:tcPr>
            <w:tcW w:w="1840" w:type="dxa"/>
            <w:vAlign w:val="bottom"/>
          </w:tcPr>
          <w:p>
            <w:pPr>
              <w:ind w:left="740"/>
              <w:spacing w:after="0"/>
              <w:rPr>
                <w:sz w:val="20"/>
                <w:szCs w:val="20"/>
                <w:color w:val="auto"/>
              </w:rPr>
            </w:pPr>
            <w:r>
              <w:rPr>
                <w:rFonts w:ascii="Arial" w:cs="Arial" w:eastAsia="Arial" w:hAnsi="Arial"/>
                <w:sz w:val="14"/>
                <w:szCs w:val="14"/>
                <w:b w:val="1"/>
                <w:bCs w:val="1"/>
                <w:color w:val="auto"/>
              </w:rPr>
              <w:t>No Default</w:t>
            </w:r>
          </w:p>
        </w:tc>
        <w:tc>
          <w:tcPr>
            <w:tcW w:w="680" w:type="dxa"/>
            <w:vAlign w:val="bottom"/>
          </w:tcPr>
          <w:p>
            <w:pPr>
              <w:spacing w:after="0"/>
              <w:rPr>
                <w:sz w:val="24"/>
                <w:szCs w:val="24"/>
                <w:color w:val="auto"/>
              </w:rPr>
            </w:pPr>
          </w:p>
        </w:tc>
        <w:tc>
          <w:tcPr>
            <w:tcW w:w="1180" w:type="dxa"/>
            <w:vAlign w:val="bottom"/>
          </w:tcPr>
          <w:p>
            <w:pPr>
              <w:jc w:val="right"/>
              <w:ind w:right="650"/>
              <w:spacing w:after="0"/>
              <w:rPr>
                <w:sz w:val="20"/>
                <w:szCs w:val="20"/>
                <w:color w:val="auto"/>
              </w:rPr>
            </w:pPr>
            <w:r>
              <w:rPr>
                <w:rFonts w:ascii="Arial" w:cs="Arial" w:eastAsia="Arial" w:hAnsi="Arial"/>
                <w:sz w:val="14"/>
                <w:szCs w:val="14"/>
                <w:b w:val="1"/>
                <w:bCs w:val="1"/>
                <w:color w:val="auto"/>
              </w:rPr>
              <w:t>39</w:t>
            </w:r>
          </w:p>
        </w:tc>
      </w:tr>
      <w:tr>
        <w:trPr>
          <w:trHeight w:val="305"/>
        </w:trPr>
        <w:tc>
          <w:tcPr>
            <w:tcW w:w="1360" w:type="dxa"/>
            <w:vAlign w:val="bottom"/>
          </w:tcPr>
          <w:p>
            <w:pPr>
              <w:spacing w:after="0"/>
              <w:rPr>
                <w:sz w:val="20"/>
                <w:szCs w:val="20"/>
                <w:color w:val="auto"/>
              </w:rPr>
            </w:pPr>
            <w:r>
              <w:rPr>
                <w:rFonts w:ascii="Arial" w:cs="Arial" w:eastAsia="Arial" w:hAnsi="Arial"/>
                <w:sz w:val="14"/>
                <w:szCs w:val="14"/>
                <w:b w:val="1"/>
                <w:bCs w:val="1"/>
                <w:color w:val="auto"/>
              </w:rPr>
              <w:t>Section 3.9</w:t>
            </w:r>
          </w:p>
        </w:tc>
        <w:tc>
          <w:tcPr>
            <w:tcW w:w="1840" w:type="dxa"/>
            <w:vAlign w:val="bottom"/>
          </w:tcPr>
          <w:p>
            <w:pPr>
              <w:ind w:left="740"/>
              <w:spacing w:after="0"/>
              <w:rPr>
                <w:sz w:val="20"/>
                <w:szCs w:val="20"/>
                <w:color w:val="auto"/>
              </w:rPr>
            </w:pPr>
            <w:r>
              <w:rPr>
                <w:rFonts w:ascii="Arial" w:cs="Arial" w:eastAsia="Arial" w:hAnsi="Arial"/>
                <w:sz w:val="14"/>
                <w:szCs w:val="14"/>
                <w:b w:val="1"/>
                <w:bCs w:val="1"/>
                <w:color w:val="auto"/>
              </w:rPr>
              <w:t>Labor Matters</w:t>
            </w: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39</w:t>
            </w:r>
          </w:p>
        </w:tc>
        <w:tc>
          <w:tcPr>
            <w:tcW w:w="1180" w:type="dxa"/>
            <w:vAlign w:val="bottom"/>
          </w:tcPr>
          <w:p>
            <w:pPr>
              <w:spacing w:after="0"/>
              <w:rPr>
                <w:sz w:val="24"/>
                <w:szCs w:val="24"/>
                <w:color w:val="auto"/>
              </w:rPr>
            </w:pPr>
          </w:p>
        </w:tc>
      </w:tr>
    </w:tbl>
    <w:p>
      <w:pPr>
        <w:spacing w:after="0" w:line="132"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3.10</w:t>
            </w:r>
          </w:p>
        </w:tc>
        <w:tc>
          <w:tcPr>
            <w:tcW w:w="4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Regulated Entities</w:t>
            </w:r>
          </w:p>
        </w:tc>
        <w:tc>
          <w:tcPr>
            <w:tcW w:w="1580" w:type="dxa"/>
            <w:vAlign w:val="bottom"/>
          </w:tcPr>
          <w:p>
            <w:pPr>
              <w:jc w:val="right"/>
              <w:ind w:right="1010"/>
              <w:spacing w:after="0"/>
              <w:rPr>
                <w:sz w:val="20"/>
                <w:szCs w:val="20"/>
                <w:color w:val="auto"/>
              </w:rPr>
            </w:pPr>
            <w:r>
              <w:rPr>
                <w:rFonts w:ascii="Arial" w:cs="Arial" w:eastAsia="Arial" w:hAnsi="Arial"/>
                <w:sz w:val="14"/>
                <w:szCs w:val="14"/>
                <w:b w:val="1"/>
                <w:bCs w:val="1"/>
                <w:color w:val="auto"/>
              </w:rPr>
              <w:t>39</w:t>
            </w: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3.11</w:t>
            </w:r>
          </w:p>
        </w:tc>
        <w:tc>
          <w:tcPr>
            <w:tcW w:w="4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w w:val="90"/>
              </w:rPr>
              <w:t>Margin Regulations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3.12</w:t>
            </w:r>
          </w:p>
        </w:tc>
        <w:tc>
          <w:tcPr>
            <w:tcW w:w="400" w:type="dxa"/>
            <w:vAlign w:val="bottom"/>
          </w:tcPr>
          <w:p>
            <w:pPr>
              <w:spacing w:after="0"/>
              <w:rPr>
                <w:sz w:val="24"/>
                <w:szCs w:val="24"/>
                <w:color w:val="auto"/>
              </w:rPr>
            </w:pPr>
          </w:p>
        </w:tc>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w w:val="92"/>
              </w:rPr>
              <w:t>Compliance With Laws; Anti-Terrorism Laws</w:t>
            </w:r>
          </w:p>
        </w:tc>
        <w:tc>
          <w:tcPr>
            <w:tcW w:w="10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4"/>
                <w:szCs w:val="14"/>
                <w:b w:val="1"/>
                <w:bCs w:val="1"/>
                <w:color w:val="auto"/>
              </w:rPr>
              <w:t>39</w:t>
            </w:r>
          </w:p>
        </w:tc>
      </w:tr>
      <w:tr>
        <w:trPr>
          <w:trHeight w:val="296"/>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3.13</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Taxes</w:t>
            </w:r>
          </w:p>
        </w:tc>
        <w:tc>
          <w:tcPr>
            <w:tcW w:w="400" w:type="dxa"/>
            <w:vAlign w:val="bottom"/>
          </w:tcPr>
          <w:p>
            <w:pPr>
              <w:jc w:val="right"/>
              <w:ind w:right="190"/>
              <w:spacing w:after="0"/>
              <w:rPr>
                <w:sz w:val="20"/>
                <w:szCs w:val="20"/>
                <w:color w:val="auto"/>
              </w:rPr>
            </w:pPr>
            <w:r>
              <w:rPr>
                <w:rFonts w:ascii="Arial" w:cs="Arial" w:eastAsia="Arial" w:hAnsi="Arial"/>
                <w:sz w:val="14"/>
                <w:szCs w:val="14"/>
                <w:b w:val="1"/>
                <w:bCs w:val="1"/>
                <w:color w:val="auto"/>
                <w:w w:val="76"/>
              </w:rPr>
              <w:t>40</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3.14</w:t>
            </w:r>
          </w:p>
        </w:tc>
        <w:tc>
          <w:tcPr>
            <w:tcW w:w="400" w:type="dxa"/>
            <w:vAlign w:val="bottom"/>
          </w:tcPr>
          <w:p>
            <w:pPr>
              <w:spacing w:after="0"/>
              <w:rPr>
                <w:sz w:val="24"/>
                <w:szCs w:val="24"/>
                <w:color w:val="auto"/>
              </w:rPr>
            </w:pPr>
          </w:p>
        </w:tc>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rPr>
              <w:t>Compliance with ERISA</w:t>
            </w:r>
          </w:p>
        </w:tc>
        <w:tc>
          <w:tcPr>
            <w:tcW w:w="1000" w:type="dxa"/>
            <w:vAlign w:val="bottom"/>
          </w:tcPr>
          <w:p>
            <w:pPr>
              <w:jc w:val="right"/>
              <w:ind w:right="650"/>
              <w:spacing w:after="0"/>
              <w:rPr>
                <w:sz w:val="20"/>
                <w:szCs w:val="20"/>
                <w:color w:val="auto"/>
              </w:rPr>
            </w:pPr>
            <w:r>
              <w:rPr>
                <w:rFonts w:ascii="Arial" w:cs="Arial" w:eastAsia="Arial" w:hAnsi="Arial"/>
                <w:sz w:val="14"/>
                <w:szCs w:val="14"/>
                <w:b w:val="1"/>
                <w:bCs w:val="1"/>
                <w:color w:val="auto"/>
              </w:rPr>
              <w:t>40</w:t>
            </w: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3.15</w:t>
            </w:r>
          </w:p>
        </w:tc>
        <w:tc>
          <w:tcPr>
            <w:tcW w:w="400" w:type="dxa"/>
            <w:vAlign w:val="bottom"/>
          </w:tcPr>
          <w:p>
            <w:pPr>
              <w:spacing w:after="0"/>
              <w:rPr>
                <w:sz w:val="24"/>
                <w:szCs w:val="24"/>
                <w:color w:val="auto"/>
              </w:rPr>
            </w:pPr>
          </w:p>
        </w:tc>
        <w:tc>
          <w:tcPr>
            <w:tcW w:w="3880" w:type="dxa"/>
            <w:vAlign w:val="bottom"/>
            <w:gridSpan w:val="4"/>
          </w:tcPr>
          <w:p>
            <w:pPr>
              <w:ind w:left="100"/>
              <w:spacing w:after="0"/>
              <w:rPr>
                <w:sz w:val="20"/>
                <w:szCs w:val="20"/>
                <w:color w:val="auto"/>
              </w:rPr>
            </w:pPr>
            <w:r>
              <w:rPr>
                <w:rFonts w:ascii="Arial" w:cs="Arial" w:eastAsia="Arial" w:hAnsi="Arial"/>
                <w:sz w:val="14"/>
                <w:szCs w:val="14"/>
                <w:b w:val="1"/>
                <w:bCs w:val="1"/>
                <w:color w:val="auto"/>
              </w:rPr>
              <w:t>Consummation of Financing Documents; Brokers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0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3.16</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Reserved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3.17</w:t>
            </w:r>
          </w:p>
        </w:tc>
        <w:tc>
          <w:tcPr>
            <w:tcW w:w="4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Material Contracts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3.18</w:t>
            </w:r>
          </w:p>
        </w:tc>
        <w:tc>
          <w:tcPr>
            <w:tcW w:w="400" w:type="dxa"/>
            <w:vAlign w:val="bottom"/>
          </w:tcPr>
          <w:p>
            <w:pPr>
              <w:spacing w:after="0"/>
              <w:rPr>
                <w:sz w:val="24"/>
                <w:szCs w:val="24"/>
                <w:color w:val="auto"/>
              </w:rPr>
            </w:pPr>
          </w:p>
        </w:tc>
        <w:tc>
          <w:tcPr>
            <w:tcW w:w="3880" w:type="dxa"/>
            <w:vAlign w:val="bottom"/>
            <w:gridSpan w:val="4"/>
          </w:tcPr>
          <w:p>
            <w:pPr>
              <w:ind w:left="100"/>
              <w:spacing w:after="0"/>
              <w:rPr>
                <w:sz w:val="20"/>
                <w:szCs w:val="20"/>
                <w:color w:val="auto"/>
              </w:rPr>
            </w:pPr>
            <w:r>
              <w:rPr>
                <w:rFonts w:ascii="Arial" w:cs="Arial" w:eastAsia="Arial" w:hAnsi="Arial"/>
                <w:sz w:val="14"/>
                <w:szCs w:val="14"/>
                <w:b w:val="1"/>
                <w:bCs w:val="1"/>
                <w:color w:val="auto"/>
                <w:w w:val="91"/>
              </w:rPr>
              <w:t>Compliance with Environmental Requirements; No Hazardous</w:t>
            </w:r>
          </w:p>
        </w:tc>
        <w:tc>
          <w:tcPr>
            <w:tcW w:w="780" w:type="dxa"/>
            <w:vAlign w:val="bottom"/>
          </w:tcPr>
          <w:p>
            <w:pPr>
              <w:spacing w:after="0"/>
              <w:rPr>
                <w:sz w:val="24"/>
                <w:szCs w:val="24"/>
                <w:color w:val="auto"/>
              </w:rPr>
            </w:pPr>
          </w:p>
        </w:tc>
      </w:tr>
      <w:tr>
        <w:trPr>
          <w:trHeight w:val="183"/>
        </w:trPr>
        <w:tc>
          <w:tcPr>
            <w:tcW w:w="2520" w:type="dxa"/>
            <w:vAlign w:val="bottom"/>
          </w:tcPr>
          <w:p>
            <w:pPr>
              <w:ind w:left="1720"/>
              <w:spacing w:after="0"/>
              <w:rPr>
                <w:sz w:val="20"/>
                <w:szCs w:val="20"/>
                <w:color w:val="auto"/>
              </w:rPr>
            </w:pPr>
            <w:r>
              <w:rPr>
                <w:rFonts w:ascii="Arial" w:cs="Arial" w:eastAsia="Arial" w:hAnsi="Arial"/>
                <w:sz w:val="14"/>
                <w:szCs w:val="14"/>
                <w:b w:val="1"/>
                <w:bCs w:val="1"/>
                <w:color w:val="auto"/>
              </w:rPr>
              <w:t>Materials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3.19</w:t>
            </w:r>
          </w:p>
        </w:tc>
        <w:tc>
          <w:tcPr>
            <w:tcW w:w="400" w:type="dxa"/>
            <w:vAlign w:val="bottom"/>
          </w:tcPr>
          <w:p>
            <w:pPr>
              <w:spacing w:after="0"/>
              <w:rPr>
                <w:sz w:val="24"/>
                <w:szCs w:val="24"/>
                <w:color w:val="auto"/>
              </w:rPr>
            </w:pPr>
          </w:p>
        </w:tc>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Intellectual Property and License Agreements</w:t>
            </w:r>
          </w:p>
        </w:tc>
        <w:tc>
          <w:tcPr>
            <w:tcW w:w="10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4"/>
                <w:szCs w:val="14"/>
                <w:b w:val="1"/>
                <w:bCs w:val="1"/>
                <w:color w:val="auto"/>
              </w:rPr>
              <w:t>41</w:t>
            </w: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3.20</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Solvency</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3.21</w:t>
            </w:r>
          </w:p>
        </w:tc>
        <w:tc>
          <w:tcPr>
            <w:tcW w:w="40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Full Disclosure</w:t>
            </w:r>
          </w:p>
        </w:tc>
        <w:tc>
          <w:tcPr>
            <w:tcW w:w="1580" w:type="dxa"/>
            <w:vAlign w:val="bottom"/>
          </w:tcPr>
          <w:p>
            <w:pPr>
              <w:jc w:val="right"/>
              <w:ind w:right="230"/>
              <w:spacing w:after="0"/>
              <w:rPr>
                <w:sz w:val="20"/>
                <w:szCs w:val="20"/>
                <w:color w:val="auto"/>
              </w:rPr>
            </w:pPr>
            <w:r>
              <w:rPr>
                <w:rFonts w:ascii="Arial" w:cs="Arial" w:eastAsia="Arial" w:hAnsi="Arial"/>
                <w:sz w:val="14"/>
                <w:szCs w:val="14"/>
                <w:b w:val="1"/>
                <w:bCs w:val="1"/>
                <w:color w:val="auto"/>
              </w:rPr>
              <w:t>42</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3.22</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w w:val="91"/>
              </w:rPr>
              <w:t>Interest Rate</w:t>
            </w:r>
          </w:p>
        </w:tc>
        <w:tc>
          <w:tcPr>
            <w:tcW w:w="40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4"/>
                <w:szCs w:val="14"/>
                <w:b w:val="1"/>
                <w:bCs w:val="1"/>
                <w:color w:val="auto"/>
              </w:rPr>
              <w:t>42</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3.23</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w w:val="93"/>
              </w:rPr>
              <w:t>Subsidiaries</w:t>
            </w:r>
          </w:p>
        </w:tc>
        <w:tc>
          <w:tcPr>
            <w:tcW w:w="400" w:type="dxa"/>
            <w:vAlign w:val="bottom"/>
          </w:tcPr>
          <w:p>
            <w:pPr>
              <w:spacing w:after="0"/>
              <w:rPr>
                <w:sz w:val="24"/>
                <w:szCs w:val="24"/>
                <w:color w:val="auto"/>
              </w:rPr>
            </w:pPr>
          </w:p>
        </w:tc>
        <w:tc>
          <w:tcPr>
            <w:tcW w:w="1580" w:type="dxa"/>
            <w:vAlign w:val="bottom"/>
          </w:tcPr>
          <w:p>
            <w:pPr>
              <w:jc w:val="right"/>
              <w:ind w:right="1370"/>
              <w:spacing w:after="0"/>
              <w:rPr>
                <w:sz w:val="20"/>
                <w:szCs w:val="20"/>
                <w:color w:val="auto"/>
              </w:rPr>
            </w:pPr>
            <w:r>
              <w:rPr>
                <w:rFonts w:ascii="Arial" w:cs="Arial" w:eastAsia="Arial" w:hAnsi="Arial"/>
                <w:sz w:val="14"/>
                <w:szCs w:val="14"/>
                <w:b w:val="1"/>
                <w:bCs w:val="1"/>
                <w:color w:val="auto"/>
                <w:w w:val="76"/>
              </w:rPr>
              <w:t>42</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3.24</w:t>
            </w:r>
          </w:p>
        </w:tc>
        <w:tc>
          <w:tcPr>
            <w:tcW w:w="4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4"/>
                <w:szCs w:val="14"/>
                <w:b w:val="1"/>
                <w:bCs w:val="1"/>
                <w:color w:val="auto"/>
              </w:rPr>
              <w:t>Reserved</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6"/>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3.25</w:t>
            </w:r>
          </w:p>
        </w:tc>
        <w:tc>
          <w:tcPr>
            <w:tcW w:w="400" w:type="dxa"/>
            <w:vAlign w:val="bottom"/>
          </w:tcPr>
          <w:p>
            <w:pPr>
              <w:spacing w:after="0"/>
              <w:rPr>
                <w:sz w:val="24"/>
                <w:szCs w:val="24"/>
                <w:color w:val="auto"/>
              </w:rPr>
            </w:pPr>
          </w:p>
        </w:tc>
        <w:tc>
          <w:tcPr>
            <w:tcW w:w="2880" w:type="dxa"/>
            <w:vAlign w:val="bottom"/>
            <w:gridSpan w:val="3"/>
          </w:tcPr>
          <w:p>
            <w:pPr>
              <w:ind w:left="100"/>
              <w:spacing w:after="0"/>
              <w:rPr>
                <w:sz w:val="20"/>
                <w:szCs w:val="20"/>
                <w:color w:val="auto"/>
              </w:rPr>
            </w:pPr>
            <w:r>
              <w:rPr>
                <w:rFonts w:ascii="Arial" w:cs="Arial" w:eastAsia="Arial" w:hAnsi="Arial"/>
                <w:sz w:val="14"/>
                <w:szCs w:val="14"/>
                <w:b w:val="1"/>
                <w:bCs w:val="1"/>
                <w:color w:val="auto"/>
              </w:rPr>
              <w:t>Accuracy of Schedules</w:t>
            </w:r>
          </w:p>
        </w:tc>
        <w:tc>
          <w:tcPr>
            <w:tcW w:w="1000" w:type="dxa"/>
            <w:vAlign w:val="bottom"/>
          </w:tcPr>
          <w:p>
            <w:pPr>
              <w:jc w:val="right"/>
              <w:ind w:right="770"/>
              <w:spacing w:after="0"/>
              <w:rPr>
                <w:sz w:val="20"/>
                <w:szCs w:val="20"/>
                <w:color w:val="auto"/>
              </w:rPr>
            </w:pPr>
            <w:r>
              <w:rPr>
                <w:rFonts w:ascii="Arial" w:cs="Arial" w:eastAsia="Arial" w:hAnsi="Arial"/>
                <w:sz w:val="14"/>
                <w:szCs w:val="14"/>
                <w:b w:val="1"/>
                <w:bCs w:val="1"/>
                <w:color w:val="auto"/>
                <w:w w:val="89"/>
              </w:rPr>
              <w:t>42</w:t>
            </w:r>
          </w:p>
        </w:tc>
        <w:tc>
          <w:tcPr>
            <w:tcW w:w="780" w:type="dxa"/>
            <w:vAlign w:val="bottom"/>
          </w:tcPr>
          <w:p>
            <w:pPr>
              <w:spacing w:after="0"/>
              <w:rPr>
                <w:sz w:val="24"/>
                <w:szCs w:val="24"/>
                <w:color w:val="auto"/>
              </w:rPr>
            </w:pPr>
          </w:p>
        </w:tc>
      </w:tr>
      <w:tr>
        <w:trPr>
          <w:trHeight w:val="31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ARTICLE 4 - AFFIRMATIVE COVENANTS</w:t>
            </w:r>
          </w:p>
        </w:tc>
        <w:tc>
          <w:tcPr>
            <w:tcW w:w="900" w:type="dxa"/>
            <w:vAlign w:val="bottom"/>
          </w:tcPr>
          <w:p>
            <w:pPr>
              <w:ind w:left="300"/>
              <w:spacing w:after="0"/>
              <w:rPr>
                <w:sz w:val="20"/>
                <w:szCs w:val="20"/>
                <w:color w:val="auto"/>
              </w:rPr>
            </w:pPr>
            <w:r>
              <w:rPr>
                <w:rFonts w:ascii="Arial" w:cs="Arial" w:eastAsia="Arial" w:hAnsi="Arial"/>
                <w:sz w:val="14"/>
                <w:szCs w:val="14"/>
                <w:b w:val="1"/>
                <w:bCs w:val="1"/>
                <w:color w:val="auto"/>
              </w:rPr>
              <w:t>42</w:t>
            </w: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4.1</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Financial Statements and Other Reports</w:t>
            </w:r>
          </w:p>
        </w:tc>
        <w:tc>
          <w:tcPr>
            <w:tcW w:w="1000" w:type="dxa"/>
            <w:vAlign w:val="bottom"/>
          </w:tcPr>
          <w:p>
            <w:pPr>
              <w:spacing w:after="0"/>
              <w:rPr>
                <w:sz w:val="24"/>
                <w:szCs w:val="24"/>
                <w:color w:val="auto"/>
              </w:rPr>
            </w:pPr>
          </w:p>
        </w:tc>
        <w:tc>
          <w:tcPr>
            <w:tcW w:w="780" w:type="dxa"/>
            <w:vAlign w:val="bottom"/>
          </w:tcPr>
          <w:p>
            <w:pPr>
              <w:jc w:val="right"/>
              <w:ind w:right="550"/>
              <w:spacing w:after="0"/>
              <w:rPr>
                <w:sz w:val="20"/>
                <w:szCs w:val="20"/>
                <w:color w:val="auto"/>
              </w:rPr>
            </w:pPr>
            <w:r>
              <w:rPr>
                <w:rFonts w:ascii="Arial" w:cs="Arial" w:eastAsia="Arial" w:hAnsi="Arial"/>
                <w:sz w:val="14"/>
                <w:szCs w:val="14"/>
                <w:b w:val="1"/>
                <w:bCs w:val="1"/>
                <w:color w:val="auto"/>
                <w:w w:val="89"/>
              </w:rPr>
              <w:t>42</w:t>
            </w:r>
          </w:p>
        </w:tc>
      </w:tr>
      <w:tr>
        <w:trPr>
          <w:trHeight w:val="30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4.2</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 and Performance of Obligations</w:t>
            </w:r>
          </w:p>
        </w:tc>
        <w:tc>
          <w:tcPr>
            <w:tcW w:w="100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Arial" w:cs="Arial" w:eastAsia="Arial" w:hAnsi="Arial"/>
                <w:sz w:val="14"/>
                <w:szCs w:val="14"/>
                <w:b w:val="1"/>
                <w:bCs w:val="1"/>
                <w:color w:val="auto"/>
              </w:rPr>
              <w:t>43</w:t>
            </w: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4.3</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Maintenance of Existence</w:t>
            </w:r>
          </w:p>
        </w:tc>
        <w:tc>
          <w:tcPr>
            <w:tcW w:w="1000" w:type="dxa"/>
            <w:vAlign w:val="bottom"/>
          </w:tcPr>
          <w:p>
            <w:pPr>
              <w:jc w:val="right"/>
              <w:ind w:right="650"/>
              <w:spacing w:after="0"/>
              <w:rPr>
                <w:sz w:val="20"/>
                <w:szCs w:val="20"/>
                <w:color w:val="auto"/>
              </w:rPr>
            </w:pPr>
            <w:r>
              <w:rPr>
                <w:rFonts w:ascii="Arial" w:cs="Arial" w:eastAsia="Arial" w:hAnsi="Arial"/>
                <w:sz w:val="14"/>
                <w:szCs w:val="14"/>
                <w:b w:val="1"/>
                <w:bCs w:val="1"/>
                <w:color w:val="auto"/>
              </w:rPr>
              <w:t>43</w:t>
            </w: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4.4</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rPr>
              <w:t>Maintenance of Property; Insurance</w:t>
            </w: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auto"/>
              </w:rPr>
              <w:t>43</w:t>
            </w:r>
          </w:p>
        </w:tc>
        <w:tc>
          <w:tcPr>
            <w:tcW w:w="780" w:type="dxa"/>
            <w:vAlign w:val="bottom"/>
          </w:tcPr>
          <w:p>
            <w:pPr>
              <w:spacing w:after="0"/>
              <w:rPr>
                <w:sz w:val="24"/>
                <w:szCs w:val="24"/>
                <w:color w:val="auto"/>
              </w:rPr>
            </w:pPr>
          </w:p>
        </w:tc>
      </w:tr>
      <w:tr>
        <w:trPr>
          <w:trHeight w:val="31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4.5</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Compliance with Laws and Material Contracts</w:t>
            </w:r>
          </w:p>
        </w:tc>
        <w:tc>
          <w:tcPr>
            <w:tcW w:w="10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4"/>
                <w:szCs w:val="14"/>
                <w:b w:val="1"/>
                <w:bCs w:val="1"/>
                <w:color w:val="auto"/>
              </w:rPr>
              <w:t>45</w:t>
            </w:r>
          </w:p>
        </w:tc>
      </w:tr>
      <w:tr>
        <w:trPr>
          <w:trHeight w:val="305"/>
        </w:trPr>
        <w:tc>
          <w:tcPr>
            <w:tcW w:w="2520" w:type="dxa"/>
            <w:vAlign w:val="bottom"/>
          </w:tcPr>
          <w:p>
            <w:pPr>
              <w:ind w:left="860"/>
              <w:spacing w:after="0"/>
              <w:rPr>
                <w:sz w:val="20"/>
                <w:szCs w:val="20"/>
                <w:color w:val="auto"/>
              </w:rPr>
            </w:pPr>
            <w:r>
              <w:rPr>
                <w:rFonts w:ascii="Arial" w:cs="Arial" w:eastAsia="Arial" w:hAnsi="Arial"/>
                <w:sz w:val="14"/>
                <w:szCs w:val="14"/>
                <w:b w:val="1"/>
                <w:bCs w:val="1"/>
                <w:color w:val="auto"/>
              </w:rPr>
              <w:t>Section 4.6</w:t>
            </w:r>
          </w:p>
        </w:tc>
        <w:tc>
          <w:tcPr>
            <w:tcW w:w="400" w:type="dxa"/>
            <w:vAlign w:val="bottom"/>
          </w:tcPr>
          <w:p>
            <w:pPr>
              <w:spacing w:after="0"/>
              <w:rPr>
                <w:sz w:val="24"/>
                <w:szCs w:val="24"/>
                <w:color w:val="auto"/>
              </w:rPr>
            </w:pPr>
          </w:p>
        </w:tc>
        <w:tc>
          <w:tcPr>
            <w:tcW w:w="28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Inspection of Property, Books and Records</w:t>
            </w:r>
          </w:p>
        </w:tc>
        <w:tc>
          <w:tcPr>
            <w:tcW w:w="1000" w:type="dxa"/>
            <w:vAlign w:val="bottom"/>
          </w:tcPr>
          <w:p>
            <w:pPr>
              <w:spacing w:after="0"/>
              <w:rPr>
                <w:sz w:val="24"/>
                <w:szCs w:val="24"/>
                <w:color w:val="auto"/>
              </w:rPr>
            </w:pPr>
          </w:p>
        </w:tc>
        <w:tc>
          <w:tcPr>
            <w:tcW w:w="780" w:type="dxa"/>
            <w:vAlign w:val="bottom"/>
          </w:tcPr>
          <w:p>
            <w:pPr>
              <w:jc w:val="right"/>
              <w:ind w:right="410"/>
              <w:spacing w:after="0"/>
              <w:rPr>
                <w:sz w:val="20"/>
                <w:szCs w:val="20"/>
                <w:color w:val="auto"/>
              </w:rPr>
            </w:pPr>
            <w:r>
              <w:rPr>
                <w:rFonts w:ascii="Arial" w:cs="Arial" w:eastAsia="Arial" w:hAnsi="Arial"/>
                <w:sz w:val="14"/>
                <w:szCs w:val="14"/>
                <w:b w:val="1"/>
                <w:bCs w:val="1"/>
                <w:color w:val="auto"/>
              </w:rPr>
              <w:t>45</w:t>
            </w: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420"/>
          </w:cols>
          <w:pgMar w:left="240" w:top="161" w:right="1239" w:bottom="1440" w:gutter="0" w:footer="0" w:header="0"/>
        </w:sectPr>
      </w:pPr>
    </w:p>
    <w:bookmarkStart w:id="58" w:name="page59"/>
    <w:bookmarkEnd w:id="58"/>
    <w:tbl>
      <w:tblPr>
        <w:tblLayout w:type="fixed"/>
        <w:tblInd w:w="140" w:type="dxa"/>
        <w:tblCellMar>
          <w:top w:w="0" w:type="dxa"/>
          <w:left w:w="0" w:type="dxa"/>
          <w:bottom w:w="0" w:type="dxa"/>
          <w:right w:w="0" w:type="dxa"/>
        </w:tblCellMar>
      </w:tblPr>
      <w:tr>
        <w:trPr>
          <w:trHeight w:val="183"/>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4.7</w:t>
            </w: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w w:val="89"/>
              </w:rPr>
              <w:t>Use of Proceeds</w:t>
            </w: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4.8</w:t>
            </w: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Estoppel Certificates</w:t>
            </w:r>
          </w:p>
        </w:tc>
        <w:tc>
          <w:tcPr>
            <w:tcW w:w="1100" w:type="dxa"/>
            <w:vAlign w:val="bottom"/>
          </w:tcPr>
          <w:p>
            <w:pPr>
              <w:spacing w:after="0"/>
              <w:rPr>
                <w:sz w:val="24"/>
                <w:szCs w:val="24"/>
                <w:color w:val="auto"/>
              </w:rPr>
            </w:pPr>
          </w:p>
        </w:tc>
        <w:tc>
          <w:tcPr>
            <w:tcW w:w="480" w:type="dxa"/>
            <w:vAlign w:val="bottom"/>
          </w:tcPr>
          <w:p>
            <w:pPr>
              <w:jc w:val="right"/>
              <w:ind w:right="150"/>
              <w:spacing w:after="0"/>
              <w:rPr>
                <w:sz w:val="20"/>
                <w:szCs w:val="20"/>
                <w:color w:val="auto"/>
              </w:rPr>
            </w:pPr>
            <w:r>
              <w:rPr>
                <w:rFonts w:ascii="Arial" w:cs="Arial" w:eastAsia="Arial" w:hAnsi="Arial"/>
                <w:sz w:val="14"/>
                <w:szCs w:val="14"/>
                <w:b w:val="1"/>
                <w:bCs w:val="1"/>
                <w:color w:val="auto"/>
              </w:rPr>
              <w:t>45</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4.9</w:t>
            </w:r>
          </w:p>
        </w:tc>
        <w:tc>
          <w:tcPr>
            <w:tcW w:w="4280" w:type="dxa"/>
            <w:vAlign w:val="bottom"/>
            <w:gridSpan w:val="6"/>
          </w:tcPr>
          <w:p>
            <w:pPr>
              <w:ind w:left="340"/>
              <w:spacing w:after="0"/>
              <w:rPr>
                <w:sz w:val="20"/>
                <w:szCs w:val="20"/>
                <w:color w:val="auto"/>
              </w:rPr>
            </w:pPr>
            <w:r>
              <w:rPr>
                <w:rFonts w:ascii="Arial" w:cs="Arial" w:eastAsia="Arial" w:hAnsi="Arial"/>
                <w:sz w:val="14"/>
                <w:szCs w:val="14"/>
                <w:b w:val="1"/>
                <w:bCs w:val="1"/>
                <w:color w:val="auto"/>
              </w:rPr>
              <w:t>Notices of Material Contracts, Litigation and Defaults</w:t>
            </w:r>
          </w:p>
        </w:tc>
        <w:tc>
          <w:tcPr>
            <w:tcW w:w="1460" w:type="dxa"/>
            <w:vAlign w:val="bottom"/>
          </w:tcPr>
          <w:p>
            <w:pPr>
              <w:jc w:val="right"/>
              <w:ind w:right="530"/>
              <w:spacing w:after="0"/>
              <w:rPr>
                <w:sz w:val="20"/>
                <w:szCs w:val="20"/>
                <w:color w:val="auto"/>
              </w:rPr>
            </w:pPr>
            <w:r>
              <w:rPr>
                <w:rFonts w:ascii="Arial" w:cs="Arial" w:eastAsia="Arial" w:hAnsi="Arial"/>
                <w:sz w:val="14"/>
                <w:szCs w:val="14"/>
                <w:b w:val="1"/>
                <w:bCs w:val="1"/>
                <w:color w:val="auto"/>
              </w:rPr>
              <w:t>45</w:t>
            </w: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4.10</w:t>
            </w:r>
          </w:p>
        </w:tc>
        <w:tc>
          <w:tcPr>
            <w:tcW w:w="2920" w:type="dxa"/>
            <w:vAlign w:val="bottom"/>
            <w:gridSpan w:val="4"/>
          </w:tcPr>
          <w:p>
            <w:pPr>
              <w:ind w:left="400"/>
              <w:spacing w:after="0"/>
              <w:rPr>
                <w:sz w:val="20"/>
                <w:szCs w:val="20"/>
                <w:color w:val="auto"/>
              </w:rPr>
            </w:pPr>
            <w:r>
              <w:rPr>
                <w:rFonts w:ascii="Arial" w:cs="Arial" w:eastAsia="Arial" w:hAnsi="Arial"/>
                <w:sz w:val="14"/>
                <w:szCs w:val="14"/>
                <w:b w:val="1"/>
                <w:bCs w:val="1"/>
                <w:color w:val="auto"/>
              </w:rPr>
              <w:t>Hazardous Materials; Remediation</w:t>
            </w:r>
          </w:p>
        </w:tc>
        <w:tc>
          <w:tcPr>
            <w:tcW w:w="48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b w:val="1"/>
                <w:bCs w:val="1"/>
                <w:color w:val="auto"/>
              </w:rPr>
              <w:t>47</w:t>
            </w: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4.11</w:t>
            </w:r>
          </w:p>
        </w:tc>
        <w:tc>
          <w:tcPr>
            <w:tcW w:w="1820" w:type="dxa"/>
            <w:vAlign w:val="bottom"/>
            <w:gridSpan w:val="3"/>
          </w:tcPr>
          <w:p>
            <w:pPr>
              <w:ind w:left="400"/>
              <w:spacing w:after="0"/>
              <w:rPr>
                <w:sz w:val="20"/>
                <w:szCs w:val="20"/>
                <w:color w:val="auto"/>
              </w:rPr>
            </w:pPr>
            <w:r>
              <w:rPr>
                <w:rFonts w:ascii="Arial" w:cs="Arial" w:eastAsia="Arial" w:hAnsi="Arial"/>
                <w:sz w:val="14"/>
                <w:szCs w:val="14"/>
                <w:b w:val="1"/>
                <w:bCs w:val="1"/>
                <w:color w:val="auto"/>
              </w:rPr>
              <w:t>Further Assurances</w:t>
            </w:r>
          </w:p>
        </w:tc>
        <w:tc>
          <w:tcPr>
            <w:tcW w:w="1100" w:type="dxa"/>
            <w:vAlign w:val="bottom"/>
          </w:tcPr>
          <w:p>
            <w:pPr>
              <w:jc w:val="right"/>
              <w:ind w:right="670"/>
              <w:spacing w:after="0"/>
              <w:rPr>
                <w:sz w:val="20"/>
                <w:szCs w:val="20"/>
                <w:color w:val="auto"/>
              </w:rPr>
            </w:pPr>
            <w:r>
              <w:rPr>
                <w:rFonts w:ascii="Arial" w:cs="Arial" w:eastAsia="Arial" w:hAnsi="Arial"/>
                <w:sz w:val="14"/>
                <w:szCs w:val="14"/>
                <w:b w:val="1"/>
                <w:bCs w:val="1"/>
                <w:color w:val="auto"/>
              </w:rPr>
              <w:t>47</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4.12</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Reserved</w:t>
            </w:r>
          </w:p>
        </w:tc>
        <w:tc>
          <w:tcPr>
            <w:tcW w:w="22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4"/>
                <w:szCs w:val="14"/>
                <w:b w:val="1"/>
                <w:bCs w:val="1"/>
                <w:color w:val="auto"/>
              </w:rPr>
              <w:t>48</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6"/>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4.13</w:t>
            </w:r>
          </w:p>
        </w:tc>
        <w:tc>
          <w:tcPr>
            <w:tcW w:w="1820" w:type="dxa"/>
            <w:vAlign w:val="bottom"/>
            <w:gridSpan w:val="3"/>
          </w:tcPr>
          <w:p>
            <w:pPr>
              <w:ind w:left="400"/>
              <w:spacing w:after="0"/>
              <w:rPr>
                <w:sz w:val="20"/>
                <w:szCs w:val="20"/>
                <w:color w:val="auto"/>
              </w:rPr>
            </w:pPr>
            <w:r>
              <w:rPr>
                <w:rFonts w:ascii="Arial" w:cs="Arial" w:eastAsia="Arial" w:hAnsi="Arial"/>
                <w:sz w:val="14"/>
                <w:szCs w:val="14"/>
                <w:b w:val="1"/>
                <w:bCs w:val="1"/>
                <w:color w:val="auto"/>
              </w:rPr>
              <w:t>Power of Attorney</w:t>
            </w:r>
          </w:p>
        </w:tc>
        <w:tc>
          <w:tcPr>
            <w:tcW w:w="1100" w:type="dxa"/>
            <w:vAlign w:val="bottom"/>
          </w:tcPr>
          <w:p>
            <w:pPr>
              <w:spacing w:after="0"/>
              <w:rPr>
                <w:sz w:val="24"/>
                <w:szCs w:val="24"/>
                <w:color w:val="auto"/>
              </w:rPr>
            </w:pPr>
          </w:p>
        </w:tc>
        <w:tc>
          <w:tcPr>
            <w:tcW w:w="480" w:type="dxa"/>
            <w:vAlign w:val="bottom"/>
          </w:tcPr>
          <w:p>
            <w:pPr>
              <w:jc w:val="right"/>
              <w:ind w:right="230"/>
              <w:spacing w:after="0"/>
              <w:rPr>
                <w:sz w:val="20"/>
                <w:szCs w:val="20"/>
                <w:color w:val="auto"/>
              </w:rPr>
            </w:pPr>
            <w:r>
              <w:rPr>
                <w:rFonts w:ascii="Arial" w:cs="Arial" w:eastAsia="Arial" w:hAnsi="Arial"/>
                <w:sz w:val="14"/>
                <w:szCs w:val="14"/>
                <w:b w:val="1"/>
                <w:bCs w:val="1"/>
                <w:color w:val="auto"/>
              </w:rPr>
              <w:t>48</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4.14</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Reserved</w:t>
            </w:r>
          </w:p>
        </w:tc>
        <w:tc>
          <w:tcPr>
            <w:tcW w:w="22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4"/>
                <w:szCs w:val="14"/>
                <w:b w:val="1"/>
                <w:bCs w:val="1"/>
                <w:color w:val="auto"/>
              </w:rPr>
              <w:t>49</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4.15</w:t>
            </w:r>
          </w:p>
        </w:tc>
        <w:tc>
          <w:tcPr>
            <w:tcW w:w="1820" w:type="dxa"/>
            <w:vAlign w:val="bottom"/>
            <w:gridSpan w:val="3"/>
          </w:tcPr>
          <w:p>
            <w:pPr>
              <w:ind w:left="400"/>
              <w:spacing w:after="0"/>
              <w:rPr>
                <w:sz w:val="20"/>
                <w:szCs w:val="20"/>
                <w:color w:val="auto"/>
              </w:rPr>
            </w:pPr>
            <w:r>
              <w:rPr>
                <w:rFonts w:ascii="Arial" w:cs="Arial" w:eastAsia="Arial" w:hAnsi="Arial"/>
                <w:sz w:val="14"/>
                <w:szCs w:val="14"/>
                <w:b w:val="1"/>
                <w:bCs w:val="1"/>
                <w:color w:val="auto"/>
              </w:rPr>
              <w:t>Schedule Updates</w:t>
            </w:r>
          </w:p>
        </w:tc>
        <w:tc>
          <w:tcPr>
            <w:tcW w:w="1100" w:type="dxa"/>
            <w:vAlign w:val="bottom"/>
          </w:tcPr>
          <w:p>
            <w:pPr>
              <w:jc w:val="right"/>
              <w:ind w:right="790"/>
              <w:spacing w:after="0"/>
              <w:rPr>
                <w:sz w:val="20"/>
                <w:szCs w:val="20"/>
                <w:color w:val="auto"/>
              </w:rPr>
            </w:pPr>
            <w:r>
              <w:rPr>
                <w:rFonts w:ascii="Arial" w:cs="Arial" w:eastAsia="Arial" w:hAnsi="Arial"/>
                <w:sz w:val="14"/>
                <w:szCs w:val="14"/>
                <w:b w:val="1"/>
                <w:bCs w:val="1"/>
                <w:color w:val="auto"/>
              </w:rPr>
              <w:t>49</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4.16</w:t>
            </w:r>
          </w:p>
        </w:tc>
        <w:tc>
          <w:tcPr>
            <w:tcW w:w="2920" w:type="dxa"/>
            <w:vAlign w:val="bottom"/>
            <w:gridSpan w:val="4"/>
          </w:tcPr>
          <w:p>
            <w:pPr>
              <w:ind w:left="400"/>
              <w:spacing w:after="0"/>
              <w:rPr>
                <w:sz w:val="20"/>
                <w:szCs w:val="20"/>
                <w:color w:val="auto"/>
              </w:rPr>
            </w:pPr>
            <w:r>
              <w:rPr>
                <w:rFonts w:ascii="Arial" w:cs="Arial" w:eastAsia="Arial" w:hAnsi="Arial"/>
                <w:sz w:val="14"/>
                <w:szCs w:val="14"/>
                <w:b w:val="1"/>
                <w:bCs w:val="1"/>
                <w:color w:val="auto"/>
              </w:rPr>
              <w:t>Intellectual Property and Licensing</w:t>
            </w:r>
          </w:p>
        </w:tc>
        <w:tc>
          <w:tcPr>
            <w:tcW w:w="48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b w:val="1"/>
                <w:bCs w:val="1"/>
                <w:color w:val="auto"/>
              </w:rPr>
              <w:t>49</w:t>
            </w: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4.17</w:t>
            </w:r>
          </w:p>
        </w:tc>
        <w:tc>
          <w:tcPr>
            <w:tcW w:w="2920" w:type="dxa"/>
            <w:vAlign w:val="bottom"/>
            <w:gridSpan w:val="4"/>
          </w:tcPr>
          <w:p>
            <w:pPr>
              <w:ind w:left="400"/>
              <w:spacing w:after="0"/>
              <w:rPr>
                <w:sz w:val="20"/>
                <w:szCs w:val="20"/>
                <w:color w:val="auto"/>
              </w:rPr>
            </w:pPr>
            <w:r>
              <w:rPr>
                <w:rFonts w:ascii="Arial" w:cs="Arial" w:eastAsia="Arial" w:hAnsi="Arial"/>
                <w:sz w:val="14"/>
                <w:szCs w:val="14"/>
                <w:b w:val="1"/>
                <w:bCs w:val="1"/>
                <w:color w:val="auto"/>
              </w:rPr>
              <w:t>Regulatory Reporting and Covenants</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460" w:type="dxa"/>
            <w:vAlign w:val="bottom"/>
          </w:tcPr>
          <w:p>
            <w:pPr>
              <w:spacing w:after="0"/>
              <w:rPr>
                <w:sz w:val="24"/>
                <w:szCs w:val="24"/>
                <w:color w:val="auto"/>
              </w:rPr>
            </w:pPr>
          </w:p>
        </w:tc>
      </w:tr>
      <w:tr>
        <w:trPr>
          <w:trHeight w:val="315"/>
        </w:trPr>
        <w:tc>
          <w:tcPr>
            <w:tcW w:w="2620" w:type="dxa"/>
            <w:vAlign w:val="bottom"/>
          </w:tcPr>
          <w:p>
            <w:pPr>
              <w:spacing w:after="0"/>
              <w:rPr>
                <w:sz w:val="20"/>
                <w:szCs w:val="20"/>
                <w:color w:val="auto"/>
              </w:rPr>
            </w:pPr>
            <w:r>
              <w:rPr>
                <w:rFonts w:ascii="Arial" w:cs="Arial" w:eastAsia="Arial" w:hAnsi="Arial"/>
                <w:sz w:val="14"/>
                <w:szCs w:val="14"/>
                <w:b w:val="1"/>
                <w:bCs w:val="1"/>
                <w:color w:val="auto"/>
              </w:rPr>
              <w:t>ARTICLE 5 - NEGATIVE COVENANTS</w:t>
            </w: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52</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w:t>
            </w:r>
          </w:p>
        </w:tc>
        <w:tc>
          <w:tcPr>
            <w:tcW w:w="29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Debt; Contingent Obligations</w:t>
            </w:r>
          </w:p>
        </w:tc>
        <w:tc>
          <w:tcPr>
            <w:tcW w:w="480" w:type="dxa"/>
            <w:vAlign w:val="bottom"/>
          </w:tcPr>
          <w:p>
            <w:pPr>
              <w:spacing w:after="0"/>
              <w:rPr>
                <w:sz w:val="24"/>
                <w:szCs w:val="24"/>
                <w:color w:val="auto"/>
              </w:rPr>
            </w:pPr>
          </w:p>
        </w:tc>
        <w:tc>
          <w:tcPr>
            <w:tcW w:w="880" w:type="dxa"/>
            <w:vAlign w:val="bottom"/>
          </w:tcPr>
          <w:p>
            <w:pPr>
              <w:jc w:val="right"/>
              <w:ind w:right="510"/>
              <w:spacing w:after="0"/>
              <w:rPr>
                <w:sz w:val="20"/>
                <w:szCs w:val="20"/>
                <w:color w:val="auto"/>
              </w:rPr>
            </w:pPr>
            <w:r>
              <w:rPr>
                <w:rFonts w:ascii="Arial" w:cs="Arial" w:eastAsia="Arial" w:hAnsi="Arial"/>
                <w:sz w:val="14"/>
                <w:szCs w:val="14"/>
                <w:b w:val="1"/>
                <w:bCs w:val="1"/>
                <w:color w:val="auto"/>
              </w:rPr>
              <w:t>52</w:t>
            </w: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5.2</w:t>
            </w: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rPr>
              <w:t>Liens</w:t>
            </w:r>
          </w:p>
        </w:tc>
        <w:tc>
          <w:tcPr>
            <w:tcW w:w="220" w:type="dxa"/>
            <w:vAlign w:val="bottom"/>
          </w:tcPr>
          <w:p>
            <w:pPr>
              <w:jc w:val="right"/>
              <w:ind w:right="10"/>
              <w:spacing w:after="0"/>
              <w:rPr>
                <w:sz w:val="20"/>
                <w:szCs w:val="20"/>
                <w:color w:val="auto"/>
              </w:rPr>
            </w:pPr>
            <w:r>
              <w:rPr>
                <w:rFonts w:ascii="Arial" w:cs="Arial" w:eastAsia="Arial" w:hAnsi="Arial"/>
                <w:sz w:val="14"/>
                <w:szCs w:val="14"/>
                <w:b w:val="1"/>
                <w:bCs w:val="1"/>
                <w:color w:val="auto"/>
                <w:w w:val="76"/>
              </w:rPr>
              <w:t>52</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5.3</w:t>
            </w:r>
          </w:p>
        </w:tc>
        <w:tc>
          <w:tcPr>
            <w:tcW w:w="1120" w:type="dxa"/>
            <w:vAlign w:val="bottom"/>
          </w:tcPr>
          <w:p>
            <w:pPr>
              <w:ind w:left="340"/>
              <w:spacing w:after="0"/>
              <w:rPr>
                <w:sz w:val="20"/>
                <w:szCs w:val="20"/>
                <w:color w:val="auto"/>
              </w:rPr>
            </w:pPr>
            <w:r>
              <w:rPr>
                <w:rFonts w:ascii="Arial" w:cs="Arial" w:eastAsia="Arial" w:hAnsi="Arial"/>
                <w:sz w:val="14"/>
                <w:szCs w:val="14"/>
                <w:b w:val="1"/>
                <w:bCs w:val="1"/>
                <w:color w:val="auto"/>
                <w:w w:val="87"/>
              </w:rPr>
              <w:t>Distributions</w:t>
            </w:r>
          </w:p>
        </w:tc>
        <w:tc>
          <w:tcPr>
            <w:tcW w:w="22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4"/>
                <w:szCs w:val="14"/>
                <w:b w:val="1"/>
                <w:bCs w:val="1"/>
                <w:color w:val="auto"/>
              </w:rPr>
              <w:t>52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5.4</w:t>
            </w: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Restrictive Agreements</w:t>
            </w:r>
          </w:p>
        </w:tc>
        <w:tc>
          <w:tcPr>
            <w:tcW w:w="1100" w:type="dxa"/>
            <w:vAlign w:val="bottom"/>
          </w:tcPr>
          <w:p>
            <w:pPr>
              <w:jc w:val="right"/>
              <w:ind w:right="530"/>
              <w:spacing w:after="0"/>
              <w:rPr>
                <w:sz w:val="20"/>
                <w:szCs w:val="20"/>
                <w:color w:val="auto"/>
              </w:rPr>
            </w:pPr>
            <w:r>
              <w:rPr>
                <w:rFonts w:ascii="Arial" w:cs="Arial" w:eastAsia="Arial" w:hAnsi="Arial"/>
                <w:sz w:val="14"/>
                <w:szCs w:val="14"/>
                <w:b w:val="1"/>
                <w:bCs w:val="1"/>
                <w:color w:val="auto"/>
              </w:rPr>
              <w:t>52</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6"/>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5.5</w:t>
            </w:r>
          </w:p>
        </w:tc>
        <w:tc>
          <w:tcPr>
            <w:tcW w:w="3400" w:type="dxa"/>
            <w:vAlign w:val="bottom"/>
            <w:gridSpan w:val="5"/>
          </w:tcPr>
          <w:p>
            <w:pPr>
              <w:ind w:left="340"/>
              <w:spacing w:after="0"/>
              <w:rPr>
                <w:sz w:val="20"/>
                <w:szCs w:val="20"/>
                <w:color w:val="auto"/>
              </w:rPr>
            </w:pPr>
            <w:r>
              <w:rPr>
                <w:rFonts w:ascii="Arial" w:cs="Arial" w:eastAsia="Arial" w:hAnsi="Arial"/>
                <w:sz w:val="14"/>
                <w:szCs w:val="14"/>
                <w:b w:val="1"/>
                <w:bCs w:val="1"/>
                <w:color w:val="auto"/>
                <w:w w:val="90"/>
              </w:rPr>
              <w:t>Payments and Modifications of Subordinated Debt</w:t>
            </w:r>
          </w:p>
        </w:tc>
        <w:tc>
          <w:tcPr>
            <w:tcW w:w="880" w:type="dxa"/>
            <w:vAlign w:val="bottom"/>
          </w:tcPr>
          <w:p>
            <w:pPr>
              <w:jc w:val="right"/>
              <w:ind w:right="250"/>
              <w:spacing w:after="0"/>
              <w:rPr>
                <w:sz w:val="20"/>
                <w:szCs w:val="20"/>
                <w:color w:val="auto"/>
              </w:rPr>
            </w:pPr>
            <w:r>
              <w:rPr>
                <w:rFonts w:ascii="Arial" w:cs="Arial" w:eastAsia="Arial" w:hAnsi="Arial"/>
                <w:sz w:val="14"/>
                <w:szCs w:val="14"/>
                <w:b w:val="1"/>
                <w:bCs w:val="1"/>
                <w:color w:val="auto"/>
              </w:rPr>
              <w:t>52</w:t>
            </w: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5.6</w:t>
            </w:r>
          </w:p>
        </w:tc>
        <w:tc>
          <w:tcPr>
            <w:tcW w:w="4280" w:type="dxa"/>
            <w:vAlign w:val="bottom"/>
            <w:gridSpan w:val="6"/>
          </w:tcPr>
          <w:p>
            <w:pPr>
              <w:ind w:left="340"/>
              <w:spacing w:after="0"/>
              <w:rPr>
                <w:sz w:val="20"/>
                <w:szCs w:val="20"/>
                <w:color w:val="auto"/>
              </w:rPr>
            </w:pPr>
            <w:r>
              <w:rPr>
                <w:rFonts w:ascii="Arial" w:cs="Arial" w:eastAsia="Arial" w:hAnsi="Arial"/>
                <w:sz w:val="14"/>
                <w:szCs w:val="14"/>
                <w:b w:val="1"/>
                <w:bCs w:val="1"/>
                <w:color w:val="auto"/>
                <w:w w:val="91"/>
              </w:rPr>
              <w:t>Consolidations, Mergers and Sales of Assets; Change in Control</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52</w:t>
            </w: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5.7</w:t>
            </w:r>
          </w:p>
        </w:tc>
        <w:tc>
          <w:tcPr>
            <w:tcW w:w="2920" w:type="dxa"/>
            <w:vAlign w:val="bottom"/>
            <w:gridSpan w:val="4"/>
          </w:tcPr>
          <w:p>
            <w:pPr>
              <w:ind w:left="340"/>
              <w:spacing w:after="0"/>
              <w:rPr>
                <w:sz w:val="20"/>
                <w:szCs w:val="20"/>
                <w:color w:val="auto"/>
              </w:rPr>
            </w:pPr>
            <w:r>
              <w:rPr>
                <w:rFonts w:ascii="Arial" w:cs="Arial" w:eastAsia="Arial" w:hAnsi="Arial"/>
                <w:sz w:val="14"/>
                <w:szCs w:val="14"/>
                <w:b w:val="1"/>
                <w:bCs w:val="1"/>
                <w:color w:val="auto"/>
              </w:rPr>
              <w:t>Purchase of Assets, Investments</w:t>
            </w:r>
          </w:p>
        </w:tc>
        <w:tc>
          <w:tcPr>
            <w:tcW w:w="480" w:type="dxa"/>
            <w:vAlign w:val="bottom"/>
          </w:tcPr>
          <w:p>
            <w:pPr>
              <w:spacing w:after="0"/>
              <w:rPr>
                <w:sz w:val="24"/>
                <w:szCs w:val="24"/>
                <w:color w:val="auto"/>
              </w:rPr>
            </w:pPr>
          </w:p>
        </w:tc>
        <w:tc>
          <w:tcPr>
            <w:tcW w:w="880" w:type="dxa"/>
            <w:vAlign w:val="bottom"/>
          </w:tcPr>
          <w:p>
            <w:pPr>
              <w:jc w:val="right"/>
              <w:ind w:right="390"/>
              <w:spacing w:after="0"/>
              <w:rPr>
                <w:sz w:val="20"/>
                <w:szCs w:val="20"/>
                <w:color w:val="auto"/>
              </w:rPr>
            </w:pPr>
            <w:r>
              <w:rPr>
                <w:rFonts w:ascii="Arial" w:cs="Arial" w:eastAsia="Arial" w:hAnsi="Arial"/>
                <w:sz w:val="14"/>
                <w:szCs w:val="14"/>
                <w:b w:val="1"/>
                <w:bCs w:val="1"/>
                <w:color w:val="auto"/>
              </w:rPr>
              <w:t>53</w:t>
            </w:r>
          </w:p>
        </w:tc>
        <w:tc>
          <w:tcPr>
            <w:tcW w:w="1460" w:type="dxa"/>
            <w:vAlign w:val="bottom"/>
          </w:tcPr>
          <w:p>
            <w:pPr>
              <w:spacing w:after="0"/>
              <w:rPr>
                <w:sz w:val="24"/>
                <w:szCs w:val="24"/>
                <w:color w:val="auto"/>
              </w:rPr>
            </w:pPr>
          </w:p>
        </w:tc>
      </w:tr>
      <w:tr>
        <w:trPr>
          <w:trHeight w:val="30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5.8</w:t>
            </w:r>
          </w:p>
        </w:tc>
        <w:tc>
          <w:tcPr>
            <w:tcW w:w="2920" w:type="dxa"/>
            <w:vAlign w:val="bottom"/>
            <w:gridSpan w:val="4"/>
          </w:tcPr>
          <w:p>
            <w:pPr>
              <w:ind w:left="340"/>
              <w:spacing w:after="0"/>
              <w:rPr>
                <w:sz w:val="20"/>
                <w:szCs w:val="20"/>
                <w:color w:val="auto"/>
              </w:rPr>
            </w:pPr>
            <w:r>
              <w:rPr>
                <w:rFonts w:ascii="Arial" w:cs="Arial" w:eastAsia="Arial" w:hAnsi="Arial"/>
                <w:sz w:val="14"/>
                <w:szCs w:val="14"/>
                <w:b w:val="1"/>
                <w:bCs w:val="1"/>
                <w:color w:val="auto"/>
              </w:rPr>
              <w:t>Transactions with Affiliates</w:t>
            </w:r>
          </w:p>
        </w:tc>
        <w:tc>
          <w:tcPr>
            <w:tcW w:w="480" w:type="dxa"/>
            <w:vAlign w:val="bottom"/>
          </w:tcPr>
          <w:p>
            <w:pPr>
              <w:spacing w:after="0"/>
              <w:rPr>
                <w:sz w:val="24"/>
                <w:szCs w:val="24"/>
                <w:color w:val="auto"/>
              </w:rPr>
            </w:pPr>
          </w:p>
        </w:tc>
        <w:tc>
          <w:tcPr>
            <w:tcW w:w="880" w:type="dxa"/>
            <w:vAlign w:val="bottom"/>
          </w:tcPr>
          <w:p>
            <w:pPr>
              <w:jc w:val="right"/>
              <w:ind w:right="650"/>
              <w:spacing w:after="0"/>
              <w:rPr>
                <w:sz w:val="20"/>
                <w:szCs w:val="20"/>
                <w:color w:val="auto"/>
              </w:rPr>
            </w:pPr>
            <w:r>
              <w:rPr>
                <w:rFonts w:ascii="Arial" w:cs="Arial" w:eastAsia="Arial" w:hAnsi="Arial"/>
                <w:sz w:val="14"/>
                <w:szCs w:val="14"/>
                <w:b w:val="1"/>
                <w:bCs w:val="1"/>
                <w:color w:val="auto"/>
                <w:w w:val="89"/>
              </w:rPr>
              <w:t>53</w:t>
            </w: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5.9</w:t>
            </w:r>
          </w:p>
        </w:tc>
        <w:tc>
          <w:tcPr>
            <w:tcW w:w="2920" w:type="dxa"/>
            <w:vAlign w:val="bottom"/>
            <w:gridSpan w:val="4"/>
          </w:tcPr>
          <w:p>
            <w:pPr>
              <w:ind w:left="340"/>
              <w:spacing w:after="0"/>
              <w:rPr>
                <w:sz w:val="20"/>
                <w:szCs w:val="20"/>
                <w:color w:val="auto"/>
              </w:rPr>
            </w:pPr>
            <w:r>
              <w:rPr>
                <w:rFonts w:ascii="Arial" w:cs="Arial" w:eastAsia="Arial" w:hAnsi="Arial"/>
                <w:sz w:val="14"/>
                <w:szCs w:val="14"/>
                <w:b w:val="1"/>
                <w:bCs w:val="1"/>
                <w:color w:val="auto"/>
                <w:w w:val="91"/>
              </w:rPr>
              <w:t>Modification of Organizational Documents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jc w:val="right"/>
              <w:ind w:right="1190"/>
              <w:spacing w:after="0"/>
              <w:rPr>
                <w:sz w:val="20"/>
                <w:szCs w:val="20"/>
                <w:color w:val="auto"/>
              </w:rPr>
            </w:pPr>
            <w:r>
              <w:rPr>
                <w:rFonts w:ascii="Arial" w:cs="Arial" w:eastAsia="Arial" w:hAnsi="Arial"/>
                <w:sz w:val="14"/>
                <w:szCs w:val="14"/>
                <w:b w:val="1"/>
                <w:bCs w:val="1"/>
                <w:color w:val="auto"/>
              </w:rPr>
              <w:t>53</w:t>
            </w: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5.10</w:t>
            </w:r>
          </w:p>
        </w:tc>
        <w:tc>
          <w:tcPr>
            <w:tcW w:w="2920" w:type="dxa"/>
            <w:vAlign w:val="bottom"/>
            <w:gridSpan w:val="4"/>
          </w:tcPr>
          <w:p>
            <w:pPr>
              <w:ind w:left="400"/>
              <w:spacing w:after="0"/>
              <w:rPr>
                <w:sz w:val="20"/>
                <w:szCs w:val="20"/>
                <w:color w:val="auto"/>
              </w:rPr>
            </w:pPr>
            <w:r>
              <w:rPr>
                <w:rFonts w:ascii="Arial" w:cs="Arial" w:eastAsia="Arial" w:hAnsi="Arial"/>
                <w:sz w:val="14"/>
                <w:szCs w:val="14"/>
                <w:b w:val="1"/>
                <w:bCs w:val="1"/>
                <w:color w:val="auto"/>
              </w:rPr>
              <w:t>Modification of Certain Agreements</w:t>
            </w:r>
          </w:p>
        </w:tc>
        <w:tc>
          <w:tcPr>
            <w:tcW w:w="48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53</w:t>
            </w:r>
          </w:p>
        </w:tc>
        <w:tc>
          <w:tcPr>
            <w:tcW w:w="1460" w:type="dxa"/>
            <w:vAlign w:val="bottom"/>
          </w:tcPr>
          <w:p>
            <w:pPr>
              <w:spacing w:after="0"/>
              <w:rPr>
                <w:sz w:val="24"/>
                <w:szCs w:val="24"/>
                <w:color w:val="auto"/>
              </w:rPr>
            </w:pPr>
          </w:p>
        </w:tc>
      </w:tr>
      <w:tr>
        <w:trPr>
          <w:trHeight w:val="30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5.11</w:t>
            </w:r>
          </w:p>
        </w:tc>
        <w:tc>
          <w:tcPr>
            <w:tcW w:w="1820" w:type="dxa"/>
            <w:vAlign w:val="bottom"/>
            <w:gridSpan w:val="3"/>
          </w:tcPr>
          <w:p>
            <w:pPr>
              <w:ind w:left="400"/>
              <w:spacing w:after="0"/>
              <w:rPr>
                <w:sz w:val="20"/>
                <w:szCs w:val="20"/>
                <w:color w:val="auto"/>
              </w:rPr>
            </w:pPr>
            <w:r>
              <w:rPr>
                <w:rFonts w:ascii="Arial" w:cs="Arial" w:eastAsia="Arial" w:hAnsi="Arial"/>
                <w:sz w:val="14"/>
                <w:szCs w:val="14"/>
                <w:b w:val="1"/>
                <w:bCs w:val="1"/>
                <w:color w:val="auto"/>
                <w:w w:val="99"/>
              </w:rPr>
              <w:t>Conduct of Business</w:t>
            </w:r>
          </w:p>
        </w:tc>
        <w:tc>
          <w:tcPr>
            <w:tcW w:w="1100" w:type="dxa"/>
            <w:vAlign w:val="bottom"/>
          </w:tcPr>
          <w:p>
            <w:pPr>
              <w:spacing w:after="0"/>
              <w:rPr>
                <w:sz w:val="24"/>
                <w:szCs w:val="24"/>
                <w:color w:val="auto"/>
              </w:rPr>
            </w:pPr>
          </w:p>
        </w:tc>
        <w:tc>
          <w:tcPr>
            <w:tcW w:w="480" w:type="dxa"/>
            <w:vAlign w:val="bottom"/>
          </w:tcPr>
          <w:p>
            <w:pPr>
              <w:jc w:val="right"/>
              <w:ind w:right="130"/>
              <w:spacing w:after="0"/>
              <w:rPr>
                <w:sz w:val="20"/>
                <w:szCs w:val="20"/>
                <w:color w:val="auto"/>
              </w:rPr>
            </w:pPr>
            <w:r>
              <w:rPr>
                <w:rFonts w:ascii="Arial" w:cs="Arial" w:eastAsia="Arial" w:hAnsi="Arial"/>
                <w:sz w:val="14"/>
                <w:szCs w:val="14"/>
                <w:b w:val="1"/>
                <w:bCs w:val="1"/>
                <w:color w:val="auto"/>
              </w:rPr>
              <w:t>53</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5.12</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Reserved</w:t>
            </w:r>
          </w:p>
        </w:tc>
        <w:tc>
          <w:tcPr>
            <w:tcW w:w="220" w:type="dxa"/>
            <w:vAlign w:val="bottom"/>
          </w:tcPr>
          <w:p>
            <w:pPr>
              <w:spacing w:after="0"/>
              <w:rPr>
                <w:sz w:val="24"/>
                <w:szCs w:val="24"/>
                <w:color w:val="auto"/>
              </w:rPr>
            </w:pPr>
          </w:p>
        </w:tc>
        <w:tc>
          <w:tcPr>
            <w:tcW w:w="480" w:type="dxa"/>
            <w:vAlign w:val="bottom"/>
          </w:tcPr>
          <w:p>
            <w:pPr>
              <w:jc w:val="right"/>
              <w:ind w:right="190"/>
              <w:spacing w:after="0"/>
              <w:rPr>
                <w:sz w:val="20"/>
                <w:szCs w:val="20"/>
                <w:color w:val="auto"/>
              </w:rPr>
            </w:pPr>
            <w:r>
              <w:rPr>
                <w:rFonts w:ascii="Arial" w:cs="Arial" w:eastAsia="Arial" w:hAnsi="Arial"/>
                <w:sz w:val="14"/>
                <w:szCs w:val="14"/>
                <w:b w:val="1"/>
                <w:bCs w:val="1"/>
                <w:color w:val="auto"/>
              </w:rPr>
              <w:t>53</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5.13</w:t>
            </w:r>
          </w:p>
        </w:tc>
        <w:tc>
          <w:tcPr>
            <w:tcW w:w="3400" w:type="dxa"/>
            <w:vAlign w:val="bottom"/>
            <w:gridSpan w:val="5"/>
          </w:tcPr>
          <w:p>
            <w:pPr>
              <w:ind w:left="400"/>
              <w:spacing w:after="0"/>
              <w:rPr>
                <w:sz w:val="20"/>
                <w:szCs w:val="20"/>
                <w:color w:val="auto"/>
              </w:rPr>
            </w:pPr>
            <w:r>
              <w:rPr>
                <w:rFonts w:ascii="Arial" w:cs="Arial" w:eastAsia="Arial" w:hAnsi="Arial"/>
                <w:sz w:val="14"/>
                <w:szCs w:val="14"/>
                <w:b w:val="1"/>
                <w:bCs w:val="1"/>
                <w:color w:val="auto"/>
                <w:w w:val="94"/>
              </w:rPr>
              <w:t>Limitation on Sale and Leaseback Transactions</w:t>
            </w:r>
          </w:p>
        </w:tc>
        <w:tc>
          <w:tcPr>
            <w:tcW w:w="880" w:type="dxa"/>
            <w:vAlign w:val="bottom"/>
          </w:tcPr>
          <w:p>
            <w:pPr>
              <w:spacing w:after="0"/>
              <w:rPr>
                <w:sz w:val="24"/>
                <w:szCs w:val="24"/>
                <w:color w:val="auto"/>
              </w:rPr>
            </w:pPr>
          </w:p>
        </w:tc>
        <w:tc>
          <w:tcPr>
            <w:tcW w:w="1460" w:type="dxa"/>
            <w:vAlign w:val="bottom"/>
          </w:tcPr>
          <w:p>
            <w:pPr>
              <w:jc w:val="right"/>
              <w:ind w:right="850"/>
              <w:spacing w:after="0"/>
              <w:rPr>
                <w:sz w:val="20"/>
                <w:szCs w:val="20"/>
                <w:color w:val="auto"/>
              </w:rPr>
            </w:pPr>
            <w:r>
              <w:rPr>
                <w:rFonts w:ascii="Arial" w:cs="Arial" w:eastAsia="Arial" w:hAnsi="Arial"/>
                <w:sz w:val="14"/>
                <w:szCs w:val="14"/>
                <w:b w:val="1"/>
                <w:bCs w:val="1"/>
                <w:color w:val="auto"/>
              </w:rPr>
              <w:t>53</w:t>
            </w:r>
          </w:p>
        </w:tc>
      </w:tr>
      <w:tr>
        <w:trPr>
          <w:trHeight w:val="285"/>
        </w:trPr>
        <w:tc>
          <w:tcPr>
            <w:tcW w:w="2620" w:type="dxa"/>
            <w:vAlign w:val="bottom"/>
          </w:tcPr>
          <w:p>
            <w:pPr>
              <w:ind w:left="860"/>
              <w:spacing w:after="0"/>
              <w:rPr>
                <w:sz w:val="20"/>
                <w:szCs w:val="20"/>
                <w:color w:val="auto"/>
              </w:rPr>
            </w:pPr>
            <w:r>
              <w:rPr>
                <w:rFonts w:ascii="Arial" w:cs="Arial" w:eastAsia="Arial" w:hAnsi="Arial"/>
                <w:sz w:val="14"/>
                <w:szCs w:val="14"/>
                <w:b w:val="1"/>
                <w:bCs w:val="1"/>
                <w:color w:val="auto"/>
              </w:rPr>
              <w:t>Section 5.14</w:t>
            </w:r>
          </w:p>
        </w:tc>
        <w:tc>
          <w:tcPr>
            <w:tcW w:w="4280" w:type="dxa"/>
            <w:vAlign w:val="bottom"/>
            <w:gridSpan w:val="6"/>
          </w:tcPr>
          <w:p>
            <w:pPr>
              <w:ind w:left="400"/>
              <w:spacing w:after="0"/>
              <w:rPr>
                <w:sz w:val="20"/>
                <w:szCs w:val="20"/>
                <w:color w:val="auto"/>
              </w:rPr>
            </w:pPr>
            <w:r>
              <w:rPr>
                <w:rFonts w:ascii="Arial" w:cs="Arial" w:eastAsia="Arial" w:hAnsi="Arial"/>
                <w:sz w:val="14"/>
                <w:szCs w:val="14"/>
                <w:b w:val="1"/>
                <w:bCs w:val="1"/>
                <w:color w:val="auto"/>
                <w:w w:val="89"/>
              </w:rPr>
              <w:t>Deposit Accounts and Securities Accounts; Payroll and Benefits</w:t>
            </w:r>
          </w:p>
        </w:tc>
        <w:tc>
          <w:tcPr>
            <w:tcW w:w="1460" w:type="dxa"/>
            <w:vAlign w:val="bottom"/>
          </w:tcPr>
          <w:p>
            <w:pPr>
              <w:spacing w:after="0"/>
              <w:rPr>
                <w:sz w:val="24"/>
                <w:szCs w:val="24"/>
                <w:color w:val="auto"/>
              </w:rPr>
            </w:pPr>
          </w:p>
        </w:tc>
      </w:tr>
      <w:tr>
        <w:trPr>
          <w:trHeight w:val="183"/>
        </w:trPr>
        <w:tc>
          <w:tcPr>
            <w:tcW w:w="2620" w:type="dxa"/>
            <w:vAlign w:val="bottom"/>
          </w:tcPr>
          <w:p>
            <w:pPr>
              <w:ind w:left="1720"/>
              <w:spacing w:after="0"/>
              <w:rPr>
                <w:sz w:val="20"/>
                <w:szCs w:val="20"/>
                <w:color w:val="auto"/>
              </w:rPr>
            </w:pPr>
            <w:r>
              <w:rPr>
                <w:rFonts w:ascii="Arial" w:cs="Arial" w:eastAsia="Arial" w:hAnsi="Arial"/>
                <w:sz w:val="14"/>
                <w:szCs w:val="14"/>
                <w:b w:val="1"/>
                <w:bCs w:val="1"/>
                <w:color w:val="auto"/>
              </w:rPr>
              <w:t>Accounts</w:t>
            </w: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53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420"/>
          </w:cols>
          <w:pgMar w:left="240" w:top="161" w:right="1239" w:bottom="1440" w:gutter="0" w:footer="0" w:header="0"/>
        </w:sectPr>
      </w:pPr>
    </w:p>
    <w:bookmarkStart w:id="59" w:name="page60"/>
    <w:bookmarkEnd w:id="59"/>
    <w:tbl>
      <w:tblPr>
        <w:tblLayout w:type="fixed"/>
        <w:tblInd w:w="140" w:type="dxa"/>
        <w:tblCellMar>
          <w:top w:w="0" w:type="dxa"/>
          <w:left w:w="0" w:type="dxa"/>
          <w:bottom w:w="0" w:type="dxa"/>
          <w:right w:w="0" w:type="dxa"/>
        </w:tblCellMar>
      </w:tblPr>
      <w:tr>
        <w:trPr>
          <w:trHeight w:val="183"/>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5.15</w:t>
            </w:r>
          </w:p>
        </w:tc>
        <w:tc>
          <w:tcPr>
            <w:tcW w:w="700" w:type="dxa"/>
            <w:vAlign w:val="bottom"/>
          </w:tcPr>
          <w:p>
            <w:pPr>
              <w:spacing w:after="0"/>
              <w:rPr>
                <w:sz w:val="15"/>
                <w:szCs w:val="15"/>
                <w:color w:val="auto"/>
              </w:rPr>
            </w:pPr>
          </w:p>
        </w:tc>
        <w:tc>
          <w:tcPr>
            <w:tcW w:w="266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Compliance with Anti-Terrorism Laws</w:t>
            </w:r>
          </w:p>
        </w:tc>
        <w:tc>
          <w:tcPr>
            <w:tcW w:w="1320" w:type="dxa"/>
            <w:vAlign w:val="bottom"/>
          </w:tcPr>
          <w:p>
            <w:pPr>
              <w:spacing w:after="0"/>
              <w:rPr>
                <w:sz w:val="15"/>
                <w:szCs w:val="15"/>
                <w:color w:val="auto"/>
              </w:rPr>
            </w:pPr>
          </w:p>
        </w:tc>
        <w:tc>
          <w:tcPr>
            <w:tcW w:w="560" w:type="dxa"/>
            <w:vAlign w:val="bottom"/>
          </w:tcPr>
          <w:p>
            <w:pPr>
              <w:jc w:val="right"/>
              <w:ind w:right="230"/>
              <w:spacing w:after="0"/>
              <w:rPr>
                <w:sz w:val="20"/>
                <w:szCs w:val="20"/>
                <w:color w:val="auto"/>
              </w:rPr>
            </w:pPr>
            <w:r>
              <w:rPr>
                <w:rFonts w:ascii="Arial" w:cs="Arial" w:eastAsia="Arial" w:hAnsi="Arial"/>
                <w:sz w:val="14"/>
                <w:szCs w:val="14"/>
                <w:b w:val="1"/>
                <w:bCs w:val="1"/>
                <w:color w:val="auto"/>
              </w:rPr>
              <w:t>54</w:t>
            </w: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5.16</w:t>
            </w:r>
          </w:p>
        </w:tc>
        <w:tc>
          <w:tcPr>
            <w:tcW w:w="700" w:type="dxa"/>
            <w:vAlign w:val="bottom"/>
          </w:tcPr>
          <w:p>
            <w:pPr>
              <w:spacing w:after="0"/>
              <w:rPr>
                <w:sz w:val="24"/>
                <w:szCs w:val="24"/>
                <w:color w:val="auto"/>
              </w:rPr>
            </w:pPr>
          </w:p>
        </w:tc>
        <w:tc>
          <w:tcPr>
            <w:tcW w:w="200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 in Accounting</w:t>
            </w:r>
          </w:p>
        </w:tc>
        <w:tc>
          <w:tcPr>
            <w:tcW w:w="660" w:type="dxa"/>
            <w:vAlign w:val="bottom"/>
          </w:tcPr>
          <w:p>
            <w:pPr>
              <w:spacing w:after="0"/>
              <w:rPr>
                <w:sz w:val="24"/>
                <w:szCs w:val="24"/>
                <w:color w:val="auto"/>
              </w:rPr>
            </w:pPr>
          </w:p>
        </w:tc>
        <w:tc>
          <w:tcPr>
            <w:tcW w:w="1320" w:type="dxa"/>
            <w:vAlign w:val="bottom"/>
          </w:tcPr>
          <w:p>
            <w:pPr>
              <w:jc w:val="right"/>
              <w:ind w:right="650"/>
              <w:spacing w:after="0"/>
              <w:rPr>
                <w:sz w:val="20"/>
                <w:szCs w:val="20"/>
                <w:color w:val="auto"/>
              </w:rPr>
            </w:pPr>
            <w:r>
              <w:rPr>
                <w:rFonts w:ascii="Arial" w:cs="Arial" w:eastAsia="Arial" w:hAnsi="Arial"/>
                <w:sz w:val="14"/>
                <w:szCs w:val="14"/>
                <w:b w:val="1"/>
                <w:bCs w:val="1"/>
                <w:color w:val="auto"/>
              </w:rPr>
              <w:t>55</w:t>
            </w:r>
          </w:p>
        </w:tc>
        <w:tc>
          <w:tcPr>
            <w:tcW w:w="560" w:type="dxa"/>
            <w:vAlign w:val="bottom"/>
          </w:tcPr>
          <w:p>
            <w:pPr>
              <w:spacing w:after="0"/>
              <w:rPr>
                <w:sz w:val="24"/>
                <w:szCs w:val="24"/>
                <w:color w:val="auto"/>
              </w:rPr>
            </w:pPr>
          </w:p>
        </w:tc>
      </w:tr>
      <w:tr>
        <w:trPr>
          <w:trHeight w:val="30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ARTICLE 6 - FINANCIAL COVENANTS</w:t>
            </w: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55</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6.1</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Additional Defined Terms</w:t>
            </w:r>
          </w:p>
        </w:tc>
        <w:tc>
          <w:tcPr>
            <w:tcW w:w="660" w:type="dxa"/>
            <w:vAlign w:val="bottom"/>
          </w:tcPr>
          <w:p>
            <w:pPr>
              <w:spacing w:after="0"/>
              <w:rPr>
                <w:sz w:val="24"/>
                <w:szCs w:val="24"/>
                <w:color w:val="auto"/>
              </w:rPr>
            </w:pPr>
          </w:p>
        </w:tc>
        <w:tc>
          <w:tcPr>
            <w:tcW w:w="1320" w:type="dxa"/>
            <w:vAlign w:val="bottom"/>
          </w:tcPr>
          <w:p>
            <w:pPr>
              <w:jc w:val="right"/>
              <w:ind w:right="490"/>
              <w:spacing w:after="0"/>
              <w:rPr>
                <w:sz w:val="20"/>
                <w:szCs w:val="20"/>
                <w:color w:val="auto"/>
              </w:rPr>
            </w:pPr>
            <w:r>
              <w:rPr>
                <w:rFonts w:ascii="Arial" w:cs="Arial" w:eastAsia="Arial" w:hAnsi="Arial"/>
                <w:sz w:val="14"/>
                <w:szCs w:val="14"/>
                <w:b w:val="1"/>
                <w:bCs w:val="1"/>
                <w:color w:val="auto"/>
              </w:rPr>
              <w:t>55</w:t>
            </w: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6.2</w:t>
            </w:r>
          </w:p>
        </w:tc>
        <w:tc>
          <w:tcPr>
            <w:tcW w:w="700" w:type="dxa"/>
            <w:vAlign w:val="bottom"/>
          </w:tcPr>
          <w:p>
            <w:pPr>
              <w:spacing w:after="0"/>
              <w:rPr>
                <w:sz w:val="24"/>
                <w:szCs w:val="24"/>
                <w:color w:val="auto"/>
              </w:rPr>
            </w:pPr>
          </w:p>
        </w:tc>
        <w:tc>
          <w:tcPr>
            <w:tcW w:w="3980" w:type="dxa"/>
            <w:vAlign w:val="bottom"/>
            <w:gridSpan w:val="4"/>
          </w:tcPr>
          <w:p>
            <w:pPr>
              <w:ind w:left="280"/>
              <w:spacing w:after="0"/>
              <w:rPr>
                <w:sz w:val="20"/>
                <w:szCs w:val="20"/>
                <w:color w:val="auto"/>
              </w:rPr>
            </w:pPr>
            <w:r>
              <w:rPr>
                <w:rFonts w:ascii="Arial" w:cs="Arial" w:eastAsia="Arial" w:hAnsi="Arial"/>
                <w:sz w:val="14"/>
                <w:szCs w:val="14"/>
                <w:b w:val="1"/>
                <w:bCs w:val="1"/>
                <w:color w:val="auto"/>
              </w:rPr>
              <w:t>Minimum Net Commercial Product Revenue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6.3</w:t>
            </w:r>
          </w:p>
        </w:tc>
        <w:tc>
          <w:tcPr>
            <w:tcW w:w="7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w w:val="96"/>
              </w:rPr>
              <w:t>Minimum Cash</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ind w:right="1110"/>
              <w:spacing w:after="0"/>
              <w:rPr>
                <w:sz w:val="20"/>
                <w:szCs w:val="20"/>
                <w:color w:val="auto"/>
              </w:rPr>
            </w:pPr>
            <w:r>
              <w:rPr>
                <w:rFonts w:ascii="Arial" w:cs="Arial" w:eastAsia="Arial" w:hAnsi="Arial"/>
                <w:sz w:val="14"/>
                <w:szCs w:val="14"/>
                <w:b w:val="1"/>
                <w:bCs w:val="1"/>
                <w:color w:val="auto"/>
                <w:w w:val="76"/>
              </w:rPr>
              <w:t>55</w:t>
            </w:r>
          </w:p>
        </w:tc>
        <w:tc>
          <w:tcPr>
            <w:tcW w:w="560" w:type="dxa"/>
            <w:vAlign w:val="bottom"/>
          </w:tcPr>
          <w:p>
            <w:pPr>
              <w:spacing w:after="0"/>
              <w:rPr>
                <w:sz w:val="24"/>
                <w:szCs w:val="24"/>
                <w:color w:val="auto"/>
              </w:rPr>
            </w:pPr>
          </w:p>
        </w:tc>
      </w:tr>
      <w:tr>
        <w:trPr>
          <w:trHeight w:val="296"/>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6.4</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Evidence of Compliance</w:t>
            </w:r>
          </w:p>
        </w:tc>
        <w:tc>
          <w:tcPr>
            <w:tcW w:w="66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Arial" w:cs="Arial" w:eastAsia="Arial" w:hAnsi="Arial"/>
                <w:sz w:val="14"/>
                <w:szCs w:val="14"/>
                <w:b w:val="1"/>
                <w:bCs w:val="1"/>
                <w:color w:val="auto"/>
              </w:rPr>
              <w:t>55</w:t>
            </w:r>
          </w:p>
        </w:tc>
        <w:tc>
          <w:tcPr>
            <w:tcW w:w="560" w:type="dxa"/>
            <w:vAlign w:val="bottom"/>
          </w:tcPr>
          <w:p>
            <w:pPr>
              <w:spacing w:after="0"/>
              <w:rPr>
                <w:sz w:val="24"/>
                <w:szCs w:val="24"/>
                <w:color w:val="auto"/>
              </w:rPr>
            </w:pPr>
          </w:p>
        </w:tc>
      </w:tr>
      <w:tr>
        <w:trPr>
          <w:trHeight w:val="315"/>
        </w:trPr>
        <w:tc>
          <w:tcPr>
            <w:tcW w:w="1980" w:type="dxa"/>
            <w:vAlign w:val="bottom"/>
          </w:tcPr>
          <w:p>
            <w:pPr>
              <w:spacing w:after="0"/>
              <w:rPr>
                <w:sz w:val="20"/>
                <w:szCs w:val="20"/>
                <w:color w:val="auto"/>
              </w:rPr>
            </w:pPr>
            <w:r>
              <w:rPr>
                <w:rFonts w:ascii="Arial" w:cs="Arial" w:eastAsia="Arial" w:hAnsi="Arial"/>
                <w:sz w:val="14"/>
                <w:szCs w:val="14"/>
                <w:b w:val="1"/>
                <w:bCs w:val="1"/>
                <w:color w:val="auto"/>
              </w:rPr>
              <w:t>ARTICLE 7 - CONDITIONS</w:t>
            </w: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56</w:t>
            </w: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7.1</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Conditions to Closing</w:t>
            </w:r>
          </w:p>
        </w:tc>
        <w:tc>
          <w:tcPr>
            <w:tcW w:w="660" w:type="dxa"/>
            <w:vAlign w:val="bottom"/>
          </w:tcPr>
          <w:p>
            <w:pPr>
              <w:spacing w:after="0"/>
              <w:rPr>
                <w:sz w:val="24"/>
                <w:szCs w:val="24"/>
                <w:color w:val="auto"/>
              </w:rPr>
            </w:pPr>
          </w:p>
        </w:tc>
        <w:tc>
          <w:tcPr>
            <w:tcW w:w="1320" w:type="dxa"/>
            <w:vAlign w:val="bottom"/>
          </w:tcPr>
          <w:p>
            <w:pPr>
              <w:jc w:val="right"/>
              <w:ind w:right="750"/>
              <w:spacing w:after="0"/>
              <w:rPr>
                <w:sz w:val="20"/>
                <w:szCs w:val="20"/>
                <w:color w:val="auto"/>
              </w:rPr>
            </w:pPr>
            <w:r>
              <w:rPr>
                <w:rFonts w:ascii="Arial" w:cs="Arial" w:eastAsia="Arial" w:hAnsi="Arial"/>
                <w:sz w:val="14"/>
                <w:szCs w:val="14"/>
                <w:b w:val="1"/>
                <w:bCs w:val="1"/>
                <w:color w:val="auto"/>
              </w:rPr>
              <w:t>56</w:t>
            </w:r>
          </w:p>
        </w:tc>
        <w:tc>
          <w:tcPr>
            <w:tcW w:w="560" w:type="dxa"/>
            <w:vAlign w:val="bottom"/>
          </w:tcPr>
          <w:p>
            <w:pPr>
              <w:spacing w:after="0"/>
              <w:rPr>
                <w:sz w:val="24"/>
                <w:szCs w:val="24"/>
                <w:color w:val="auto"/>
              </w:rPr>
            </w:pPr>
          </w:p>
        </w:tc>
      </w:tr>
      <w:tr>
        <w:trPr>
          <w:trHeight w:val="30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7.2</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Conditions to Each Loan</w:t>
            </w:r>
          </w:p>
        </w:tc>
        <w:tc>
          <w:tcPr>
            <w:tcW w:w="660" w:type="dxa"/>
            <w:vAlign w:val="bottom"/>
          </w:tcPr>
          <w:p>
            <w:pPr>
              <w:spacing w:after="0"/>
              <w:rPr>
                <w:sz w:val="24"/>
                <w:szCs w:val="24"/>
                <w:color w:val="auto"/>
              </w:rPr>
            </w:pPr>
          </w:p>
        </w:tc>
        <w:tc>
          <w:tcPr>
            <w:tcW w:w="1320" w:type="dxa"/>
            <w:vAlign w:val="bottom"/>
          </w:tcPr>
          <w:p>
            <w:pPr>
              <w:jc w:val="right"/>
              <w:ind w:right="550"/>
              <w:spacing w:after="0"/>
              <w:rPr>
                <w:sz w:val="20"/>
                <w:szCs w:val="20"/>
                <w:color w:val="auto"/>
              </w:rPr>
            </w:pPr>
            <w:r>
              <w:rPr>
                <w:rFonts w:ascii="Arial" w:cs="Arial" w:eastAsia="Arial" w:hAnsi="Arial"/>
                <w:sz w:val="14"/>
                <w:szCs w:val="14"/>
                <w:b w:val="1"/>
                <w:bCs w:val="1"/>
                <w:color w:val="auto"/>
              </w:rPr>
              <w:t>56</w:t>
            </w: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7.3</w:t>
            </w:r>
          </w:p>
        </w:tc>
        <w:tc>
          <w:tcPr>
            <w:tcW w:w="7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Searches</w:t>
            </w:r>
          </w:p>
        </w:tc>
        <w:tc>
          <w:tcPr>
            <w:tcW w:w="740" w:type="dxa"/>
            <w:vAlign w:val="bottom"/>
          </w:tcPr>
          <w:p>
            <w:pPr>
              <w:jc w:val="right"/>
              <w:ind w:right="530"/>
              <w:spacing w:after="0"/>
              <w:rPr>
                <w:sz w:val="20"/>
                <w:szCs w:val="20"/>
                <w:color w:val="auto"/>
              </w:rPr>
            </w:pPr>
            <w:r>
              <w:rPr>
                <w:rFonts w:ascii="Arial" w:cs="Arial" w:eastAsia="Arial" w:hAnsi="Arial"/>
                <w:sz w:val="14"/>
                <w:szCs w:val="14"/>
                <w:b w:val="1"/>
                <w:bCs w:val="1"/>
                <w:color w:val="auto"/>
                <w:w w:val="76"/>
              </w:rPr>
              <w:t>56</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7.4</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w w:val="92"/>
              </w:rPr>
              <w:t>Post Closing Requirements</w:t>
            </w:r>
          </w:p>
        </w:tc>
        <w:tc>
          <w:tcPr>
            <w:tcW w:w="66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4"/>
                <w:szCs w:val="14"/>
                <w:b w:val="1"/>
                <w:bCs w:val="1"/>
                <w:color w:val="auto"/>
              </w:rPr>
              <w:t>57</w:t>
            </w:r>
          </w:p>
        </w:tc>
        <w:tc>
          <w:tcPr>
            <w:tcW w:w="560" w:type="dxa"/>
            <w:vAlign w:val="bottom"/>
          </w:tcPr>
          <w:p>
            <w:pPr>
              <w:spacing w:after="0"/>
              <w:rPr>
                <w:sz w:val="24"/>
                <w:szCs w:val="24"/>
                <w:color w:val="auto"/>
              </w:rPr>
            </w:pPr>
          </w:p>
        </w:tc>
      </w:tr>
      <w:tr>
        <w:trPr>
          <w:trHeight w:val="30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ARTICLE 8 – REGULATORY MATTERS</w:t>
            </w:r>
          </w:p>
        </w:tc>
        <w:tc>
          <w:tcPr>
            <w:tcW w:w="1260" w:type="dxa"/>
            <w:vAlign w:val="bottom"/>
          </w:tcPr>
          <w:p>
            <w:pPr>
              <w:ind w:left="360"/>
              <w:spacing w:after="0"/>
              <w:rPr>
                <w:sz w:val="20"/>
                <w:szCs w:val="20"/>
                <w:color w:val="auto"/>
              </w:rPr>
            </w:pPr>
            <w:r>
              <w:rPr>
                <w:rFonts w:ascii="Arial" w:cs="Arial" w:eastAsia="Arial" w:hAnsi="Arial"/>
                <w:sz w:val="14"/>
                <w:szCs w:val="14"/>
                <w:b w:val="1"/>
                <w:bCs w:val="1"/>
                <w:color w:val="auto"/>
              </w:rPr>
              <w:t>57</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8.1</w:t>
            </w:r>
          </w:p>
        </w:tc>
        <w:tc>
          <w:tcPr>
            <w:tcW w:w="7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Reserved</w:t>
            </w:r>
          </w:p>
        </w:tc>
        <w:tc>
          <w:tcPr>
            <w:tcW w:w="740" w:type="dxa"/>
            <w:vAlign w:val="bottom"/>
          </w:tcPr>
          <w:p>
            <w:pPr>
              <w:jc w:val="right"/>
              <w:ind w:right="510"/>
              <w:spacing w:after="0"/>
              <w:rPr>
                <w:sz w:val="20"/>
                <w:szCs w:val="20"/>
                <w:color w:val="auto"/>
              </w:rPr>
            </w:pPr>
            <w:r>
              <w:rPr>
                <w:rFonts w:ascii="Arial" w:cs="Arial" w:eastAsia="Arial" w:hAnsi="Arial"/>
                <w:sz w:val="14"/>
                <w:szCs w:val="14"/>
                <w:b w:val="1"/>
                <w:bCs w:val="1"/>
                <w:color w:val="auto"/>
                <w:w w:val="89"/>
              </w:rPr>
              <w:t>57</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8.2</w:t>
            </w:r>
          </w:p>
        </w:tc>
        <w:tc>
          <w:tcPr>
            <w:tcW w:w="700" w:type="dxa"/>
            <w:vAlign w:val="bottom"/>
          </w:tcPr>
          <w:p>
            <w:pPr>
              <w:spacing w:after="0"/>
              <w:rPr>
                <w:sz w:val="24"/>
                <w:szCs w:val="24"/>
                <w:color w:val="auto"/>
              </w:rPr>
            </w:pPr>
          </w:p>
        </w:tc>
        <w:tc>
          <w:tcPr>
            <w:tcW w:w="2660" w:type="dxa"/>
            <w:vAlign w:val="bottom"/>
            <w:gridSpan w:val="3"/>
          </w:tcPr>
          <w:p>
            <w:pPr>
              <w:ind w:left="280"/>
              <w:spacing w:after="0"/>
              <w:rPr>
                <w:sz w:val="20"/>
                <w:szCs w:val="20"/>
                <w:color w:val="auto"/>
              </w:rPr>
            </w:pPr>
            <w:r>
              <w:rPr>
                <w:rFonts w:ascii="Arial" w:cs="Arial" w:eastAsia="Arial" w:hAnsi="Arial"/>
                <w:sz w:val="14"/>
                <w:szCs w:val="14"/>
                <w:b w:val="1"/>
                <w:bCs w:val="1"/>
                <w:color w:val="auto"/>
              </w:rPr>
              <w:t>Representations and Warranties</w:t>
            </w:r>
          </w:p>
        </w:tc>
        <w:tc>
          <w:tcPr>
            <w:tcW w:w="1320" w:type="dxa"/>
            <w:vAlign w:val="bottom"/>
          </w:tcPr>
          <w:p>
            <w:pPr>
              <w:jc w:val="right"/>
              <w:ind w:right="110"/>
              <w:spacing w:after="0"/>
              <w:rPr>
                <w:sz w:val="20"/>
                <w:szCs w:val="20"/>
                <w:color w:val="auto"/>
              </w:rPr>
            </w:pPr>
            <w:r>
              <w:rPr>
                <w:rFonts w:ascii="Arial" w:cs="Arial" w:eastAsia="Arial" w:hAnsi="Arial"/>
                <w:sz w:val="14"/>
                <w:szCs w:val="14"/>
                <w:b w:val="1"/>
                <w:bCs w:val="1"/>
                <w:color w:val="auto"/>
              </w:rPr>
              <w:t>57</w:t>
            </w: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8.3</w:t>
            </w:r>
          </w:p>
        </w:tc>
        <w:tc>
          <w:tcPr>
            <w:tcW w:w="70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Healthcare Operations</w:t>
            </w:r>
          </w:p>
        </w:tc>
        <w:tc>
          <w:tcPr>
            <w:tcW w:w="660" w:type="dxa"/>
            <w:vAlign w:val="bottom"/>
          </w:tcPr>
          <w:p>
            <w:pPr>
              <w:jc w:val="right"/>
              <w:ind w:right="350"/>
              <w:spacing w:after="0"/>
              <w:rPr>
                <w:sz w:val="20"/>
                <w:szCs w:val="20"/>
                <w:color w:val="auto"/>
              </w:rPr>
            </w:pPr>
            <w:r>
              <w:rPr>
                <w:rFonts w:ascii="Arial" w:cs="Arial" w:eastAsia="Arial" w:hAnsi="Arial"/>
                <w:sz w:val="14"/>
                <w:szCs w:val="14"/>
                <w:b w:val="1"/>
                <w:bCs w:val="1"/>
                <w:color w:val="auto"/>
              </w:rPr>
              <w:t>59</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6"/>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ARTICLE 9 - SECURITY AGREEMENT</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60</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9.1</w:t>
            </w:r>
          </w:p>
        </w:tc>
        <w:tc>
          <w:tcPr>
            <w:tcW w:w="700" w:type="dxa"/>
            <w:vAlign w:val="bottom"/>
          </w:tcPr>
          <w:p>
            <w:pPr>
              <w:spacing w:after="0"/>
              <w:rPr>
                <w:sz w:val="24"/>
                <w:szCs w:val="2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Generally</w:t>
            </w:r>
          </w:p>
        </w:tc>
        <w:tc>
          <w:tcPr>
            <w:tcW w:w="740" w:type="dxa"/>
            <w:vAlign w:val="bottom"/>
          </w:tcPr>
          <w:p>
            <w:pPr>
              <w:jc w:val="right"/>
              <w:ind w:right="470"/>
              <w:spacing w:after="0"/>
              <w:rPr>
                <w:sz w:val="20"/>
                <w:szCs w:val="20"/>
                <w:color w:val="auto"/>
              </w:rPr>
            </w:pPr>
            <w:r>
              <w:rPr>
                <w:rFonts w:ascii="Arial" w:cs="Arial" w:eastAsia="Arial" w:hAnsi="Arial"/>
                <w:sz w:val="14"/>
                <w:szCs w:val="14"/>
                <w:b w:val="1"/>
                <w:bCs w:val="1"/>
                <w:color w:val="auto"/>
              </w:rPr>
              <w:t>60</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9.2</w:t>
            </w:r>
          </w:p>
        </w:tc>
        <w:tc>
          <w:tcPr>
            <w:tcW w:w="700" w:type="dxa"/>
            <w:vAlign w:val="bottom"/>
          </w:tcPr>
          <w:p>
            <w:pPr>
              <w:spacing w:after="0"/>
              <w:rPr>
                <w:sz w:val="24"/>
                <w:szCs w:val="24"/>
                <w:color w:val="auto"/>
              </w:rPr>
            </w:pPr>
          </w:p>
        </w:tc>
        <w:tc>
          <w:tcPr>
            <w:tcW w:w="3980" w:type="dxa"/>
            <w:vAlign w:val="bottom"/>
            <w:gridSpan w:val="4"/>
          </w:tcPr>
          <w:p>
            <w:pPr>
              <w:ind w:left="280"/>
              <w:spacing w:after="0"/>
              <w:rPr>
                <w:sz w:val="20"/>
                <w:szCs w:val="20"/>
                <w:color w:val="auto"/>
              </w:rPr>
            </w:pPr>
            <w:r>
              <w:rPr>
                <w:rFonts w:ascii="Arial" w:cs="Arial" w:eastAsia="Arial" w:hAnsi="Arial"/>
                <w:sz w:val="14"/>
                <w:szCs w:val="14"/>
                <w:b w:val="1"/>
                <w:bCs w:val="1"/>
                <w:color w:val="auto"/>
                <w:w w:val="93"/>
              </w:rPr>
              <w:t>Representations and Warranties and Covenants Relating to</w:t>
            </w:r>
          </w:p>
        </w:tc>
        <w:tc>
          <w:tcPr>
            <w:tcW w:w="560" w:type="dxa"/>
            <w:vAlign w:val="bottom"/>
          </w:tcPr>
          <w:p>
            <w:pPr>
              <w:spacing w:after="0"/>
              <w:rPr>
                <w:sz w:val="24"/>
                <w:szCs w:val="24"/>
                <w:color w:val="auto"/>
              </w:rPr>
            </w:pPr>
          </w:p>
        </w:tc>
      </w:tr>
      <w:tr>
        <w:trPr>
          <w:trHeight w:val="183"/>
        </w:trPr>
        <w:tc>
          <w:tcPr>
            <w:tcW w:w="2680" w:type="dxa"/>
            <w:vAlign w:val="bottom"/>
            <w:gridSpan w:val="2"/>
          </w:tcPr>
          <w:p>
            <w:pPr>
              <w:ind w:left="1720"/>
              <w:spacing w:after="0"/>
              <w:rPr>
                <w:sz w:val="20"/>
                <w:szCs w:val="20"/>
                <w:color w:val="auto"/>
              </w:rPr>
            </w:pPr>
            <w:r>
              <w:rPr>
                <w:rFonts w:ascii="Arial" w:cs="Arial" w:eastAsia="Arial" w:hAnsi="Arial"/>
                <w:sz w:val="14"/>
                <w:szCs w:val="14"/>
                <w:b w:val="1"/>
                <w:bCs w:val="1"/>
                <w:color w:val="auto"/>
              </w:rPr>
              <w:t>Collateral</w:t>
            </w:r>
          </w:p>
        </w:tc>
        <w:tc>
          <w:tcPr>
            <w:tcW w:w="1260" w:type="dxa"/>
            <w:vAlign w:val="bottom"/>
          </w:tcPr>
          <w:p>
            <w:pPr>
              <w:ind w:left="100"/>
              <w:spacing w:after="0"/>
              <w:rPr>
                <w:sz w:val="20"/>
                <w:szCs w:val="20"/>
                <w:color w:val="auto"/>
              </w:rPr>
            </w:pPr>
            <w:r>
              <w:rPr>
                <w:rFonts w:ascii="Arial" w:cs="Arial" w:eastAsia="Arial" w:hAnsi="Arial"/>
                <w:sz w:val="14"/>
                <w:szCs w:val="14"/>
                <w:b w:val="1"/>
                <w:bCs w:val="1"/>
                <w:color w:val="auto"/>
              </w:rPr>
              <w:t>60</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0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ARTICLE 10 - EVENTS OF DEFAULT</w:t>
            </w:r>
          </w:p>
        </w:tc>
        <w:tc>
          <w:tcPr>
            <w:tcW w:w="1260" w:type="dxa"/>
            <w:vAlign w:val="bottom"/>
          </w:tcPr>
          <w:p>
            <w:pPr>
              <w:ind w:left="180"/>
              <w:spacing w:after="0"/>
              <w:rPr>
                <w:sz w:val="20"/>
                <w:szCs w:val="20"/>
                <w:color w:val="auto"/>
              </w:rPr>
            </w:pPr>
            <w:r>
              <w:rPr>
                <w:rFonts w:ascii="Arial" w:cs="Arial" w:eastAsia="Arial" w:hAnsi="Arial"/>
                <w:sz w:val="14"/>
                <w:szCs w:val="14"/>
                <w:b w:val="1"/>
                <w:bCs w:val="1"/>
                <w:color w:val="auto"/>
              </w:rPr>
              <w:t>64</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10.1</w:t>
            </w:r>
          </w:p>
        </w:tc>
        <w:tc>
          <w:tcPr>
            <w:tcW w:w="700" w:type="dxa"/>
            <w:vAlign w:val="bottom"/>
          </w:tcPr>
          <w:p>
            <w:pPr>
              <w:spacing w:after="0"/>
              <w:rPr>
                <w:sz w:val="24"/>
                <w:szCs w:val="24"/>
                <w:color w:val="auto"/>
              </w:rPr>
            </w:pPr>
          </w:p>
        </w:tc>
        <w:tc>
          <w:tcPr>
            <w:tcW w:w="2000" w:type="dxa"/>
            <w:vAlign w:val="bottom"/>
            <w:gridSpan w:val="2"/>
          </w:tcPr>
          <w:p>
            <w:pPr>
              <w:ind w:left="340"/>
              <w:spacing w:after="0"/>
              <w:rPr>
                <w:sz w:val="20"/>
                <w:szCs w:val="20"/>
                <w:color w:val="auto"/>
              </w:rPr>
            </w:pPr>
            <w:r>
              <w:rPr>
                <w:rFonts w:ascii="Arial" w:cs="Arial" w:eastAsia="Arial" w:hAnsi="Arial"/>
                <w:sz w:val="14"/>
                <w:szCs w:val="14"/>
                <w:b w:val="1"/>
                <w:bCs w:val="1"/>
                <w:color w:val="auto"/>
              </w:rPr>
              <w:t>Events of Default</w:t>
            </w:r>
          </w:p>
        </w:tc>
        <w:tc>
          <w:tcPr>
            <w:tcW w:w="660" w:type="dxa"/>
            <w:vAlign w:val="bottom"/>
          </w:tcPr>
          <w:p>
            <w:pPr>
              <w:spacing w:after="0"/>
              <w:rPr>
                <w:sz w:val="24"/>
                <w:szCs w:val="24"/>
                <w:color w:val="auto"/>
              </w:rPr>
            </w:pPr>
          </w:p>
        </w:tc>
        <w:tc>
          <w:tcPr>
            <w:tcW w:w="1320" w:type="dxa"/>
            <w:vAlign w:val="bottom"/>
          </w:tcPr>
          <w:p>
            <w:pPr>
              <w:jc w:val="right"/>
              <w:ind w:right="950"/>
              <w:spacing w:after="0"/>
              <w:rPr>
                <w:sz w:val="20"/>
                <w:szCs w:val="20"/>
                <w:color w:val="auto"/>
              </w:rPr>
            </w:pPr>
            <w:r>
              <w:rPr>
                <w:rFonts w:ascii="Arial" w:cs="Arial" w:eastAsia="Arial" w:hAnsi="Arial"/>
                <w:sz w:val="14"/>
                <w:szCs w:val="14"/>
                <w:b w:val="1"/>
                <w:bCs w:val="1"/>
                <w:color w:val="auto"/>
              </w:rPr>
              <w:t>64</w:t>
            </w:r>
          </w:p>
        </w:tc>
        <w:tc>
          <w:tcPr>
            <w:tcW w:w="560" w:type="dxa"/>
            <w:vAlign w:val="bottom"/>
          </w:tcPr>
          <w:p>
            <w:pPr>
              <w:spacing w:after="0"/>
              <w:rPr>
                <w:sz w:val="24"/>
                <w:szCs w:val="24"/>
                <w:color w:val="auto"/>
              </w:rPr>
            </w:pPr>
          </w:p>
        </w:tc>
      </w:tr>
      <w:tr>
        <w:trPr>
          <w:trHeight w:val="28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10.2</w:t>
            </w:r>
          </w:p>
        </w:tc>
        <w:tc>
          <w:tcPr>
            <w:tcW w:w="700" w:type="dxa"/>
            <w:vAlign w:val="bottom"/>
          </w:tcPr>
          <w:p>
            <w:pPr>
              <w:spacing w:after="0"/>
              <w:rPr>
                <w:sz w:val="24"/>
                <w:szCs w:val="24"/>
                <w:color w:val="auto"/>
              </w:rPr>
            </w:pPr>
          </w:p>
        </w:tc>
        <w:tc>
          <w:tcPr>
            <w:tcW w:w="3980" w:type="dxa"/>
            <w:vAlign w:val="bottom"/>
            <w:gridSpan w:val="4"/>
          </w:tcPr>
          <w:p>
            <w:pPr>
              <w:ind w:left="340"/>
              <w:spacing w:after="0"/>
              <w:rPr>
                <w:sz w:val="20"/>
                <w:szCs w:val="20"/>
                <w:color w:val="auto"/>
              </w:rPr>
            </w:pPr>
            <w:r>
              <w:rPr>
                <w:rFonts w:ascii="Arial" w:cs="Arial" w:eastAsia="Arial" w:hAnsi="Arial"/>
                <w:sz w:val="14"/>
                <w:szCs w:val="14"/>
                <w:b w:val="1"/>
                <w:bCs w:val="1"/>
                <w:color w:val="auto"/>
                <w:w w:val="92"/>
              </w:rPr>
              <w:t>Acceleration and Suspension or Termination of Term Loan</w:t>
            </w:r>
          </w:p>
        </w:tc>
        <w:tc>
          <w:tcPr>
            <w:tcW w:w="560" w:type="dxa"/>
            <w:vAlign w:val="bottom"/>
          </w:tcPr>
          <w:p>
            <w:pPr>
              <w:spacing w:after="0"/>
              <w:rPr>
                <w:sz w:val="24"/>
                <w:szCs w:val="24"/>
                <w:color w:val="auto"/>
              </w:rPr>
            </w:pPr>
          </w:p>
        </w:tc>
      </w:tr>
      <w:tr>
        <w:trPr>
          <w:trHeight w:val="183"/>
        </w:trPr>
        <w:tc>
          <w:tcPr>
            <w:tcW w:w="2680" w:type="dxa"/>
            <w:vAlign w:val="bottom"/>
            <w:gridSpan w:val="2"/>
          </w:tcPr>
          <w:p>
            <w:pPr>
              <w:ind w:left="1720"/>
              <w:spacing w:after="0"/>
              <w:rPr>
                <w:sz w:val="20"/>
                <w:szCs w:val="20"/>
                <w:color w:val="auto"/>
              </w:rPr>
            </w:pPr>
            <w:r>
              <w:rPr>
                <w:rFonts w:ascii="Arial" w:cs="Arial" w:eastAsia="Arial" w:hAnsi="Arial"/>
                <w:sz w:val="14"/>
                <w:szCs w:val="14"/>
                <w:b w:val="1"/>
                <w:bCs w:val="1"/>
                <w:color w:val="auto"/>
              </w:rPr>
              <w:t>Commitment</w:t>
            </w:r>
          </w:p>
        </w:tc>
        <w:tc>
          <w:tcPr>
            <w:tcW w:w="1260" w:type="dxa"/>
            <w:vAlign w:val="bottom"/>
          </w:tcPr>
          <w:p>
            <w:pPr>
              <w:ind w:left="300"/>
              <w:spacing w:after="0"/>
              <w:rPr>
                <w:sz w:val="20"/>
                <w:szCs w:val="20"/>
                <w:color w:val="auto"/>
              </w:rPr>
            </w:pPr>
            <w:r>
              <w:rPr>
                <w:rFonts w:ascii="Arial" w:cs="Arial" w:eastAsia="Arial" w:hAnsi="Arial"/>
                <w:sz w:val="14"/>
                <w:szCs w:val="14"/>
                <w:b w:val="1"/>
                <w:bCs w:val="1"/>
                <w:color w:val="auto"/>
              </w:rPr>
              <w:t>66</w:t>
            </w: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10.3</w:t>
            </w:r>
          </w:p>
        </w:tc>
        <w:tc>
          <w:tcPr>
            <w:tcW w:w="70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w w:val="89"/>
              </w:rPr>
              <w:t>UCC Remedies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jc w:val="right"/>
              <w:ind w:right="1070"/>
              <w:spacing w:after="0"/>
              <w:rPr>
                <w:sz w:val="20"/>
                <w:szCs w:val="20"/>
                <w:color w:val="auto"/>
              </w:rPr>
            </w:pPr>
            <w:r>
              <w:rPr>
                <w:rFonts w:ascii="Arial" w:cs="Arial" w:eastAsia="Arial" w:hAnsi="Arial"/>
                <w:sz w:val="14"/>
                <w:szCs w:val="14"/>
                <w:b w:val="1"/>
                <w:bCs w:val="1"/>
                <w:color w:val="auto"/>
              </w:rPr>
              <w:t>67</w:t>
            </w:r>
          </w:p>
        </w:tc>
        <w:tc>
          <w:tcPr>
            <w:tcW w:w="560" w:type="dxa"/>
            <w:vAlign w:val="bottom"/>
          </w:tcPr>
          <w:p>
            <w:pPr>
              <w:spacing w:after="0"/>
              <w:rPr>
                <w:sz w:val="24"/>
                <w:szCs w:val="24"/>
                <w:color w:val="auto"/>
              </w:rPr>
            </w:pPr>
          </w:p>
        </w:tc>
      </w:tr>
      <w:tr>
        <w:trPr>
          <w:trHeight w:val="31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10.4</w:t>
            </w:r>
          </w:p>
        </w:tc>
        <w:tc>
          <w:tcPr>
            <w:tcW w:w="700" w:type="dxa"/>
            <w:vAlign w:val="bottom"/>
          </w:tcPr>
          <w:p>
            <w:pPr>
              <w:spacing w:after="0"/>
              <w:rPr>
                <w:sz w:val="24"/>
                <w:szCs w:val="24"/>
                <w:color w:val="auto"/>
              </w:rPr>
            </w:pP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Reserved</w:t>
            </w:r>
          </w:p>
        </w:tc>
        <w:tc>
          <w:tcPr>
            <w:tcW w:w="740" w:type="dxa"/>
            <w:vAlign w:val="bottom"/>
          </w:tcPr>
          <w:p>
            <w:pPr>
              <w:jc w:val="right"/>
              <w:ind w:right="430"/>
              <w:spacing w:after="0"/>
              <w:rPr>
                <w:sz w:val="20"/>
                <w:szCs w:val="20"/>
                <w:color w:val="auto"/>
              </w:rPr>
            </w:pPr>
            <w:r>
              <w:rPr>
                <w:rFonts w:ascii="Arial" w:cs="Arial" w:eastAsia="Arial" w:hAnsi="Arial"/>
                <w:sz w:val="14"/>
                <w:szCs w:val="14"/>
                <w:b w:val="1"/>
                <w:bCs w:val="1"/>
                <w:color w:val="auto"/>
              </w:rPr>
              <w:t>68</w:t>
            </w: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5"/>
        </w:trPr>
        <w:tc>
          <w:tcPr>
            <w:tcW w:w="1980" w:type="dxa"/>
            <w:vAlign w:val="bottom"/>
          </w:tcPr>
          <w:p>
            <w:pPr>
              <w:ind w:left="860"/>
              <w:spacing w:after="0"/>
              <w:rPr>
                <w:sz w:val="20"/>
                <w:szCs w:val="20"/>
                <w:color w:val="auto"/>
              </w:rPr>
            </w:pPr>
            <w:r>
              <w:rPr>
                <w:rFonts w:ascii="Arial" w:cs="Arial" w:eastAsia="Arial" w:hAnsi="Arial"/>
                <w:sz w:val="14"/>
                <w:szCs w:val="14"/>
                <w:b w:val="1"/>
                <w:bCs w:val="1"/>
                <w:color w:val="auto"/>
              </w:rPr>
              <w:t>Section 10.5</w:t>
            </w:r>
          </w:p>
        </w:tc>
        <w:tc>
          <w:tcPr>
            <w:tcW w:w="700" w:type="dxa"/>
            <w:vAlign w:val="bottom"/>
          </w:tcPr>
          <w:p>
            <w:pPr>
              <w:spacing w:after="0"/>
              <w:rPr>
                <w:sz w:val="24"/>
                <w:szCs w:val="24"/>
                <w:color w:val="auto"/>
              </w:rPr>
            </w:pPr>
          </w:p>
        </w:tc>
        <w:tc>
          <w:tcPr>
            <w:tcW w:w="20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Default Rate of Interest</w:t>
            </w:r>
          </w:p>
        </w:tc>
        <w:tc>
          <w:tcPr>
            <w:tcW w:w="66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4"/>
                <w:szCs w:val="14"/>
                <w:b w:val="1"/>
                <w:bCs w:val="1"/>
                <w:color w:val="auto"/>
              </w:rPr>
              <w:t>68</w:t>
            </w:r>
          </w:p>
        </w:tc>
        <w:tc>
          <w:tcPr>
            <w:tcW w:w="560" w:type="dxa"/>
            <w:vAlign w:val="bottom"/>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420"/>
          </w:cols>
          <w:pgMar w:left="240" w:top="161" w:right="1239" w:bottom="1440" w:gutter="0" w:footer="0" w:header="0"/>
        </w:sectPr>
      </w:pPr>
    </w:p>
    <w:bookmarkStart w:id="60" w:name="page61"/>
    <w:bookmarkEnd w:id="60"/>
    <w:tbl>
      <w:tblPr>
        <w:tblLayout w:type="fixed"/>
        <w:tblInd w:w="140" w:type="dxa"/>
        <w:tblCellMar>
          <w:top w:w="0" w:type="dxa"/>
          <w:left w:w="0" w:type="dxa"/>
          <w:bottom w:w="0" w:type="dxa"/>
          <w:right w:w="0" w:type="dxa"/>
        </w:tblCellMar>
      </w:tblPr>
      <w:tr>
        <w:trPr>
          <w:trHeight w:val="183"/>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10.6</w:t>
            </w:r>
          </w:p>
        </w:tc>
        <w:tc>
          <w:tcPr>
            <w:tcW w:w="110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Setoff Rights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jc w:val="right"/>
              <w:ind w:right="1370"/>
              <w:spacing w:after="0"/>
              <w:rPr>
                <w:sz w:val="20"/>
                <w:szCs w:val="20"/>
                <w:color w:val="auto"/>
              </w:rPr>
            </w:pPr>
            <w:r>
              <w:rPr>
                <w:rFonts w:ascii="Arial" w:cs="Arial" w:eastAsia="Arial" w:hAnsi="Arial"/>
                <w:sz w:val="14"/>
                <w:szCs w:val="14"/>
                <w:b w:val="1"/>
                <w:bCs w:val="1"/>
                <w:color w:val="auto"/>
              </w:rPr>
              <w:t>69</w:t>
            </w:r>
          </w:p>
        </w:tc>
        <w:tc>
          <w:tcPr>
            <w:tcW w:w="1520" w:type="dxa"/>
            <w:vAlign w:val="bottom"/>
          </w:tcPr>
          <w:p>
            <w:pPr>
              <w:spacing w:after="0"/>
              <w:rPr>
                <w:sz w:val="15"/>
                <w:szCs w:val="15"/>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10.7</w:t>
            </w:r>
          </w:p>
        </w:tc>
        <w:tc>
          <w:tcPr>
            <w:tcW w:w="1100" w:type="dxa"/>
            <w:vAlign w:val="bottom"/>
          </w:tcPr>
          <w:p>
            <w:pPr>
              <w:spacing w:after="0"/>
              <w:rPr>
                <w:sz w:val="24"/>
                <w:szCs w:val="2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b w:val="1"/>
                <w:bCs w:val="1"/>
                <w:color w:val="auto"/>
              </w:rPr>
              <w:t>Application of Proceeds</w:t>
            </w:r>
          </w:p>
        </w:tc>
        <w:tc>
          <w:tcPr>
            <w:tcW w:w="1640" w:type="dxa"/>
            <w:vAlign w:val="bottom"/>
          </w:tcPr>
          <w:p>
            <w:pPr>
              <w:jc w:val="right"/>
              <w:ind w:right="710"/>
              <w:spacing w:after="0"/>
              <w:rPr>
                <w:sz w:val="20"/>
                <w:szCs w:val="20"/>
                <w:color w:val="auto"/>
              </w:rPr>
            </w:pPr>
            <w:r>
              <w:rPr>
                <w:rFonts w:ascii="Arial" w:cs="Arial" w:eastAsia="Arial" w:hAnsi="Arial"/>
                <w:sz w:val="14"/>
                <w:szCs w:val="14"/>
                <w:b w:val="1"/>
                <w:bCs w:val="1"/>
                <w:color w:val="auto"/>
              </w:rPr>
              <w:t>69</w:t>
            </w:r>
          </w:p>
        </w:tc>
        <w:tc>
          <w:tcPr>
            <w:tcW w:w="1520" w:type="dxa"/>
            <w:vAlign w:val="bottom"/>
          </w:tcPr>
          <w:p>
            <w:pPr>
              <w:spacing w:after="0"/>
              <w:rPr>
                <w:sz w:val="24"/>
                <w:szCs w:val="24"/>
                <w:color w:val="auto"/>
              </w:rPr>
            </w:pPr>
          </w:p>
        </w:tc>
      </w:tr>
      <w:tr>
        <w:trPr>
          <w:trHeight w:val="30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10.8</w:t>
            </w:r>
          </w:p>
        </w:tc>
        <w:tc>
          <w:tcPr>
            <w:tcW w:w="110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Waivers</w:t>
            </w:r>
          </w:p>
        </w:tc>
        <w:tc>
          <w:tcPr>
            <w:tcW w:w="1200" w:type="dxa"/>
            <w:vAlign w:val="bottom"/>
            <w:gridSpan w:val="2"/>
          </w:tcPr>
          <w:p>
            <w:pPr>
              <w:jc w:val="right"/>
              <w:ind w:right="990"/>
              <w:spacing w:after="0"/>
              <w:rPr>
                <w:sz w:val="20"/>
                <w:szCs w:val="20"/>
                <w:color w:val="auto"/>
              </w:rPr>
            </w:pPr>
            <w:r>
              <w:rPr>
                <w:rFonts w:ascii="Arial" w:cs="Arial" w:eastAsia="Arial" w:hAnsi="Arial"/>
                <w:sz w:val="14"/>
                <w:szCs w:val="14"/>
                <w:b w:val="1"/>
                <w:bCs w:val="1"/>
                <w:color w:val="auto"/>
                <w:w w:val="76"/>
              </w:rPr>
              <w:t>70</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10.9</w:t>
            </w:r>
          </w:p>
        </w:tc>
        <w:tc>
          <w:tcPr>
            <w:tcW w:w="110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w w:val="98"/>
              </w:rPr>
              <w:t>Injunctive Relief</w:t>
            </w:r>
          </w:p>
        </w:tc>
        <w:tc>
          <w:tcPr>
            <w:tcW w:w="1080" w:type="dxa"/>
            <w:vAlign w:val="bottom"/>
          </w:tcPr>
          <w:p>
            <w:pPr>
              <w:jc w:val="right"/>
              <w:ind w:right="490"/>
              <w:spacing w:after="0"/>
              <w:rPr>
                <w:sz w:val="20"/>
                <w:szCs w:val="20"/>
                <w:color w:val="auto"/>
              </w:rPr>
            </w:pPr>
            <w:r>
              <w:rPr>
                <w:rFonts w:ascii="Arial" w:cs="Arial" w:eastAsia="Arial" w:hAnsi="Arial"/>
                <w:sz w:val="14"/>
                <w:szCs w:val="14"/>
                <w:b w:val="1"/>
                <w:bCs w:val="1"/>
                <w:color w:val="auto"/>
              </w:rPr>
              <w:t>71</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10.10</w:t>
            </w:r>
          </w:p>
        </w:tc>
        <w:tc>
          <w:tcPr>
            <w:tcW w:w="1100" w:type="dxa"/>
            <w:vAlign w:val="bottom"/>
          </w:tcPr>
          <w:p>
            <w:pPr>
              <w:spacing w:after="0"/>
              <w:rPr>
                <w:sz w:val="24"/>
                <w:szCs w:val="24"/>
                <w:color w:val="auto"/>
              </w:rPr>
            </w:pPr>
          </w:p>
        </w:tc>
        <w:tc>
          <w:tcPr>
            <w:tcW w:w="240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Marshalling; Payments Set Aside</w:t>
            </w:r>
          </w:p>
        </w:tc>
        <w:tc>
          <w:tcPr>
            <w:tcW w:w="1640" w:type="dxa"/>
            <w:vAlign w:val="bottom"/>
          </w:tcPr>
          <w:p>
            <w:pPr>
              <w:jc w:val="right"/>
              <w:ind w:right="70"/>
              <w:spacing w:after="0"/>
              <w:rPr>
                <w:sz w:val="20"/>
                <w:szCs w:val="20"/>
                <w:color w:val="auto"/>
              </w:rPr>
            </w:pPr>
            <w:r>
              <w:rPr>
                <w:rFonts w:ascii="Arial" w:cs="Arial" w:eastAsia="Arial" w:hAnsi="Arial"/>
                <w:sz w:val="14"/>
                <w:szCs w:val="14"/>
                <w:b w:val="1"/>
                <w:bCs w:val="1"/>
                <w:color w:val="auto"/>
              </w:rPr>
              <w:t>71</w:t>
            </w:r>
          </w:p>
        </w:tc>
        <w:tc>
          <w:tcPr>
            <w:tcW w:w="1520" w:type="dxa"/>
            <w:vAlign w:val="bottom"/>
          </w:tcPr>
          <w:p>
            <w:pPr>
              <w:spacing w:after="0"/>
              <w:rPr>
                <w:sz w:val="24"/>
                <w:szCs w:val="24"/>
                <w:color w:val="auto"/>
              </w:rPr>
            </w:pPr>
          </w:p>
        </w:tc>
      </w:tr>
      <w:tr>
        <w:trPr>
          <w:trHeight w:val="315"/>
        </w:trPr>
        <w:tc>
          <w:tcPr>
            <w:tcW w:w="1680" w:type="dxa"/>
            <w:vAlign w:val="bottom"/>
          </w:tcPr>
          <w:p>
            <w:pPr>
              <w:spacing w:after="0"/>
              <w:rPr>
                <w:sz w:val="20"/>
                <w:szCs w:val="20"/>
                <w:color w:val="auto"/>
              </w:rPr>
            </w:pPr>
            <w:r>
              <w:rPr>
                <w:rFonts w:ascii="Arial" w:cs="Arial" w:eastAsia="Arial" w:hAnsi="Arial"/>
                <w:sz w:val="14"/>
                <w:szCs w:val="14"/>
                <w:b w:val="1"/>
                <w:bCs w:val="1"/>
                <w:color w:val="auto"/>
              </w:rPr>
              <w:t>ARTICLE 11 - AGENT</w:t>
            </w:r>
          </w:p>
        </w:tc>
        <w:tc>
          <w:tcPr>
            <w:tcW w:w="1100" w:type="dxa"/>
            <w:vAlign w:val="bottom"/>
          </w:tcPr>
          <w:p>
            <w:pPr>
              <w:jc w:val="right"/>
              <w:ind w:right="690"/>
              <w:spacing w:after="0"/>
              <w:rPr>
                <w:sz w:val="20"/>
                <w:szCs w:val="20"/>
                <w:color w:val="auto"/>
              </w:rPr>
            </w:pPr>
            <w:r>
              <w:rPr>
                <w:rFonts w:ascii="Arial" w:cs="Arial" w:eastAsia="Arial" w:hAnsi="Arial"/>
                <w:sz w:val="14"/>
                <w:szCs w:val="14"/>
                <w:b w:val="1"/>
                <w:bCs w:val="1"/>
                <w:color w:val="auto"/>
              </w:rPr>
              <w:t>72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6"/>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11.1</w:t>
            </w:r>
          </w:p>
        </w:tc>
        <w:tc>
          <w:tcPr>
            <w:tcW w:w="1100" w:type="dxa"/>
            <w:vAlign w:val="bottom"/>
          </w:tcPr>
          <w:p>
            <w:pPr>
              <w:spacing w:after="0"/>
              <w:rPr>
                <w:sz w:val="24"/>
                <w:szCs w:val="2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b w:val="1"/>
                <w:bCs w:val="1"/>
                <w:color w:val="auto"/>
              </w:rPr>
              <w:t>Appointment and Authorization</w:t>
            </w:r>
          </w:p>
        </w:tc>
        <w:tc>
          <w:tcPr>
            <w:tcW w:w="1640" w:type="dxa"/>
            <w:vAlign w:val="bottom"/>
          </w:tcPr>
          <w:p>
            <w:pPr>
              <w:jc w:val="right"/>
              <w:ind w:right="210"/>
              <w:spacing w:after="0"/>
              <w:rPr>
                <w:sz w:val="20"/>
                <w:szCs w:val="20"/>
                <w:color w:val="auto"/>
              </w:rPr>
            </w:pPr>
            <w:r>
              <w:rPr>
                <w:rFonts w:ascii="Arial" w:cs="Arial" w:eastAsia="Arial" w:hAnsi="Arial"/>
                <w:sz w:val="14"/>
                <w:szCs w:val="14"/>
                <w:b w:val="1"/>
                <w:bCs w:val="1"/>
                <w:color w:val="auto"/>
              </w:rPr>
              <w:t>72</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11.2</w:t>
            </w:r>
          </w:p>
        </w:tc>
        <w:tc>
          <w:tcPr>
            <w:tcW w:w="1100" w:type="dxa"/>
            <w:vAlign w:val="bottom"/>
          </w:tcPr>
          <w:p>
            <w:pPr>
              <w:spacing w:after="0"/>
              <w:rPr>
                <w:sz w:val="24"/>
                <w:szCs w:val="2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b w:val="1"/>
                <w:bCs w:val="1"/>
                <w:color w:val="auto"/>
              </w:rPr>
              <w:t>Agent and Affiliates</w:t>
            </w:r>
          </w:p>
        </w:tc>
        <w:tc>
          <w:tcPr>
            <w:tcW w:w="1640" w:type="dxa"/>
            <w:vAlign w:val="bottom"/>
          </w:tcPr>
          <w:p>
            <w:pPr>
              <w:jc w:val="right"/>
              <w:ind w:right="950"/>
              <w:spacing w:after="0"/>
              <w:rPr>
                <w:sz w:val="20"/>
                <w:szCs w:val="20"/>
                <w:color w:val="auto"/>
              </w:rPr>
            </w:pPr>
            <w:r>
              <w:rPr>
                <w:rFonts w:ascii="Arial" w:cs="Arial" w:eastAsia="Arial" w:hAnsi="Arial"/>
                <w:sz w:val="14"/>
                <w:szCs w:val="14"/>
                <w:b w:val="1"/>
                <w:bCs w:val="1"/>
                <w:color w:val="auto"/>
              </w:rPr>
              <w:t>72</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11.3</w:t>
            </w:r>
          </w:p>
        </w:tc>
        <w:tc>
          <w:tcPr>
            <w:tcW w:w="110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w w:val="98"/>
              </w:rPr>
              <w:t>Action by Agent</w:t>
            </w:r>
          </w:p>
        </w:tc>
        <w:tc>
          <w:tcPr>
            <w:tcW w:w="1080" w:type="dxa"/>
            <w:vAlign w:val="bottom"/>
          </w:tcPr>
          <w:p>
            <w:pPr>
              <w:spacing w:after="0"/>
              <w:rPr>
                <w:sz w:val="24"/>
                <w:szCs w:val="24"/>
                <w:color w:val="auto"/>
              </w:rPr>
            </w:pPr>
          </w:p>
        </w:tc>
        <w:tc>
          <w:tcPr>
            <w:tcW w:w="1640" w:type="dxa"/>
            <w:vAlign w:val="bottom"/>
          </w:tcPr>
          <w:p>
            <w:pPr>
              <w:jc w:val="right"/>
              <w:ind w:right="1170"/>
              <w:spacing w:after="0"/>
              <w:rPr>
                <w:sz w:val="20"/>
                <w:szCs w:val="20"/>
                <w:color w:val="auto"/>
              </w:rPr>
            </w:pPr>
            <w:r>
              <w:rPr>
                <w:rFonts w:ascii="Arial" w:cs="Arial" w:eastAsia="Arial" w:hAnsi="Arial"/>
                <w:sz w:val="14"/>
                <w:szCs w:val="14"/>
                <w:b w:val="1"/>
                <w:bCs w:val="1"/>
                <w:color w:val="auto"/>
              </w:rPr>
              <w:t>72</w:t>
            </w:r>
          </w:p>
        </w:tc>
        <w:tc>
          <w:tcPr>
            <w:tcW w:w="1520" w:type="dxa"/>
            <w:vAlign w:val="bottom"/>
          </w:tcPr>
          <w:p>
            <w:pPr>
              <w:spacing w:after="0"/>
              <w:rPr>
                <w:sz w:val="24"/>
                <w:szCs w:val="24"/>
                <w:color w:val="auto"/>
              </w:rPr>
            </w:pPr>
          </w:p>
        </w:tc>
      </w:tr>
      <w:tr>
        <w:trPr>
          <w:trHeight w:val="30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11.4</w:t>
            </w:r>
          </w:p>
        </w:tc>
        <w:tc>
          <w:tcPr>
            <w:tcW w:w="1100" w:type="dxa"/>
            <w:vAlign w:val="bottom"/>
          </w:tcPr>
          <w:p>
            <w:pPr>
              <w:spacing w:after="0"/>
              <w:rPr>
                <w:sz w:val="24"/>
                <w:szCs w:val="2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b w:val="1"/>
                <w:bCs w:val="1"/>
                <w:color w:val="auto"/>
              </w:rPr>
              <w:t>Consultation with Experts</w:t>
            </w:r>
          </w:p>
        </w:tc>
        <w:tc>
          <w:tcPr>
            <w:tcW w:w="1640" w:type="dxa"/>
            <w:vAlign w:val="bottom"/>
          </w:tcPr>
          <w:p>
            <w:pPr>
              <w:jc w:val="right"/>
              <w:ind w:right="570"/>
              <w:spacing w:after="0"/>
              <w:rPr>
                <w:sz w:val="20"/>
                <w:szCs w:val="20"/>
                <w:color w:val="auto"/>
              </w:rPr>
            </w:pPr>
            <w:r>
              <w:rPr>
                <w:rFonts w:ascii="Arial" w:cs="Arial" w:eastAsia="Arial" w:hAnsi="Arial"/>
                <w:sz w:val="14"/>
                <w:szCs w:val="14"/>
                <w:b w:val="1"/>
                <w:bCs w:val="1"/>
                <w:color w:val="auto"/>
              </w:rPr>
              <w:t>72</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11.5</w:t>
            </w:r>
          </w:p>
        </w:tc>
        <w:tc>
          <w:tcPr>
            <w:tcW w:w="110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w w:val="93"/>
              </w:rPr>
              <w:t>Liability of Agent</w:t>
            </w:r>
          </w:p>
        </w:tc>
        <w:tc>
          <w:tcPr>
            <w:tcW w:w="1080" w:type="dxa"/>
            <w:vAlign w:val="bottom"/>
          </w:tcPr>
          <w:p>
            <w:pPr>
              <w:spacing w:after="0"/>
              <w:rPr>
                <w:sz w:val="24"/>
                <w:szCs w:val="24"/>
                <w:color w:val="auto"/>
              </w:rPr>
            </w:pPr>
          </w:p>
        </w:tc>
        <w:tc>
          <w:tcPr>
            <w:tcW w:w="1640" w:type="dxa"/>
            <w:vAlign w:val="bottom"/>
          </w:tcPr>
          <w:p>
            <w:pPr>
              <w:jc w:val="right"/>
              <w:ind w:right="1090"/>
              <w:spacing w:after="0"/>
              <w:rPr>
                <w:sz w:val="20"/>
                <w:szCs w:val="20"/>
                <w:color w:val="auto"/>
              </w:rPr>
            </w:pPr>
            <w:r>
              <w:rPr>
                <w:rFonts w:ascii="Arial" w:cs="Arial" w:eastAsia="Arial" w:hAnsi="Arial"/>
                <w:sz w:val="14"/>
                <w:szCs w:val="14"/>
                <w:b w:val="1"/>
                <w:bCs w:val="1"/>
                <w:color w:val="auto"/>
              </w:rPr>
              <w:t>72</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11.6</w:t>
            </w:r>
          </w:p>
        </w:tc>
        <w:tc>
          <w:tcPr>
            <w:tcW w:w="110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w w:val="90"/>
              </w:rPr>
              <w:t>Indemnification</w:t>
            </w:r>
          </w:p>
        </w:tc>
        <w:tc>
          <w:tcPr>
            <w:tcW w:w="120" w:type="dxa"/>
            <w:vAlign w:val="bottom"/>
          </w:tcPr>
          <w:p>
            <w:pPr>
              <w:spacing w:after="0"/>
              <w:rPr>
                <w:sz w:val="24"/>
                <w:szCs w:val="24"/>
                <w:color w:val="auto"/>
              </w:rPr>
            </w:pPr>
          </w:p>
        </w:tc>
        <w:tc>
          <w:tcPr>
            <w:tcW w:w="1080" w:type="dxa"/>
            <w:vAlign w:val="bottom"/>
          </w:tcPr>
          <w:p>
            <w:pPr>
              <w:jc w:val="right"/>
              <w:ind w:right="530"/>
              <w:spacing w:after="0"/>
              <w:rPr>
                <w:sz w:val="20"/>
                <w:szCs w:val="20"/>
                <w:color w:val="auto"/>
              </w:rPr>
            </w:pPr>
            <w:r>
              <w:rPr>
                <w:rFonts w:ascii="Arial" w:cs="Arial" w:eastAsia="Arial" w:hAnsi="Arial"/>
                <w:sz w:val="14"/>
                <w:szCs w:val="14"/>
                <w:b w:val="1"/>
                <w:bCs w:val="1"/>
                <w:color w:val="auto"/>
              </w:rPr>
              <w:t>73</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11.7</w:t>
            </w:r>
          </w:p>
        </w:tc>
        <w:tc>
          <w:tcPr>
            <w:tcW w:w="1100" w:type="dxa"/>
            <w:vAlign w:val="bottom"/>
          </w:tcPr>
          <w:p>
            <w:pPr>
              <w:spacing w:after="0"/>
              <w:rPr>
                <w:sz w:val="24"/>
                <w:szCs w:val="24"/>
                <w:color w:val="auto"/>
              </w:rPr>
            </w:pPr>
          </w:p>
        </w:tc>
        <w:tc>
          <w:tcPr>
            <w:tcW w:w="4040" w:type="dxa"/>
            <w:vAlign w:val="bottom"/>
            <w:gridSpan w:val="4"/>
          </w:tcPr>
          <w:p>
            <w:pPr>
              <w:ind w:left="240"/>
              <w:spacing w:after="0"/>
              <w:rPr>
                <w:sz w:val="20"/>
                <w:szCs w:val="20"/>
                <w:color w:val="auto"/>
              </w:rPr>
            </w:pPr>
            <w:r>
              <w:rPr>
                <w:rFonts w:ascii="Arial" w:cs="Arial" w:eastAsia="Arial" w:hAnsi="Arial"/>
                <w:sz w:val="14"/>
                <w:szCs w:val="14"/>
                <w:b w:val="1"/>
                <w:bCs w:val="1"/>
                <w:color w:val="auto"/>
              </w:rPr>
              <w:t>Right to Request and Act on Instructions</w:t>
            </w:r>
          </w:p>
        </w:tc>
        <w:tc>
          <w:tcPr>
            <w:tcW w:w="1520" w:type="dxa"/>
            <w:vAlign w:val="bottom"/>
          </w:tcPr>
          <w:p>
            <w:pPr>
              <w:jc w:val="right"/>
              <w:ind w:right="1210"/>
              <w:spacing w:after="0"/>
              <w:rPr>
                <w:sz w:val="20"/>
                <w:szCs w:val="20"/>
                <w:color w:val="auto"/>
              </w:rPr>
            </w:pPr>
            <w:r>
              <w:rPr>
                <w:rFonts w:ascii="Arial" w:cs="Arial" w:eastAsia="Arial" w:hAnsi="Arial"/>
                <w:sz w:val="14"/>
                <w:szCs w:val="14"/>
                <w:b w:val="1"/>
                <w:bCs w:val="1"/>
                <w:color w:val="auto"/>
              </w:rPr>
              <w:t>73</w:t>
            </w: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11.8</w:t>
            </w:r>
          </w:p>
        </w:tc>
        <w:tc>
          <w:tcPr>
            <w:tcW w:w="110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4"/>
                <w:szCs w:val="14"/>
                <w:b w:val="1"/>
                <w:bCs w:val="1"/>
                <w:color w:val="auto"/>
                <w:w w:val="91"/>
              </w:rPr>
              <w:t>Credit Decision</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jc w:val="right"/>
              <w:ind w:right="1210"/>
              <w:spacing w:after="0"/>
              <w:rPr>
                <w:sz w:val="20"/>
                <w:szCs w:val="20"/>
                <w:color w:val="auto"/>
              </w:rPr>
            </w:pPr>
            <w:r>
              <w:rPr>
                <w:rFonts w:ascii="Arial" w:cs="Arial" w:eastAsia="Arial" w:hAnsi="Arial"/>
                <w:sz w:val="14"/>
                <w:szCs w:val="14"/>
                <w:b w:val="1"/>
                <w:bCs w:val="1"/>
                <w:color w:val="auto"/>
              </w:rPr>
              <w:t>73</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97"/>
              </w:rPr>
              <w:t>Section 11.9</w:t>
            </w:r>
          </w:p>
        </w:tc>
        <w:tc>
          <w:tcPr>
            <w:tcW w:w="1100" w:type="dxa"/>
            <w:vAlign w:val="bottom"/>
          </w:tcPr>
          <w:p>
            <w:pPr>
              <w:spacing w:after="0"/>
              <w:rPr>
                <w:sz w:val="24"/>
                <w:szCs w:val="24"/>
                <w:color w:val="auto"/>
              </w:rPr>
            </w:pPr>
          </w:p>
        </w:tc>
        <w:tc>
          <w:tcPr>
            <w:tcW w:w="2400" w:type="dxa"/>
            <w:vAlign w:val="bottom"/>
            <w:gridSpan w:val="3"/>
          </w:tcPr>
          <w:p>
            <w:pPr>
              <w:ind w:left="240"/>
              <w:spacing w:after="0"/>
              <w:rPr>
                <w:sz w:val="20"/>
                <w:szCs w:val="20"/>
                <w:color w:val="auto"/>
              </w:rPr>
            </w:pPr>
            <w:r>
              <w:rPr>
                <w:rFonts w:ascii="Arial" w:cs="Arial" w:eastAsia="Arial" w:hAnsi="Arial"/>
                <w:sz w:val="14"/>
                <w:szCs w:val="14"/>
                <w:b w:val="1"/>
                <w:bCs w:val="1"/>
                <w:color w:val="auto"/>
              </w:rPr>
              <w:t>Collateral Matters</w:t>
            </w:r>
          </w:p>
        </w:tc>
        <w:tc>
          <w:tcPr>
            <w:tcW w:w="1640" w:type="dxa"/>
            <w:vAlign w:val="bottom"/>
          </w:tcPr>
          <w:p>
            <w:pPr>
              <w:jc w:val="right"/>
              <w:ind w:right="1030"/>
              <w:spacing w:after="0"/>
              <w:rPr>
                <w:sz w:val="20"/>
                <w:szCs w:val="20"/>
                <w:color w:val="auto"/>
              </w:rPr>
            </w:pPr>
            <w:r>
              <w:rPr>
                <w:rFonts w:ascii="Arial" w:cs="Arial" w:eastAsia="Arial" w:hAnsi="Arial"/>
                <w:sz w:val="14"/>
                <w:szCs w:val="14"/>
                <w:b w:val="1"/>
                <w:bCs w:val="1"/>
                <w:color w:val="auto"/>
              </w:rPr>
              <w:t>73</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11.10</w:t>
            </w:r>
          </w:p>
        </w:tc>
        <w:tc>
          <w:tcPr>
            <w:tcW w:w="1100" w:type="dxa"/>
            <w:vAlign w:val="bottom"/>
          </w:tcPr>
          <w:p>
            <w:pPr>
              <w:spacing w:after="0"/>
              <w:rPr>
                <w:sz w:val="24"/>
                <w:szCs w:val="24"/>
                <w:color w:val="auto"/>
              </w:rPr>
            </w:pPr>
          </w:p>
        </w:tc>
        <w:tc>
          <w:tcPr>
            <w:tcW w:w="2400" w:type="dxa"/>
            <w:vAlign w:val="bottom"/>
            <w:gridSpan w:val="3"/>
          </w:tcPr>
          <w:p>
            <w:pPr>
              <w:ind w:left="300"/>
              <w:spacing w:after="0"/>
              <w:rPr>
                <w:sz w:val="20"/>
                <w:szCs w:val="20"/>
                <w:color w:val="auto"/>
              </w:rPr>
            </w:pPr>
            <w:r>
              <w:rPr>
                <w:rFonts w:ascii="Arial" w:cs="Arial" w:eastAsia="Arial" w:hAnsi="Arial"/>
                <w:sz w:val="14"/>
                <w:szCs w:val="14"/>
                <w:b w:val="1"/>
                <w:bCs w:val="1"/>
                <w:color w:val="auto"/>
              </w:rPr>
              <w:t>Agency for Perfection</w:t>
            </w:r>
          </w:p>
        </w:tc>
        <w:tc>
          <w:tcPr>
            <w:tcW w:w="1640" w:type="dxa"/>
            <w:vAlign w:val="bottom"/>
          </w:tcPr>
          <w:p>
            <w:pPr>
              <w:jc w:val="right"/>
              <w:ind w:right="770"/>
              <w:spacing w:after="0"/>
              <w:rPr>
                <w:sz w:val="20"/>
                <w:szCs w:val="20"/>
                <w:color w:val="auto"/>
              </w:rPr>
            </w:pPr>
            <w:r>
              <w:rPr>
                <w:rFonts w:ascii="Arial" w:cs="Arial" w:eastAsia="Arial" w:hAnsi="Arial"/>
                <w:sz w:val="14"/>
                <w:szCs w:val="14"/>
                <w:b w:val="1"/>
                <w:bCs w:val="1"/>
                <w:color w:val="auto"/>
              </w:rPr>
              <w:t>74</w:t>
            </w:r>
          </w:p>
        </w:tc>
        <w:tc>
          <w:tcPr>
            <w:tcW w:w="1520" w:type="dxa"/>
            <w:vAlign w:val="bottom"/>
          </w:tcPr>
          <w:p>
            <w:pPr>
              <w:spacing w:after="0"/>
              <w:rPr>
                <w:sz w:val="24"/>
                <w:szCs w:val="24"/>
                <w:color w:val="auto"/>
              </w:rPr>
            </w:pPr>
          </w:p>
        </w:tc>
      </w:tr>
      <w:tr>
        <w:trPr>
          <w:trHeight w:val="296"/>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11.11</w:t>
            </w:r>
          </w:p>
        </w:tc>
        <w:tc>
          <w:tcPr>
            <w:tcW w:w="1100" w:type="dxa"/>
            <w:vAlign w:val="bottom"/>
          </w:tcPr>
          <w:p>
            <w:pPr>
              <w:spacing w:after="0"/>
              <w:rPr>
                <w:sz w:val="24"/>
                <w:szCs w:val="2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w w:val="89"/>
              </w:rPr>
              <w:t>Notice of Default</w:t>
            </w:r>
          </w:p>
        </w:tc>
        <w:tc>
          <w:tcPr>
            <w:tcW w:w="1080" w:type="dxa"/>
            <w:vAlign w:val="bottom"/>
          </w:tcPr>
          <w:p>
            <w:pPr>
              <w:spacing w:after="0"/>
              <w:rPr>
                <w:sz w:val="24"/>
                <w:szCs w:val="24"/>
                <w:color w:val="auto"/>
              </w:rPr>
            </w:pPr>
          </w:p>
        </w:tc>
        <w:tc>
          <w:tcPr>
            <w:tcW w:w="1640" w:type="dxa"/>
            <w:vAlign w:val="bottom"/>
          </w:tcPr>
          <w:p>
            <w:pPr>
              <w:jc w:val="right"/>
              <w:ind w:right="1070"/>
              <w:spacing w:after="0"/>
              <w:rPr>
                <w:sz w:val="20"/>
                <w:szCs w:val="20"/>
                <w:color w:val="auto"/>
              </w:rPr>
            </w:pPr>
            <w:r>
              <w:rPr>
                <w:rFonts w:ascii="Arial" w:cs="Arial" w:eastAsia="Arial" w:hAnsi="Arial"/>
                <w:sz w:val="14"/>
                <w:szCs w:val="14"/>
                <w:b w:val="1"/>
                <w:bCs w:val="1"/>
                <w:color w:val="auto"/>
              </w:rPr>
              <w:t>74</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11.12</w:t>
            </w:r>
          </w:p>
        </w:tc>
        <w:tc>
          <w:tcPr>
            <w:tcW w:w="1100" w:type="dxa"/>
            <w:vAlign w:val="bottom"/>
          </w:tcPr>
          <w:p>
            <w:pPr>
              <w:spacing w:after="0"/>
              <w:rPr>
                <w:sz w:val="24"/>
                <w:szCs w:val="24"/>
                <w:color w:val="auto"/>
              </w:rPr>
            </w:pPr>
          </w:p>
        </w:tc>
        <w:tc>
          <w:tcPr>
            <w:tcW w:w="4040" w:type="dxa"/>
            <w:vAlign w:val="bottom"/>
            <w:gridSpan w:val="4"/>
          </w:tcPr>
          <w:p>
            <w:pPr>
              <w:ind w:left="300"/>
              <w:spacing w:after="0"/>
              <w:rPr>
                <w:sz w:val="20"/>
                <w:szCs w:val="20"/>
                <w:color w:val="auto"/>
              </w:rPr>
            </w:pPr>
            <w:r>
              <w:rPr>
                <w:rFonts w:ascii="Arial" w:cs="Arial" w:eastAsia="Arial" w:hAnsi="Arial"/>
                <w:sz w:val="14"/>
                <w:szCs w:val="14"/>
                <w:b w:val="1"/>
                <w:bCs w:val="1"/>
                <w:color w:val="auto"/>
                <w:w w:val="89"/>
              </w:rPr>
              <w:t>Assignment by Agent; Resignation of Agent; Successor Agent</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74</w:t>
            </w: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11.13</w:t>
            </w:r>
          </w:p>
        </w:tc>
        <w:tc>
          <w:tcPr>
            <w:tcW w:w="1100" w:type="dxa"/>
            <w:vAlign w:val="bottom"/>
          </w:tcPr>
          <w:p>
            <w:pPr>
              <w:spacing w:after="0"/>
              <w:rPr>
                <w:sz w:val="24"/>
                <w:szCs w:val="24"/>
                <w:color w:val="auto"/>
              </w:rPr>
            </w:pPr>
          </w:p>
        </w:tc>
        <w:tc>
          <w:tcPr>
            <w:tcW w:w="24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Payment and Sharing of Payment</w:t>
            </w:r>
          </w:p>
        </w:tc>
        <w:tc>
          <w:tcPr>
            <w:tcW w:w="1640" w:type="dxa"/>
            <w:vAlign w:val="bottom"/>
          </w:tcPr>
          <w:p>
            <w:pPr>
              <w:jc w:val="right"/>
              <w:ind w:right="50"/>
              <w:spacing w:after="0"/>
              <w:rPr>
                <w:sz w:val="20"/>
                <w:szCs w:val="20"/>
                <w:color w:val="auto"/>
              </w:rPr>
            </w:pPr>
            <w:r>
              <w:rPr>
                <w:rFonts w:ascii="Arial" w:cs="Arial" w:eastAsia="Arial" w:hAnsi="Arial"/>
                <w:sz w:val="14"/>
                <w:szCs w:val="14"/>
                <w:b w:val="1"/>
                <w:bCs w:val="1"/>
                <w:color w:val="auto"/>
              </w:rPr>
              <w:t>75</w:t>
            </w:r>
          </w:p>
        </w:tc>
        <w:tc>
          <w:tcPr>
            <w:tcW w:w="1520" w:type="dxa"/>
            <w:vAlign w:val="bottom"/>
          </w:tcPr>
          <w:p>
            <w:pPr>
              <w:spacing w:after="0"/>
              <w:rPr>
                <w:sz w:val="24"/>
                <w:szCs w:val="24"/>
                <w:color w:val="auto"/>
              </w:rPr>
            </w:pPr>
          </w:p>
        </w:tc>
      </w:tr>
      <w:tr>
        <w:trPr>
          <w:trHeight w:val="30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11.14</w:t>
            </w:r>
          </w:p>
        </w:tc>
        <w:tc>
          <w:tcPr>
            <w:tcW w:w="1100" w:type="dxa"/>
            <w:vAlign w:val="bottom"/>
          </w:tcPr>
          <w:p>
            <w:pPr>
              <w:spacing w:after="0"/>
              <w:rPr>
                <w:sz w:val="24"/>
                <w:szCs w:val="24"/>
                <w:color w:val="auto"/>
              </w:rPr>
            </w:pPr>
          </w:p>
        </w:tc>
        <w:tc>
          <w:tcPr>
            <w:tcW w:w="4040" w:type="dxa"/>
            <w:vAlign w:val="bottom"/>
            <w:gridSpan w:val="4"/>
          </w:tcPr>
          <w:p>
            <w:pPr>
              <w:ind w:left="300"/>
              <w:spacing w:after="0"/>
              <w:rPr>
                <w:sz w:val="20"/>
                <w:szCs w:val="20"/>
                <w:color w:val="auto"/>
              </w:rPr>
            </w:pPr>
            <w:r>
              <w:rPr>
                <w:rFonts w:ascii="Arial" w:cs="Arial" w:eastAsia="Arial" w:hAnsi="Arial"/>
                <w:sz w:val="14"/>
                <w:szCs w:val="14"/>
                <w:b w:val="1"/>
                <w:bCs w:val="1"/>
                <w:color w:val="auto"/>
              </w:rPr>
              <w:t>Right to Perform, Preserve and Protect</w:t>
            </w:r>
          </w:p>
        </w:tc>
        <w:tc>
          <w:tcPr>
            <w:tcW w:w="1520" w:type="dxa"/>
            <w:vAlign w:val="bottom"/>
          </w:tcPr>
          <w:p>
            <w:pPr>
              <w:jc w:val="right"/>
              <w:ind w:right="1250"/>
              <w:spacing w:after="0"/>
              <w:rPr>
                <w:sz w:val="20"/>
                <w:szCs w:val="20"/>
                <w:color w:val="auto"/>
              </w:rPr>
            </w:pPr>
            <w:r>
              <w:rPr>
                <w:rFonts w:ascii="Arial" w:cs="Arial" w:eastAsia="Arial" w:hAnsi="Arial"/>
                <w:sz w:val="14"/>
                <w:szCs w:val="14"/>
                <w:b w:val="1"/>
                <w:bCs w:val="1"/>
                <w:color w:val="auto"/>
              </w:rPr>
              <w:t>76</w:t>
            </w: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11.15</w:t>
            </w:r>
          </w:p>
        </w:tc>
        <w:tc>
          <w:tcPr>
            <w:tcW w:w="1100" w:type="dxa"/>
            <w:vAlign w:val="bottom"/>
          </w:tcPr>
          <w:p>
            <w:pPr>
              <w:spacing w:after="0"/>
              <w:rPr>
                <w:sz w:val="24"/>
                <w:szCs w:val="24"/>
                <w:color w:val="auto"/>
              </w:rPr>
            </w:pPr>
          </w:p>
        </w:tc>
        <w:tc>
          <w:tcPr>
            <w:tcW w:w="2400" w:type="dxa"/>
            <w:vAlign w:val="bottom"/>
            <w:gridSpan w:val="3"/>
          </w:tcPr>
          <w:p>
            <w:pPr>
              <w:ind w:left="300"/>
              <w:spacing w:after="0"/>
              <w:rPr>
                <w:sz w:val="20"/>
                <w:szCs w:val="20"/>
                <w:color w:val="auto"/>
              </w:rPr>
            </w:pPr>
            <w:r>
              <w:rPr>
                <w:rFonts w:ascii="Arial" w:cs="Arial" w:eastAsia="Arial" w:hAnsi="Arial"/>
                <w:sz w:val="14"/>
                <w:szCs w:val="14"/>
                <w:b w:val="1"/>
                <w:bCs w:val="1"/>
                <w:color w:val="auto"/>
              </w:rPr>
              <w:t>Additional Titled Agents</w:t>
            </w:r>
          </w:p>
        </w:tc>
        <w:tc>
          <w:tcPr>
            <w:tcW w:w="1640" w:type="dxa"/>
            <w:vAlign w:val="bottom"/>
          </w:tcPr>
          <w:p>
            <w:pPr>
              <w:jc w:val="right"/>
              <w:ind w:right="590"/>
              <w:spacing w:after="0"/>
              <w:rPr>
                <w:sz w:val="20"/>
                <w:szCs w:val="20"/>
                <w:color w:val="auto"/>
              </w:rPr>
            </w:pPr>
            <w:r>
              <w:rPr>
                <w:rFonts w:ascii="Arial" w:cs="Arial" w:eastAsia="Arial" w:hAnsi="Arial"/>
                <w:sz w:val="14"/>
                <w:szCs w:val="14"/>
                <w:b w:val="1"/>
                <w:bCs w:val="1"/>
                <w:color w:val="auto"/>
              </w:rPr>
              <w:t>76</w:t>
            </w:r>
          </w:p>
        </w:tc>
        <w:tc>
          <w:tcPr>
            <w:tcW w:w="1520" w:type="dxa"/>
            <w:vAlign w:val="bottom"/>
          </w:tcPr>
          <w:p>
            <w:pPr>
              <w:spacing w:after="0"/>
              <w:rPr>
                <w:sz w:val="24"/>
                <w:szCs w:val="24"/>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11.16</w:t>
            </w:r>
          </w:p>
        </w:tc>
        <w:tc>
          <w:tcPr>
            <w:tcW w:w="1100" w:type="dxa"/>
            <w:vAlign w:val="bottom"/>
          </w:tcPr>
          <w:p>
            <w:pPr>
              <w:spacing w:after="0"/>
              <w:rPr>
                <w:sz w:val="24"/>
                <w:szCs w:val="24"/>
                <w:color w:val="auto"/>
              </w:rPr>
            </w:pPr>
          </w:p>
        </w:tc>
        <w:tc>
          <w:tcPr>
            <w:tcW w:w="2400" w:type="dxa"/>
            <w:vAlign w:val="bottom"/>
            <w:gridSpan w:val="3"/>
          </w:tcPr>
          <w:p>
            <w:pPr>
              <w:ind w:left="300"/>
              <w:spacing w:after="0"/>
              <w:rPr>
                <w:sz w:val="20"/>
                <w:szCs w:val="20"/>
                <w:color w:val="auto"/>
              </w:rPr>
            </w:pPr>
            <w:r>
              <w:rPr>
                <w:rFonts w:ascii="Arial" w:cs="Arial" w:eastAsia="Arial" w:hAnsi="Arial"/>
                <w:sz w:val="14"/>
                <w:szCs w:val="14"/>
                <w:b w:val="1"/>
                <w:bCs w:val="1"/>
                <w:color w:val="auto"/>
              </w:rPr>
              <w:t>Amendments and Waivers</w:t>
            </w:r>
          </w:p>
        </w:tc>
        <w:tc>
          <w:tcPr>
            <w:tcW w:w="1640" w:type="dxa"/>
            <w:vAlign w:val="bottom"/>
          </w:tcPr>
          <w:p>
            <w:pPr>
              <w:jc w:val="right"/>
              <w:ind w:right="490"/>
              <w:spacing w:after="0"/>
              <w:rPr>
                <w:sz w:val="20"/>
                <w:szCs w:val="20"/>
                <w:color w:val="auto"/>
              </w:rPr>
            </w:pPr>
            <w:r>
              <w:rPr>
                <w:rFonts w:ascii="Arial" w:cs="Arial" w:eastAsia="Arial" w:hAnsi="Arial"/>
                <w:sz w:val="14"/>
                <w:szCs w:val="14"/>
                <w:b w:val="1"/>
                <w:bCs w:val="1"/>
                <w:color w:val="auto"/>
              </w:rPr>
              <w:t>76</w:t>
            </w:r>
          </w:p>
        </w:tc>
        <w:tc>
          <w:tcPr>
            <w:tcW w:w="1520" w:type="dxa"/>
            <w:vAlign w:val="bottom"/>
          </w:tcPr>
          <w:p>
            <w:pPr>
              <w:spacing w:after="0"/>
              <w:rPr>
                <w:sz w:val="24"/>
                <w:szCs w:val="24"/>
                <w:color w:val="auto"/>
              </w:rPr>
            </w:pPr>
          </w:p>
        </w:tc>
      </w:tr>
      <w:tr>
        <w:trPr>
          <w:trHeight w:val="30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11.17</w:t>
            </w:r>
          </w:p>
        </w:tc>
        <w:tc>
          <w:tcPr>
            <w:tcW w:w="1100" w:type="dxa"/>
            <w:vAlign w:val="bottom"/>
          </w:tcPr>
          <w:p>
            <w:pPr>
              <w:spacing w:after="0"/>
              <w:rPr>
                <w:sz w:val="24"/>
                <w:szCs w:val="24"/>
                <w:color w:val="auto"/>
              </w:rPr>
            </w:pPr>
          </w:p>
        </w:tc>
        <w:tc>
          <w:tcPr>
            <w:tcW w:w="2400" w:type="dxa"/>
            <w:vAlign w:val="bottom"/>
            <w:gridSpan w:val="3"/>
          </w:tcPr>
          <w:p>
            <w:pPr>
              <w:ind w:left="300"/>
              <w:spacing w:after="0"/>
              <w:rPr>
                <w:sz w:val="20"/>
                <w:szCs w:val="20"/>
                <w:color w:val="auto"/>
              </w:rPr>
            </w:pPr>
            <w:r>
              <w:rPr>
                <w:rFonts w:ascii="Arial" w:cs="Arial" w:eastAsia="Arial" w:hAnsi="Arial"/>
                <w:sz w:val="14"/>
                <w:szCs w:val="14"/>
                <w:b w:val="1"/>
                <w:bCs w:val="1"/>
                <w:color w:val="auto"/>
                <w:w w:val="97"/>
              </w:rPr>
              <w:t>Assignments and Participations</w:t>
            </w:r>
          </w:p>
        </w:tc>
        <w:tc>
          <w:tcPr>
            <w:tcW w:w="1640" w:type="dxa"/>
            <w:vAlign w:val="bottom"/>
          </w:tcPr>
          <w:p>
            <w:pPr>
              <w:jc w:val="right"/>
              <w:ind w:right="170"/>
              <w:spacing w:after="0"/>
              <w:rPr>
                <w:sz w:val="20"/>
                <w:szCs w:val="20"/>
                <w:color w:val="auto"/>
              </w:rPr>
            </w:pPr>
            <w:r>
              <w:rPr>
                <w:rFonts w:ascii="Arial" w:cs="Arial" w:eastAsia="Arial" w:hAnsi="Arial"/>
                <w:sz w:val="14"/>
                <w:szCs w:val="14"/>
                <w:b w:val="1"/>
                <w:bCs w:val="1"/>
                <w:color w:val="auto"/>
              </w:rPr>
              <w:t>77</w:t>
            </w:r>
          </w:p>
        </w:tc>
        <w:tc>
          <w:tcPr>
            <w:tcW w:w="1520" w:type="dxa"/>
            <w:vAlign w:val="bottom"/>
          </w:tcPr>
          <w:p>
            <w:pPr>
              <w:spacing w:after="0"/>
              <w:rPr>
                <w:sz w:val="24"/>
                <w:szCs w:val="24"/>
                <w:color w:val="auto"/>
              </w:rPr>
            </w:pPr>
          </w:p>
        </w:tc>
      </w:tr>
      <w:tr>
        <w:trPr>
          <w:trHeight w:val="29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11.18</w:t>
            </w:r>
          </w:p>
        </w:tc>
        <w:tc>
          <w:tcPr>
            <w:tcW w:w="1100" w:type="dxa"/>
            <w:vAlign w:val="bottom"/>
          </w:tcPr>
          <w:p>
            <w:pPr>
              <w:spacing w:after="0"/>
              <w:rPr>
                <w:sz w:val="24"/>
                <w:szCs w:val="24"/>
                <w:color w:val="auto"/>
              </w:rPr>
            </w:pPr>
          </w:p>
        </w:tc>
        <w:tc>
          <w:tcPr>
            <w:tcW w:w="5560" w:type="dxa"/>
            <w:vAlign w:val="bottom"/>
            <w:gridSpan w:val="5"/>
          </w:tcPr>
          <w:p>
            <w:pPr>
              <w:ind w:left="300"/>
              <w:spacing w:after="0"/>
              <w:rPr>
                <w:sz w:val="20"/>
                <w:szCs w:val="20"/>
                <w:color w:val="auto"/>
              </w:rPr>
            </w:pPr>
            <w:r>
              <w:rPr>
                <w:rFonts w:ascii="Arial" w:cs="Arial" w:eastAsia="Arial" w:hAnsi="Arial"/>
                <w:sz w:val="14"/>
                <w:szCs w:val="14"/>
                <w:b w:val="1"/>
                <w:bCs w:val="1"/>
                <w:color w:val="auto"/>
              </w:rPr>
              <w:t>Funding and Settlement Provisions Applicable When Non-Funding</w:t>
            </w:r>
          </w:p>
        </w:tc>
      </w:tr>
      <w:tr>
        <w:trPr>
          <w:trHeight w:val="183"/>
        </w:trPr>
        <w:tc>
          <w:tcPr>
            <w:tcW w:w="1680" w:type="dxa"/>
            <w:vAlign w:val="bottom"/>
          </w:tcPr>
          <w:p>
            <w:pPr>
              <w:spacing w:after="0"/>
              <w:rPr>
                <w:sz w:val="15"/>
                <w:szCs w:val="15"/>
                <w:color w:val="auto"/>
              </w:rPr>
            </w:pPr>
          </w:p>
        </w:tc>
        <w:tc>
          <w:tcPr>
            <w:tcW w:w="1100" w:type="dxa"/>
            <w:vAlign w:val="bottom"/>
          </w:tcPr>
          <w:p>
            <w:pPr>
              <w:jc w:val="right"/>
              <w:ind w:right="170"/>
              <w:spacing w:after="0"/>
              <w:rPr>
                <w:sz w:val="20"/>
                <w:szCs w:val="20"/>
                <w:color w:val="auto"/>
              </w:rPr>
            </w:pPr>
            <w:r>
              <w:rPr>
                <w:rFonts w:ascii="Arial" w:cs="Arial" w:eastAsia="Arial" w:hAnsi="Arial"/>
                <w:sz w:val="14"/>
                <w:szCs w:val="14"/>
                <w:b w:val="1"/>
                <w:bCs w:val="1"/>
                <w:color w:val="auto"/>
                <w:w w:val="91"/>
              </w:rPr>
              <w:t>Lenders Exist</w:t>
            </w:r>
          </w:p>
        </w:tc>
        <w:tc>
          <w:tcPr>
            <w:tcW w:w="1200" w:type="dxa"/>
            <w:vAlign w:val="bottom"/>
          </w:tcPr>
          <w:p>
            <w:pPr>
              <w:ind w:left="220"/>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15"/>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11.19</w:t>
            </w:r>
          </w:p>
        </w:tc>
        <w:tc>
          <w:tcPr>
            <w:tcW w:w="11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Reserved</w:t>
            </w:r>
          </w:p>
        </w:tc>
        <w:tc>
          <w:tcPr>
            <w:tcW w:w="120" w:type="dxa"/>
            <w:vAlign w:val="bottom"/>
          </w:tcPr>
          <w:p>
            <w:pPr>
              <w:spacing w:after="0"/>
              <w:rPr>
                <w:sz w:val="24"/>
                <w:szCs w:val="24"/>
                <w:color w:val="auto"/>
              </w:rPr>
            </w:pPr>
          </w:p>
        </w:tc>
        <w:tc>
          <w:tcPr>
            <w:tcW w:w="1080" w:type="dxa"/>
            <w:vAlign w:val="bottom"/>
          </w:tcPr>
          <w:p>
            <w:pPr>
              <w:jc w:val="right"/>
              <w:ind w:right="870"/>
              <w:spacing w:after="0"/>
              <w:rPr>
                <w:sz w:val="20"/>
                <w:szCs w:val="20"/>
                <w:color w:val="auto"/>
              </w:rPr>
            </w:pPr>
            <w:r>
              <w:rPr>
                <w:rFonts w:ascii="Arial" w:cs="Arial" w:eastAsia="Arial" w:hAnsi="Arial"/>
                <w:sz w:val="14"/>
                <w:szCs w:val="14"/>
                <w:b w:val="1"/>
                <w:bCs w:val="1"/>
                <w:color w:val="auto"/>
                <w:w w:val="76"/>
              </w:rPr>
              <w:t>80</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6"/>
        </w:trPr>
        <w:tc>
          <w:tcPr>
            <w:tcW w:w="1680" w:type="dxa"/>
            <w:vAlign w:val="bottom"/>
          </w:tcPr>
          <w:p>
            <w:pPr>
              <w:ind w:left="860"/>
              <w:spacing w:after="0"/>
              <w:rPr>
                <w:sz w:val="20"/>
                <w:szCs w:val="20"/>
                <w:color w:val="auto"/>
              </w:rPr>
            </w:pPr>
            <w:r>
              <w:rPr>
                <w:rFonts w:ascii="Arial" w:cs="Arial" w:eastAsia="Arial" w:hAnsi="Arial"/>
                <w:sz w:val="14"/>
                <w:szCs w:val="14"/>
                <w:b w:val="1"/>
                <w:bCs w:val="1"/>
                <w:color w:val="auto"/>
                <w:w w:val="89"/>
              </w:rPr>
              <w:t>Section 11.20</w:t>
            </w:r>
          </w:p>
        </w:tc>
        <w:tc>
          <w:tcPr>
            <w:tcW w:w="110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Definitions</w:t>
            </w:r>
          </w:p>
        </w:tc>
        <w:tc>
          <w:tcPr>
            <w:tcW w:w="120" w:type="dxa"/>
            <w:vAlign w:val="bottom"/>
          </w:tcPr>
          <w:p>
            <w:pPr>
              <w:spacing w:after="0"/>
              <w:rPr>
                <w:sz w:val="24"/>
                <w:szCs w:val="24"/>
                <w:color w:val="auto"/>
              </w:rPr>
            </w:pPr>
          </w:p>
        </w:tc>
        <w:tc>
          <w:tcPr>
            <w:tcW w:w="1080" w:type="dxa"/>
            <w:vAlign w:val="bottom"/>
          </w:tcPr>
          <w:p>
            <w:pPr>
              <w:jc w:val="right"/>
              <w:ind w:right="770"/>
              <w:spacing w:after="0"/>
              <w:rPr>
                <w:sz w:val="20"/>
                <w:szCs w:val="20"/>
                <w:color w:val="auto"/>
              </w:rPr>
            </w:pPr>
            <w:r>
              <w:rPr>
                <w:rFonts w:ascii="Arial" w:cs="Arial" w:eastAsia="Arial" w:hAnsi="Arial"/>
                <w:sz w:val="14"/>
                <w:szCs w:val="14"/>
                <w:b w:val="1"/>
                <w:bCs w:val="1"/>
                <w:color w:val="auto"/>
              </w:rPr>
              <w:t>80</w:t>
            </w: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380"/>
          </w:cols>
          <w:pgMar w:left="240" w:top="161" w:right="1279" w:bottom="1440" w:gutter="0" w:footer="0" w:header="0"/>
        </w:sectPr>
      </w:pPr>
    </w:p>
    <w:bookmarkStart w:id="61" w:name="page62"/>
    <w:bookmarkEnd w:id="61"/>
    <w:tbl>
      <w:tblPr>
        <w:tblLayout w:type="fixed"/>
        <w:tblInd w:w="140" w:type="dxa"/>
        <w:tblCellMar>
          <w:top w:w="0" w:type="dxa"/>
          <w:left w:w="0" w:type="dxa"/>
          <w:bottom w:w="0" w:type="dxa"/>
          <w:right w:w="0" w:type="dxa"/>
        </w:tblCellMar>
      </w:tblPr>
      <w:tr>
        <w:trPr>
          <w:trHeight w:val="183"/>
        </w:trPr>
        <w:tc>
          <w:tcPr>
            <w:tcW w:w="2380" w:type="dxa"/>
            <w:vAlign w:val="bottom"/>
          </w:tcPr>
          <w:p>
            <w:pPr>
              <w:spacing w:after="0"/>
              <w:rPr>
                <w:sz w:val="20"/>
                <w:szCs w:val="20"/>
                <w:color w:val="auto"/>
              </w:rPr>
            </w:pPr>
            <w:r>
              <w:rPr>
                <w:rFonts w:ascii="Arial" w:cs="Arial" w:eastAsia="Arial" w:hAnsi="Arial"/>
                <w:sz w:val="14"/>
                <w:szCs w:val="14"/>
                <w:b w:val="1"/>
                <w:bCs w:val="1"/>
                <w:color w:val="auto"/>
              </w:rPr>
              <w:t>ARTICLE 12 - MISCELLANEOUS</w:t>
            </w:r>
          </w:p>
        </w:tc>
        <w:tc>
          <w:tcPr>
            <w:tcW w:w="1500" w:type="dxa"/>
            <w:vAlign w:val="bottom"/>
          </w:tcPr>
          <w:p>
            <w:pPr>
              <w:ind w:left="240"/>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w:t>
            </w: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Survival</w:t>
            </w:r>
          </w:p>
        </w:tc>
        <w:tc>
          <w:tcPr>
            <w:tcW w:w="10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4"/>
                <w:szCs w:val="14"/>
                <w:b w:val="1"/>
                <w:bCs w:val="1"/>
                <w:color w:val="auto"/>
                <w:w w:val="76"/>
              </w:rPr>
              <w:t>81</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12.2</w:t>
            </w: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No Waivers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jc w:val="right"/>
              <w:ind w:right="1470"/>
              <w:spacing w:after="0"/>
              <w:rPr>
                <w:sz w:val="20"/>
                <w:szCs w:val="20"/>
                <w:color w:val="auto"/>
              </w:rPr>
            </w:pPr>
            <w:r>
              <w:rPr>
                <w:rFonts w:ascii="Arial" w:cs="Arial" w:eastAsia="Arial" w:hAnsi="Arial"/>
                <w:sz w:val="14"/>
                <w:szCs w:val="14"/>
                <w:b w:val="1"/>
                <w:bCs w:val="1"/>
                <w:color w:val="auto"/>
              </w:rPr>
              <w:t>81</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12.3</w:t>
            </w: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Notices</w:t>
            </w:r>
          </w:p>
        </w:tc>
        <w:tc>
          <w:tcPr>
            <w:tcW w:w="7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82</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12.4</w:t>
            </w: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Severability</w:t>
            </w:r>
          </w:p>
        </w:tc>
        <w:tc>
          <w:tcPr>
            <w:tcW w:w="100" w:type="dxa"/>
            <w:vAlign w:val="bottom"/>
          </w:tcPr>
          <w:p>
            <w:pPr>
              <w:spacing w:after="0"/>
              <w:rPr>
                <w:sz w:val="24"/>
                <w:szCs w:val="24"/>
                <w:color w:val="auto"/>
              </w:rPr>
            </w:pPr>
          </w:p>
        </w:tc>
        <w:tc>
          <w:tcPr>
            <w:tcW w:w="620" w:type="dxa"/>
            <w:vAlign w:val="bottom"/>
          </w:tcPr>
          <w:p>
            <w:pPr>
              <w:jc w:val="right"/>
              <w:ind w:right="190"/>
              <w:spacing w:after="0"/>
              <w:rPr>
                <w:sz w:val="20"/>
                <w:szCs w:val="20"/>
                <w:color w:val="auto"/>
              </w:rPr>
            </w:pPr>
            <w:r>
              <w:rPr>
                <w:rFonts w:ascii="Arial" w:cs="Arial" w:eastAsia="Arial" w:hAnsi="Arial"/>
                <w:sz w:val="14"/>
                <w:szCs w:val="14"/>
                <w:b w:val="1"/>
                <w:bCs w:val="1"/>
                <w:color w:val="auto"/>
              </w:rPr>
              <w:t>82</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12.5</w:t>
            </w: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Headings</w:t>
            </w:r>
          </w:p>
        </w:tc>
        <w:tc>
          <w:tcPr>
            <w:tcW w:w="100" w:type="dxa"/>
            <w:vAlign w:val="bottom"/>
          </w:tcPr>
          <w:p>
            <w:pPr>
              <w:spacing w:after="0"/>
              <w:rPr>
                <w:sz w:val="24"/>
                <w:szCs w:val="24"/>
                <w:color w:val="auto"/>
              </w:rPr>
            </w:pPr>
          </w:p>
        </w:tc>
        <w:tc>
          <w:tcPr>
            <w:tcW w:w="620" w:type="dxa"/>
            <w:vAlign w:val="bottom"/>
          </w:tcPr>
          <w:p>
            <w:pPr>
              <w:jc w:val="right"/>
              <w:ind w:right="350"/>
              <w:spacing w:after="0"/>
              <w:rPr>
                <w:sz w:val="20"/>
                <w:szCs w:val="20"/>
                <w:color w:val="auto"/>
              </w:rPr>
            </w:pPr>
            <w:r>
              <w:rPr>
                <w:rFonts w:ascii="Arial" w:cs="Arial" w:eastAsia="Arial" w:hAnsi="Arial"/>
                <w:sz w:val="14"/>
                <w:szCs w:val="14"/>
                <w:b w:val="1"/>
                <w:bCs w:val="1"/>
                <w:color w:val="auto"/>
              </w:rPr>
              <w:t>82</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12.6</w:t>
            </w:r>
          </w:p>
        </w:tc>
        <w:tc>
          <w:tcPr>
            <w:tcW w:w="1600" w:type="dxa"/>
            <w:vAlign w:val="bottom"/>
            <w:gridSpan w:val="2"/>
          </w:tcPr>
          <w:p>
            <w:pPr>
              <w:ind w:left="640"/>
              <w:spacing w:after="0"/>
              <w:rPr>
                <w:sz w:val="20"/>
                <w:szCs w:val="20"/>
                <w:color w:val="auto"/>
              </w:rPr>
            </w:pPr>
            <w:r>
              <w:rPr>
                <w:rFonts w:ascii="Arial" w:cs="Arial" w:eastAsia="Arial" w:hAnsi="Arial"/>
                <w:sz w:val="14"/>
                <w:szCs w:val="14"/>
                <w:b w:val="1"/>
                <w:bCs w:val="1"/>
                <w:color w:val="auto"/>
                <w:w w:val="96"/>
              </w:rPr>
              <w:t>Confidentiality</w:t>
            </w:r>
          </w:p>
        </w:tc>
        <w:tc>
          <w:tcPr>
            <w:tcW w:w="620" w:type="dxa"/>
            <w:vAlign w:val="bottom"/>
          </w:tcPr>
          <w:p>
            <w:pPr>
              <w:jc w:val="right"/>
              <w:ind w:right="10"/>
              <w:spacing w:after="0"/>
              <w:rPr>
                <w:sz w:val="20"/>
                <w:szCs w:val="20"/>
                <w:color w:val="auto"/>
              </w:rPr>
            </w:pPr>
            <w:r>
              <w:rPr>
                <w:rFonts w:ascii="Arial" w:cs="Arial" w:eastAsia="Arial" w:hAnsi="Arial"/>
                <w:sz w:val="14"/>
                <w:szCs w:val="14"/>
                <w:b w:val="1"/>
                <w:bCs w:val="1"/>
                <w:color w:val="auto"/>
              </w:rPr>
              <w:t>83</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12.7</w:t>
            </w:r>
          </w:p>
        </w:tc>
        <w:tc>
          <w:tcPr>
            <w:tcW w:w="4480" w:type="dxa"/>
            <w:vAlign w:val="bottom"/>
            <w:gridSpan w:val="5"/>
          </w:tcPr>
          <w:p>
            <w:pPr>
              <w:ind w:left="640"/>
              <w:spacing w:after="0"/>
              <w:rPr>
                <w:sz w:val="20"/>
                <w:szCs w:val="20"/>
                <w:color w:val="auto"/>
              </w:rPr>
            </w:pPr>
            <w:r>
              <w:rPr>
                <w:rFonts w:ascii="Arial" w:cs="Arial" w:eastAsia="Arial" w:hAnsi="Arial"/>
                <w:sz w:val="14"/>
                <w:szCs w:val="14"/>
                <w:b w:val="1"/>
                <w:bCs w:val="1"/>
                <w:color w:val="auto"/>
              </w:rPr>
              <w:t>Waiver of Consequential and Other Damages</w:t>
            </w:r>
          </w:p>
        </w:tc>
        <w:tc>
          <w:tcPr>
            <w:tcW w:w="1260" w:type="dxa"/>
            <w:vAlign w:val="bottom"/>
          </w:tcPr>
          <w:p>
            <w:pPr>
              <w:jc w:val="right"/>
              <w:ind w:right="730"/>
              <w:spacing w:after="0"/>
              <w:rPr>
                <w:sz w:val="20"/>
                <w:szCs w:val="20"/>
                <w:color w:val="auto"/>
              </w:rPr>
            </w:pPr>
            <w:r>
              <w:rPr>
                <w:rFonts w:ascii="Arial" w:cs="Arial" w:eastAsia="Arial" w:hAnsi="Arial"/>
                <w:sz w:val="14"/>
                <w:szCs w:val="14"/>
                <w:b w:val="1"/>
                <w:bCs w:val="1"/>
                <w:color w:val="auto"/>
              </w:rPr>
              <w:t>83</w:t>
            </w: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12.8</w:t>
            </w:r>
          </w:p>
        </w:tc>
        <w:tc>
          <w:tcPr>
            <w:tcW w:w="4480" w:type="dxa"/>
            <w:vAlign w:val="bottom"/>
            <w:gridSpan w:val="5"/>
          </w:tcPr>
          <w:p>
            <w:pPr>
              <w:ind w:left="640"/>
              <w:spacing w:after="0"/>
              <w:rPr>
                <w:sz w:val="20"/>
                <w:szCs w:val="20"/>
                <w:color w:val="auto"/>
              </w:rPr>
            </w:pPr>
            <w:r>
              <w:rPr>
                <w:rFonts w:ascii="Arial" w:cs="Arial" w:eastAsia="Arial" w:hAnsi="Arial"/>
                <w:sz w:val="14"/>
                <w:szCs w:val="14"/>
                <w:b w:val="1"/>
                <w:bCs w:val="1"/>
                <w:color w:val="auto"/>
              </w:rPr>
              <w:t>GOVERNING LAW; SUBMISSION TO JURISDICTION</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30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12.9</w:t>
            </w:r>
          </w:p>
        </w:tc>
        <w:tc>
          <w:tcPr>
            <w:tcW w:w="2720" w:type="dxa"/>
            <w:vAlign w:val="bottom"/>
            <w:gridSpan w:val="4"/>
          </w:tcPr>
          <w:p>
            <w:pPr>
              <w:ind w:left="640"/>
              <w:spacing w:after="0"/>
              <w:rPr>
                <w:sz w:val="20"/>
                <w:szCs w:val="20"/>
                <w:color w:val="auto"/>
              </w:rPr>
            </w:pPr>
            <w:r>
              <w:rPr>
                <w:rFonts w:ascii="Arial" w:cs="Arial" w:eastAsia="Arial" w:hAnsi="Arial"/>
                <w:sz w:val="14"/>
                <w:szCs w:val="14"/>
                <w:b w:val="1"/>
                <w:bCs w:val="1"/>
                <w:color w:val="auto"/>
              </w:rPr>
              <w:t>WAIVER OF JURY TRIAL</w:t>
            </w:r>
          </w:p>
        </w:tc>
        <w:tc>
          <w:tcPr>
            <w:tcW w:w="1760" w:type="dxa"/>
            <w:vAlign w:val="bottom"/>
          </w:tcPr>
          <w:p>
            <w:pPr>
              <w:jc w:val="right"/>
              <w:ind w:right="490"/>
              <w:spacing w:after="0"/>
              <w:rPr>
                <w:sz w:val="20"/>
                <w:szCs w:val="20"/>
                <w:color w:val="auto"/>
              </w:rPr>
            </w:pPr>
            <w:r>
              <w:rPr>
                <w:rFonts w:ascii="Arial" w:cs="Arial" w:eastAsia="Arial" w:hAnsi="Arial"/>
                <w:sz w:val="14"/>
                <w:szCs w:val="14"/>
                <w:b w:val="1"/>
                <w:bCs w:val="1"/>
                <w:color w:val="auto"/>
              </w:rPr>
              <w:t>84</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12.10</w:t>
            </w:r>
          </w:p>
        </w:tc>
        <w:tc>
          <w:tcPr>
            <w:tcW w:w="2720" w:type="dxa"/>
            <w:vAlign w:val="bottom"/>
            <w:gridSpan w:val="4"/>
          </w:tcPr>
          <w:p>
            <w:pPr>
              <w:ind w:left="720"/>
              <w:spacing w:after="0"/>
              <w:rPr>
                <w:sz w:val="20"/>
                <w:szCs w:val="20"/>
                <w:color w:val="auto"/>
              </w:rPr>
            </w:pPr>
            <w:r>
              <w:rPr>
                <w:rFonts w:ascii="Arial" w:cs="Arial" w:eastAsia="Arial" w:hAnsi="Arial"/>
                <w:sz w:val="14"/>
                <w:szCs w:val="14"/>
                <w:b w:val="1"/>
                <w:bCs w:val="1"/>
                <w:color w:val="auto"/>
              </w:rPr>
              <w:t>Publication; Advertisement</w:t>
            </w:r>
          </w:p>
        </w:tc>
        <w:tc>
          <w:tcPr>
            <w:tcW w:w="1760" w:type="dxa"/>
            <w:vAlign w:val="bottom"/>
          </w:tcPr>
          <w:p>
            <w:pPr>
              <w:jc w:val="right"/>
              <w:ind w:right="450"/>
              <w:spacing w:after="0"/>
              <w:rPr>
                <w:sz w:val="20"/>
                <w:szCs w:val="20"/>
                <w:color w:val="auto"/>
              </w:rPr>
            </w:pPr>
            <w:r>
              <w:rPr>
                <w:rFonts w:ascii="Arial" w:cs="Arial" w:eastAsia="Arial" w:hAnsi="Arial"/>
                <w:sz w:val="14"/>
                <w:szCs w:val="14"/>
                <w:b w:val="1"/>
                <w:bCs w:val="1"/>
                <w:color w:val="auto"/>
              </w:rPr>
              <w:t>84</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12.11</w:t>
            </w:r>
          </w:p>
        </w:tc>
        <w:tc>
          <w:tcPr>
            <w:tcW w:w="2720" w:type="dxa"/>
            <w:vAlign w:val="bottom"/>
            <w:gridSpan w:val="4"/>
          </w:tcPr>
          <w:p>
            <w:pPr>
              <w:ind w:left="700"/>
              <w:spacing w:after="0"/>
              <w:rPr>
                <w:sz w:val="20"/>
                <w:szCs w:val="20"/>
                <w:color w:val="auto"/>
              </w:rPr>
            </w:pPr>
            <w:r>
              <w:rPr>
                <w:rFonts w:ascii="Arial" w:cs="Arial" w:eastAsia="Arial" w:hAnsi="Arial"/>
                <w:sz w:val="14"/>
                <w:szCs w:val="14"/>
                <w:b w:val="1"/>
                <w:bCs w:val="1"/>
                <w:color w:val="auto"/>
              </w:rPr>
              <w:t>Counterparts; Integration</w:t>
            </w:r>
          </w:p>
        </w:tc>
        <w:tc>
          <w:tcPr>
            <w:tcW w:w="1760" w:type="dxa"/>
            <w:vAlign w:val="bottom"/>
          </w:tcPr>
          <w:p>
            <w:pPr>
              <w:jc w:val="right"/>
              <w:ind w:right="550"/>
              <w:spacing w:after="0"/>
              <w:rPr>
                <w:sz w:val="20"/>
                <w:szCs w:val="20"/>
                <w:color w:val="auto"/>
              </w:rPr>
            </w:pPr>
            <w:r>
              <w:rPr>
                <w:rFonts w:ascii="Arial" w:cs="Arial" w:eastAsia="Arial" w:hAnsi="Arial"/>
                <w:sz w:val="14"/>
                <w:szCs w:val="14"/>
                <w:b w:val="1"/>
                <w:bCs w:val="1"/>
                <w:color w:val="auto"/>
              </w:rPr>
              <w:t>85</w:t>
            </w:r>
          </w:p>
        </w:tc>
        <w:tc>
          <w:tcPr>
            <w:tcW w:w="1260" w:type="dxa"/>
            <w:vAlign w:val="bottom"/>
          </w:tcPr>
          <w:p>
            <w:pPr>
              <w:spacing w:after="0"/>
              <w:rPr>
                <w:sz w:val="24"/>
                <w:szCs w:val="24"/>
                <w:color w:val="auto"/>
              </w:rPr>
            </w:pPr>
          </w:p>
        </w:tc>
      </w:tr>
      <w:tr>
        <w:trPr>
          <w:trHeight w:val="30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12.12</w:t>
            </w:r>
          </w:p>
        </w:tc>
        <w:tc>
          <w:tcPr>
            <w:tcW w:w="2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9"/>
              </w:rPr>
              <w:t>No Strict Construction</w:t>
            </w:r>
          </w:p>
        </w:tc>
        <w:tc>
          <w:tcPr>
            <w:tcW w:w="500" w:type="dxa"/>
            <w:vAlign w:val="bottom"/>
          </w:tcPr>
          <w:p>
            <w:pPr>
              <w:spacing w:after="0"/>
              <w:rPr>
                <w:sz w:val="24"/>
                <w:szCs w:val="24"/>
                <w:color w:val="auto"/>
              </w:rPr>
            </w:pPr>
          </w:p>
        </w:tc>
        <w:tc>
          <w:tcPr>
            <w:tcW w:w="1760" w:type="dxa"/>
            <w:vAlign w:val="bottom"/>
          </w:tcPr>
          <w:p>
            <w:pPr>
              <w:jc w:val="right"/>
              <w:ind w:right="750"/>
              <w:spacing w:after="0"/>
              <w:rPr>
                <w:sz w:val="20"/>
                <w:szCs w:val="20"/>
                <w:color w:val="auto"/>
              </w:rPr>
            </w:pPr>
            <w:r>
              <w:rPr>
                <w:rFonts w:ascii="Arial" w:cs="Arial" w:eastAsia="Arial" w:hAnsi="Arial"/>
                <w:sz w:val="14"/>
                <w:szCs w:val="14"/>
                <w:b w:val="1"/>
                <w:bCs w:val="1"/>
                <w:color w:val="auto"/>
              </w:rPr>
              <w:t>85</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12.13</w:t>
            </w:r>
          </w:p>
        </w:tc>
        <w:tc>
          <w:tcPr>
            <w:tcW w:w="2220" w:type="dxa"/>
            <w:vAlign w:val="bottom"/>
            <w:gridSpan w:val="3"/>
          </w:tcPr>
          <w:p>
            <w:pPr>
              <w:ind w:left="720"/>
              <w:spacing w:after="0"/>
              <w:rPr>
                <w:sz w:val="20"/>
                <w:szCs w:val="20"/>
                <w:color w:val="auto"/>
              </w:rPr>
            </w:pPr>
            <w:r>
              <w:rPr>
                <w:rFonts w:ascii="Arial" w:cs="Arial" w:eastAsia="Arial" w:hAnsi="Arial"/>
                <w:sz w:val="14"/>
                <w:szCs w:val="14"/>
                <w:b w:val="1"/>
                <w:bCs w:val="1"/>
                <w:color w:val="auto"/>
              </w:rPr>
              <w:t>Lender Approvals</w:t>
            </w:r>
          </w:p>
        </w:tc>
        <w:tc>
          <w:tcPr>
            <w:tcW w:w="500" w:type="dxa"/>
            <w:vAlign w:val="bottom"/>
          </w:tcPr>
          <w:p>
            <w:pPr>
              <w:jc w:val="right"/>
              <w:ind w:right="250"/>
              <w:spacing w:after="0"/>
              <w:rPr>
                <w:sz w:val="20"/>
                <w:szCs w:val="20"/>
                <w:color w:val="auto"/>
              </w:rPr>
            </w:pPr>
            <w:r>
              <w:rPr>
                <w:rFonts w:ascii="Arial" w:cs="Arial" w:eastAsia="Arial" w:hAnsi="Arial"/>
                <w:sz w:val="14"/>
                <w:szCs w:val="14"/>
                <w:b w:val="1"/>
                <w:bCs w:val="1"/>
                <w:color w:val="auto"/>
              </w:rPr>
              <w:t>85</w:t>
            </w: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12.14</w:t>
            </w:r>
          </w:p>
        </w:tc>
        <w:tc>
          <w:tcPr>
            <w:tcW w:w="2220" w:type="dxa"/>
            <w:vAlign w:val="bottom"/>
            <w:gridSpan w:val="3"/>
          </w:tcPr>
          <w:p>
            <w:pPr>
              <w:ind w:left="720"/>
              <w:spacing w:after="0"/>
              <w:rPr>
                <w:sz w:val="20"/>
                <w:szCs w:val="20"/>
                <w:color w:val="auto"/>
              </w:rPr>
            </w:pPr>
            <w:r>
              <w:rPr>
                <w:rFonts w:ascii="Arial" w:cs="Arial" w:eastAsia="Arial" w:hAnsi="Arial"/>
                <w:sz w:val="14"/>
                <w:szCs w:val="14"/>
                <w:b w:val="1"/>
                <w:bCs w:val="1"/>
                <w:color w:val="auto"/>
              </w:rPr>
              <w:t>Expenses; Indemnity</w:t>
            </w:r>
          </w:p>
        </w:tc>
        <w:tc>
          <w:tcPr>
            <w:tcW w:w="500" w:type="dxa"/>
            <w:vAlign w:val="bottom"/>
          </w:tcPr>
          <w:p>
            <w:pPr>
              <w:spacing w:after="0"/>
              <w:rPr>
                <w:sz w:val="24"/>
                <w:szCs w:val="24"/>
                <w:color w:val="auto"/>
              </w:rPr>
            </w:pPr>
          </w:p>
        </w:tc>
        <w:tc>
          <w:tcPr>
            <w:tcW w:w="1760" w:type="dxa"/>
            <w:vAlign w:val="bottom"/>
          </w:tcPr>
          <w:p>
            <w:pPr>
              <w:jc w:val="right"/>
              <w:ind w:right="850"/>
              <w:spacing w:after="0"/>
              <w:rPr>
                <w:sz w:val="20"/>
                <w:szCs w:val="20"/>
                <w:color w:val="auto"/>
              </w:rPr>
            </w:pPr>
            <w:r>
              <w:rPr>
                <w:rFonts w:ascii="Arial" w:cs="Arial" w:eastAsia="Arial" w:hAnsi="Arial"/>
                <w:sz w:val="14"/>
                <w:szCs w:val="14"/>
                <w:b w:val="1"/>
                <w:bCs w:val="1"/>
                <w:color w:val="auto"/>
              </w:rPr>
              <w:t>85</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12.15</w:t>
            </w:r>
          </w:p>
        </w:tc>
        <w:tc>
          <w:tcPr>
            <w:tcW w:w="1500" w:type="dxa"/>
            <w:vAlign w:val="bottom"/>
          </w:tcPr>
          <w:p>
            <w:pPr>
              <w:ind w:left="720"/>
              <w:spacing w:after="0"/>
              <w:rPr>
                <w:sz w:val="20"/>
                <w:szCs w:val="20"/>
                <w:color w:val="auto"/>
              </w:rPr>
            </w:pPr>
            <w:r>
              <w:rPr>
                <w:rFonts w:ascii="Arial" w:cs="Arial" w:eastAsia="Arial" w:hAnsi="Arial"/>
                <w:sz w:val="14"/>
                <w:szCs w:val="14"/>
                <w:b w:val="1"/>
                <w:bCs w:val="1"/>
                <w:color w:val="auto"/>
                <w:w w:val="98"/>
              </w:rPr>
              <w:t>RESERVED</w:t>
            </w:r>
          </w:p>
        </w:tc>
        <w:tc>
          <w:tcPr>
            <w:tcW w:w="100" w:type="dxa"/>
            <w:vAlign w:val="bottom"/>
          </w:tcPr>
          <w:p>
            <w:pPr>
              <w:spacing w:after="0"/>
              <w:rPr>
                <w:sz w:val="24"/>
                <w:szCs w:val="24"/>
                <w:color w:val="auto"/>
              </w:rPr>
            </w:pPr>
          </w:p>
        </w:tc>
        <w:tc>
          <w:tcPr>
            <w:tcW w:w="620" w:type="dxa"/>
            <w:vAlign w:val="bottom"/>
          </w:tcPr>
          <w:p>
            <w:pPr>
              <w:jc w:val="right"/>
              <w:ind w:right="90"/>
              <w:spacing w:after="0"/>
              <w:rPr>
                <w:sz w:val="20"/>
                <w:szCs w:val="20"/>
                <w:color w:val="auto"/>
              </w:rPr>
            </w:pPr>
            <w:r>
              <w:rPr>
                <w:rFonts w:ascii="Arial" w:cs="Arial" w:eastAsia="Arial" w:hAnsi="Arial"/>
                <w:sz w:val="14"/>
                <w:szCs w:val="14"/>
                <w:b w:val="1"/>
                <w:bCs w:val="1"/>
                <w:color w:val="auto"/>
              </w:rPr>
              <w:t>86</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12.16</w:t>
            </w:r>
          </w:p>
        </w:tc>
        <w:tc>
          <w:tcPr>
            <w:tcW w:w="1600" w:type="dxa"/>
            <w:vAlign w:val="bottom"/>
            <w:gridSpan w:val="2"/>
          </w:tcPr>
          <w:p>
            <w:pPr>
              <w:ind w:left="720"/>
              <w:spacing w:after="0"/>
              <w:rPr>
                <w:sz w:val="20"/>
                <w:szCs w:val="20"/>
                <w:color w:val="auto"/>
              </w:rPr>
            </w:pPr>
            <w:r>
              <w:rPr>
                <w:rFonts w:ascii="Arial" w:cs="Arial" w:eastAsia="Arial" w:hAnsi="Arial"/>
                <w:sz w:val="14"/>
                <w:szCs w:val="14"/>
                <w:b w:val="1"/>
                <w:bCs w:val="1"/>
                <w:color w:val="auto"/>
                <w:w w:val="89"/>
              </w:rPr>
              <w:t>Reinstatement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12.17</w:t>
            </w:r>
          </w:p>
        </w:tc>
        <w:tc>
          <w:tcPr>
            <w:tcW w:w="2220" w:type="dxa"/>
            <w:vAlign w:val="bottom"/>
            <w:gridSpan w:val="3"/>
          </w:tcPr>
          <w:p>
            <w:pPr>
              <w:ind w:left="720"/>
              <w:spacing w:after="0"/>
              <w:rPr>
                <w:sz w:val="20"/>
                <w:szCs w:val="20"/>
                <w:color w:val="auto"/>
              </w:rPr>
            </w:pPr>
            <w:r>
              <w:rPr>
                <w:rFonts w:ascii="Arial" w:cs="Arial" w:eastAsia="Arial" w:hAnsi="Arial"/>
                <w:sz w:val="14"/>
                <w:szCs w:val="14"/>
                <w:b w:val="1"/>
                <w:bCs w:val="1"/>
                <w:color w:val="auto"/>
                <w:w w:val="89"/>
              </w:rPr>
              <w:t>Successors and Assigns</w:t>
            </w:r>
          </w:p>
        </w:tc>
        <w:tc>
          <w:tcPr>
            <w:tcW w:w="500" w:type="dxa"/>
            <w:vAlign w:val="bottom"/>
          </w:tcPr>
          <w:p>
            <w:pPr>
              <w:spacing w:after="0"/>
              <w:rPr>
                <w:sz w:val="24"/>
                <w:szCs w:val="24"/>
                <w:color w:val="auto"/>
              </w:rPr>
            </w:pPr>
          </w:p>
        </w:tc>
        <w:tc>
          <w:tcPr>
            <w:tcW w:w="1760" w:type="dxa"/>
            <w:vAlign w:val="bottom"/>
          </w:tcPr>
          <w:p>
            <w:pPr>
              <w:jc w:val="right"/>
              <w:ind w:right="710"/>
              <w:spacing w:after="0"/>
              <w:rPr>
                <w:sz w:val="20"/>
                <w:szCs w:val="20"/>
                <w:color w:val="auto"/>
              </w:rPr>
            </w:pPr>
            <w:r>
              <w:rPr>
                <w:rFonts w:ascii="Arial" w:cs="Arial" w:eastAsia="Arial" w:hAnsi="Arial"/>
                <w:sz w:val="14"/>
                <w:szCs w:val="14"/>
                <w:b w:val="1"/>
                <w:bCs w:val="1"/>
                <w:color w:val="auto"/>
              </w:rPr>
              <w:t>87</w:t>
            </w:r>
          </w:p>
        </w:tc>
        <w:tc>
          <w:tcPr>
            <w:tcW w:w="1260" w:type="dxa"/>
            <w:vAlign w:val="bottom"/>
          </w:tcPr>
          <w:p>
            <w:pPr>
              <w:spacing w:after="0"/>
              <w:rPr>
                <w:sz w:val="24"/>
                <w:szCs w:val="24"/>
                <w:color w:val="auto"/>
              </w:rPr>
            </w:pPr>
          </w:p>
        </w:tc>
      </w:tr>
      <w:tr>
        <w:trPr>
          <w:trHeight w:val="31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12.18</w:t>
            </w:r>
          </w:p>
        </w:tc>
        <w:tc>
          <w:tcPr>
            <w:tcW w:w="2720" w:type="dxa"/>
            <w:vAlign w:val="bottom"/>
            <w:gridSpan w:val="4"/>
          </w:tcPr>
          <w:p>
            <w:pPr>
              <w:ind w:left="720"/>
              <w:spacing w:after="0"/>
              <w:rPr>
                <w:sz w:val="20"/>
                <w:szCs w:val="20"/>
                <w:color w:val="auto"/>
              </w:rPr>
            </w:pPr>
            <w:r>
              <w:rPr>
                <w:rFonts w:ascii="Arial" w:cs="Arial" w:eastAsia="Arial" w:hAnsi="Arial"/>
                <w:sz w:val="14"/>
                <w:szCs w:val="14"/>
                <w:b w:val="1"/>
                <w:bCs w:val="1"/>
                <w:color w:val="auto"/>
                <w:w w:val="97"/>
              </w:rPr>
              <w:t>USA PATRIOT Act Notification</w:t>
            </w:r>
          </w:p>
        </w:tc>
        <w:tc>
          <w:tcPr>
            <w:tcW w:w="1760" w:type="dxa"/>
            <w:vAlign w:val="bottom"/>
          </w:tcPr>
          <w:p>
            <w:pPr>
              <w:jc w:val="right"/>
              <w:ind w:right="1170"/>
              <w:spacing w:after="0"/>
              <w:rPr>
                <w:sz w:val="20"/>
                <w:szCs w:val="20"/>
                <w:color w:val="auto"/>
              </w:rPr>
            </w:pPr>
            <w:r>
              <w:rPr>
                <w:rFonts w:ascii="Arial" w:cs="Arial" w:eastAsia="Arial" w:hAnsi="Arial"/>
                <w:sz w:val="14"/>
                <w:szCs w:val="14"/>
                <w:b w:val="1"/>
                <w:bCs w:val="1"/>
                <w:color w:val="auto"/>
              </w:rPr>
              <w:t>87</w:t>
            </w:r>
          </w:p>
        </w:tc>
        <w:tc>
          <w:tcPr>
            <w:tcW w:w="1260" w:type="dxa"/>
            <w:vAlign w:val="bottom"/>
          </w:tcPr>
          <w:p>
            <w:pPr>
              <w:spacing w:after="0"/>
              <w:rPr>
                <w:sz w:val="24"/>
                <w:szCs w:val="24"/>
                <w:color w:val="auto"/>
              </w:rPr>
            </w:pPr>
          </w:p>
        </w:tc>
      </w:tr>
      <w:tr>
        <w:trPr>
          <w:trHeight w:val="305"/>
        </w:trPr>
        <w:tc>
          <w:tcPr>
            <w:tcW w:w="2380" w:type="dxa"/>
            <w:vAlign w:val="bottom"/>
          </w:tcPr>
          <w:p>
            <w:pPr>
              <w:ind w:left="860"/>
              <w:spacing w:after="0"/>
              <w:rPr>
                <w:sz w:val="20"/>
                <w:szCs w:val="20"/>
                <w:color w:val="auto"/>
              </w:rPr>
            </w:pPr>
            <w:r>
              <w:rPr>
                <w:rFonts w:ascii="Arial" w:cs="Arial" w:eastAsia="Arial" w:hAnsi="Arial"/>
                <w:sz w:val="14"/>
                <w:szCs w:val="14"/>
                <w:b w:val="1"/>
                <w:bCs w:val="1"/>
                <w:color w:val="auto"/>
              </w:rPr>
              <w:t>Section 12.19</w:t>
            </w:r>
          </w:p>
        </w:tc>
        <w:tc>
          <w:tcPr>
            <w:tcW w:w="4480" w:type="dxa"/>
            <w:vAlign w:val="bottom"/>
            <w:gridSpan w:val="5"/>
          </w:tcPr>
          <w:p>
            <w:pPr>
              <w:ind w:left="720"/>
              <w:spacing w:after="0"/>
              <w:rPr>
                <w:sz w:val="20"/>
                <w:szCs w:val="20"/>
                <w:color w:val="auto"/>
              </w:rPr>
            </w:pPr>
            <w:r>
              <w:rPr>
                <w:rFonts w:ascii="Arial" w:cs="Arial" w:eastAsia="Arial" w:hAnsi="Arial"/>
                <w:sz w:val="14"/>
                <w:szCs w:val="14"/>
                <w:b w:val="1"/>
                <w:bCs w:val="1"/>
                <w:color w:val="auto"/>
                <w:w w:val="96"/>
              </w:rPr>
              <w:t>Existing Agreements Superseded; Exhibits and Schedules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vi</w:t>
      </w:r>
    </w:p>
    <w:p>
      <w:pPr>
        <w:spacing w:after="0" w:line="314"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61" w:right="1440" w:bottom="1440" w:gutter="0" w:footer="0" w:header="0"/>
        </w:sectPr>
      </w:pPr>
    </w:p>
    <w:bookmarkStart w:id="62" w:name="page63"/>
    <w:bookmarkEnd w:id="62"/>
    <w:p>
      <w:pPr>
        <w:ind w:left="1520"/>
        <w:spacing w:after="0"/>
        <w:rPr>
          <w:sz w:val="20"/>
          <w:szCs w:val="20"/>
          <w:color w:val="auto"/>
        </w:rPr>
      </w:pPr>
      <w:r>
        <w:rPr>
          <w:rFonts w:ascii="Arial" w:cs="Arial" w:eastAsia="Arial" w:hAnsi="Arial"/>
          <w:sz w:val="14"/>
          <w:szCs w:val="14"/>
          <w:b w:val="1"/>
          <w:bCs w:val="1"/>
          <w:u w:val="single" w:color="auto"/>
          <w:color w:val="auto"/>
        </w:rPr>
        <w:t>AMENDED AND RESTATED CREDIT AND SECURITY AGREEMENT</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xml:space="preserve">THIS AMENDED AND RESTATED CREDIT AND SECURITY AGREEMENT </w:t>
      </w:r>
      <w:r>
        <w:rPr>
          <w:rFonts w:ascii="Arial" w:cs="Arial" w:eastAsia="Arial" w:hAnsi="Arial"/>
          <w:sz w:val="14"/>
          <w:szCs w:val="14"/>
          <w:color w:val="auto"/>
        </w:rPr>
        <w:t>(as the</w:t>
      </w:r>
    </w:p>
    <w:p>
      <w:pPr>
        <w:spacing w:after="0" w:line="17" w:lineRule="exact"/>
        <w:rPr>
          <w:sz w:val="20"/>
          <w:szCs w:val="20"/>
          <w:color w:val="auto"/>
        </w:rPr>
      </w:pPr>
    </w:p>
    <w:p>
      <w:pPr>
        <w:jc w:val="both"/>
        <w:ind w:left="140"/>
        <w:spacing w:after="0" w:line="244" w:lineRule="auto"/>
        <w:rPr>
          <w:sz w:val="20"/>
          <w:szCs w:val="20"/>
          <w:color w:val="auto"/>
        </w:rPr>
      </w:pPr>
      <w:r>
        <w:rPr>
          <w:rFonts w:ascii="Arial" w:cs="Arial" w:eastAsia="Arial" w:hAnsi="Arial"/>
          <w:sz w:val="14"/>
          <w:szCs w:val="14"/>
          <w:color w:val="auto"/>
        </w:rPr>
        <w:t>same may be amended, supplemented, restated or otherwise modified from time to time, the “</w:t>
      </w:r>
      <w:r>
        <w:rPr>
          <w:rFonts w:ascii="Arial" w:cs="Arial" w:eastAsia="Arial" w:hAnsi="Arial"/>
          <w:sz w:val="14"/>
          <w:szCs w:val="14"/>
          <w:b w:val="1"/>
          <w:bCs w:val="1"/>
          <w:color w:val="auto"/>
        </w:rPr>
        <w:t>Agreement</w:t>
      </w:r>
      <w:r>
        <w:rPr>
          <w:rFonts w:ascii="Arial" w:cs="Arial" w:eastAsia="Arial" w:hAnsi="Arial"/>
          <w:sz w:val="14"/>
          <w:szCs w:val="14"/>
          <w:color w:val="auto"/>
        </w:rPr>
        <w:t>”) is dated as of August 6, 2018 (the “</w:t>
      </w:r>
      <w:r>
        <w:rPr>
          <w:rFonts w:ascii="Arial" w:cs="Arial" w:eastAsia="Arial" w:hAnsi="Arial"/>
          <w:sz w:val="14"/>
          <w:szCs w:val="14"/>
          <w:b w:val="1"/>
          <w:bCs w:val="1"/>
          <w:color w:val="auto"/>
        </w:rPr>
        <w:t>Closing Date</w:t>
      </w:r>
      <w:r>
        <w:rPr>
          <w:rFonts w:ascii="Arial" w:cs="Arial" w:eastAsia="Arial" w:hAnsi="Arial"/>
          <w:sz w:val="14"/>
          <w:szCs w:val="14"/>
          <w:color w:val="auto"/>
        </w:rPr>
        <w:t xml:space="preserve">”) by and among </w:t>
      </w:r>
      <w:r>
        <w:rPr>
          <w:rFonts w:ascii="Arial" w:cs="Arial" w:eastAsia="Arial" w:hAnsi="Arial"/>
          <w:sz w:val="14"/>
          <w:szCs w:val="14"/>
          <w:b w:val="1"/>
          <w:bCs w:val="1"/>
          <w:color w:val="auto"/>
        </w:rPr>
        <w:t>APTEVO</w:t>
      </w:r>
      <w:r>
        <w:rPr>
          <w:rFonts w:ascii="Arial" w:cs="Arial" w:eastAsia="Arial" w:hAnsi="Arial"/>
          <w:sz w:val="14"/>
          <w:szCs w:val="14"/>
          <w:color w:val="auto"/>
        </w:rPr>
        <w:t xml:space="preserve"> </w:t>
      </w:r>
      <w:r>
        <w:rPr>
          <w:rFonts w:ascii="Arial" w:cs="Arial" w:eastAsia="Arial" w:hAnsi="Arial"/>
          <w:sz w:val="14"/>
          <w:szCs w:val="14"/>
          <w:b w:val="1"/>
          <w:bCs w:val="1"/>
          <w:color w:val="auto"/>
        </w:rPr>
        <w:t>THERAPEUTICS INC.</w:t>
      </w:r>
      <w:r>
        <w:rPr>
          <w:rFonts w:ascii="Arial" w:cs="Arial" w:eastAsia="Arial" w:hAnsi="Arial"/>
          <w:sz w:val="14"/>
          <w:szCs w:val="14"/>
          <w:color w:val="auto"/>
        </w:rPr>
        <w:t>, a Delaware corporation,</w:t>
      </w:r>
      <w:r>
        <w:rPr>
          <w:rFonts w:ascii="Arial" w:cs="Arial" w:eastAsia="Arial" w:hAnsi="Arial"/>
          <w:sz w:val="14"/>
          <w:szCs w:val="14"/>
          <w:b w:val="1"/>
          <w:bCs w:val="1"/>
          <w:color w:val="auto"/>
        </w:rPr>
        <w:t xml:space="preserve"> APTEVO BIOTHERAPEUTICS LLC</w:t>
      </w:r>
      <w:r>
        <w:rPr>
          <w:rFonts w:ascii="Arial" w:cs="Arial" w:eastAsia="Arial" w:hAnsi="Arial"/>
          <w:sz w:val="14"/>
          <w:szCs w:val="14"/>
          <w:color w:val="auto"/>
        </w:rPr>
        <w:t>, a Delaware limited liability company,</w:t>
      </w:r>
      <w:r>
        <w:rPr>
          <w:rFonts w:ascii="Arial" w:cs="Arial" w:eastAsia="Arial" w:hAnsi="Arial"/>
          <w:sz w:val="14"/>
          <w:szCs w:val="14"/>
          <w:b w:val="1"/>
          <w:bCs w:val="1"/>
          <w:color w:val="auto"/>
        </w:rPr>
        <w:t xml:space="preserve"> APTEVO RESEARCH AND DEVELOPMENT LLC</w:t>
      </w:r>
      <w:r>
        <w:rPr>
          <w:rFonts w:ascii="Arial" w:cs="Arial" w:eastAsia="Arial" w:hAnsi="Arial"/>
          <w:sz w:val="14"/>
          <w:szCs w:val="14"/>
          <w:color w:val="auto"/>
        </w:rPr>
        <w:t>, a</w:t>
      </w:r>
      <w:r>
        <w:rPr>
          <w:rFonts w:ascii="Arial" w:cs="Arial" w:eastAsia="Arial" w:hAnsi="Arial"/>
          <w:sz w:val="14"/>
          <w:szCs w:val="14"/>
          <w:b w:val="1"/>
          <w:bCs w:val="1"/>
          <w:color w:val="auto"/>
        </w:rPr>
        <w:t xml:space="preserve"> </w:t>
      </w:r>
      <w:r>
        <w:rPr>
          <w:rFonts w:ascii="Arial" w:cs="Arial" w:eastAsia="Arial" w:hAnsi="Arial"/>
          <w:sz w:val="14"/>
          <w:szCs w:val="14"/>
          <w:color w:val="auto"/>
        </w:rPr>
        <w:t>Delaware limited liability company and any additional borrower that may hereafter be added to this Agreement (each, individually as a “</w:t>
      </w:r>
      <w:r>
        <w:rPr>
          <w:rFonts w:ascii="Arial" w:cs="Arial" w:eastAsia="Arial" w:hAnsi="Arial"/>
          <w:sz w:val="14"/>
          <w:szCs w:val="14"/>
          <w:b w:val="1"/>
          <w:bCs w:val="1"/>
          <w:color w:val="auto"/>
        </w:rPr>
        <w:t>Borrower</w:t>
      </w:r>
      <w:r>
        <w:rPr>
          <w:rFonts w:ascii="Arial" w:cs="Arial" w:eastAsia="Arial" w:hAnsi="Arial"/>
          <w:sz w:val="14"/>
          <w:szCs w:val="14"/>
          <w:color w:val="auto"/>
        </w:rPr>
        <w:t>”, and collectively with any entities that become party hereto as Borrower and each of their successors and permitted assigns, the “</w:t>
      </w:r>
      <w:r>
        <w:rPr>
          <w:rFonts w:ascii="Arial" w:cs="Arial" w:eastAsia="Arial" w:hAnsi="Arial"/>
          <w:sz w:val="14"/>
          <w:szCs w:val="14"/>
          <w:b w:val="1"/>
          <w:bCs w:val="1"/>
          <w:color w:val="auto"/>
        </w:rPr>
        <w:t>Borrowers</w:t>
      </w:r>
      <w:r>
        <w:rPr>
          <w:rFonts w:ascii="Arial" w:cs="Arial" w:eastAsia="Arial" w:hAnsi="Arial"/>
          <w:sz w:val="14"/>
          <w:szCs w:val="14"/>
          <w:color w:val="auto"/>
        </w:rPr>
        <w:t xml:space="preserve">”), </w:t>
      </w:r>
      <w:r>
        <w:rPr>
          <w:rFonts w:ascii="Arial" w:cs="Arial" w:eastAsia="Arial" w:hAnsi="Arial"/>
          <w:sz w:val="14"/>
          <w:szCs w:val="14"/>
          <w:b w:val="1"/>
          <w:bCs w:val="1"/>
          <w:color w:val="auto"/>
        </w:rPr>
        <w:t>MIDCAP FINANCIAL TRUST,</w:t>
      </w:r>
      <w:r>
        <w:rPr>
          <w:rFonts w:ascii="Arial" w:cs="Arial" w:eastAsia="Arial" w:hAnsi="Arial"/>
          <w:sz w:val="14"/>
          <w:szCs w:val="14"/>
          <w:color w:val="auto"/>
        </w:rPr>
        <w:t xml:space="preserve"> a Delaware statutory trust, individually as a Lender, and as Agent, and the financial institutions or other entities from time to time parties hereto, each as a Lender.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RECITALS</w:t>
      </w:r>
    </w:p>
    <w:p>
      <w:pPr>
        <w:spacing w:after="0" w:line="154" w:lineRule="exact"/>
        <w:rPr>
          <w:sz w:val="20"/>
          <w:szCs w:val="20"/>
          <w:color w:val="auto"/>
        </w:rPr>
      </w:pPr>
    </w:p>
    <w:p>
      <w:pPr>
        <w:jc w:val="both"/>
        <w:ind w:left="140" w:firstLine="837"/>
        <w:spacing w:after="0" w:line="321" w:lineRule="auto"/>
        <w:rPr>
          <w:sz w:val="20"/>
          <w:szCs w:val="20"/>
          <w:color w:val="auto"/>
        </w:rPr>
      </w:pPr>
      <w:r>
        <w:rPr>
          <w:rFonts w:ascii="Arial" w:cs="Arial" w:eastAsia="Arial" w:hAnsi="Arial"/>
          <w:sz w:val="12"/>
          <w:szCs w:val="12"/>
          <w:color w:val="auto"/>
        </w:rPr>
        <w:t>WHEREAS, Borrowers, Agent and certain Lenders are parties to that certain Credit and Security Agreement, dated as of August 4, 2016 (the “</w:t>
      </w:r>
      <w:r>
        <w:rPr>
          <w:rFonts w:ascii="Arial" w:cs="Arial" w:eastAsia="Arial" w:hAnsi="Arial"/>
          <w:sz w:val="12"/>
          <w:szCs w:val="12"/>
          <w:b w:val="1"/>
          <w:bCs w:val="1"/>
          <w:color w:val="auto"/>
        </w:rPr>
        <w:t>Original Closing Date</w:t>
      </w:r>
      <w:r>
        <w:rPr>
          <w:rFonts w:ascii="Arial" w:cs="Arial" w:eastAsia="Arial" w:hAnsi="Arial"/>
          <w:sz w:val="12"/>
          <w:szCs w:val="12"/>
          <w:color w:val="auto"/>
        </w:rPr>
        <w:t>”) (as amended, supplemented or otherwise modified and in effect immediately prior to the date hereof, the “</w:t>
      </w:r>
      <w:r>
        <w:rPr>
          <w:rFonts w:ascii="Arial" w:cs="Arial" w:eastAsia="Arial" w:hAnsi="Arial"/>
          <w:sz w:val="12"/>
          <w:szCs w:val="12"/>
          <w:b w:val="1"/>
          <w:bCs w:val="1"/>
          <w:color w:val="auto"/>
        </w:rPr>
        <w:t>Original Credit Agreement</w:t>
      </w:r>
      <w:r>
        <w:rPr>
          <w:rFonts w:ascii="Arial" w:cs="Arial" w:eastAsia="Arial" w:hAnsi="Arial"/>
          <w:sz w:val="12"/>
          <w:szCs w:val="12"/>
          <w:color w:val="auto"/>
        </w:rPr>
        <w:t>”), pursuant to which Agent and certain Lenders agreed to make certain financing facilities available to Borrowers, including a term loan in the original principal amount of Twenty Million Dollars ($20,000,000), all of which remains outstanding as of the date hereof;</w:t>
      </w:r>
    </w:p>
    <w:p>
      <w:pPr>
        <w:spacing w:after="0" w:line="90" w:lineRule="exact"/>
        <w:rPr>
          <w:sz w:val="20"/>
          <w:szCs w:val="20"/>
          <w:color w:val="auto"/>
        </w:rPr>
      </w:pPr>
    </w:p>
    <w:p>
      <w:pPr>
        <w:jc w:val="both"/>
        <w:ind w:left="140" w:firstLine="836"/>
        <w:spacing w:after="0" w:line="307" w:lineRule="auto"/>
        <w:rPr>
          <w:sz w:val="20"/>
          <w:szCs w:val="20"/>
          <w:color w:val="auto"/>
        </w:rPr>
      </w:pPr>
      <w:r>
        <w:rPr>
          <w:rFonts w:ascii="Arial" w:cs="Arial" w:eastAsia="Arial" w:hAnsi="Arial"/>
          <w:sz w:val="13"/>
          <w:szCs w:val="13"/>
          <w:color w:val="auto"/>
        </w:rPr>
        <w:t>WHEREAS, in connection with the continued working capital and other needs of the Borrowers, Borrowers have requested, among other things, that Agent and Lenders, (a) extend the maturity date of loans under the Original Credit Agreement, and (b) amend certain other economic terms, covenants and other provisions of the Original Credit Agreement; and</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WHEREAS, Agent and Lenders have agreed to the requests of Borrowers on the terms and conditions set forth herein and in the other Financing Documents.</w:t>
      </w:r>
    </w:p>
    <w:p>
      <w:pPr>
        <w:spacing w:after="0" w:line="154" w:lineRule="exact"/>
        <w:rPr>
          <w:sz w:val="20"/>
          <w:szCs w:val="20"/>
          <w:color w:val="auto"/>
        </w:rPr>
      </w:pPr>
    </w:p>
    <w:p>
      <w:pPr>
        <w:jc w:val="both"/>
        <w:ind w:left="140" w:right="20" w:firstLine="837"/>
        <w:spacing w:after="0" w:line="268" w:lineRule="auto"/>
        <w:rPr>
          <w:sz w:val="20"/>
          <w:szCs w:val="20"/>
          <w:color w:val="auto"/>
        </w:rPr>
      </w:pPr>
      <w:r>
        <w:rPr>
          <w:rFonts w:ascii="Arial" w:cs="Arial" w:eastAsia="Arial" w:hAnsi="Arial"/>
          <w:sz w:val="14"/>
          <w:szCs w:val="14"/>
          <w:color w:val="auto"/>
        </w:rPr>
        <w:t>Borrowers have requested that Lenders continue to make available to Borrowers the financing facilities as described herein. Lenders are willing to continuing extending such credit to Borrowers under the terms and conditions herein set forth.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AGREEMENT</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premises and the agreements, provisions and covenants herein contained, Borrowers, Lenders and Agent agree as follows: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ARTICLE 1 - DEFINITIONS</w:t>
      </w:r>
    </w:p>
    <w:p>
      <w:pPr>
        <w:spacing w:after="0" w:line="154" w:lineRule="exact"/>
        <w:rPr>
          <w:sz w:val="20"/>
          <w:szCs w:val="20"/>
          <w:color w:val="auto"/>
        </w:rPr>
      </w:pPr>
    </w:p>
    <w:p>
      <w:pPr>
        <w:ind w:left="2900"/>
        <w:spacing w:after="0"/>
        <w:tabs>
          <w:tab w:leader="none" w:pos="4560" w:val="left"/>
        </w:tabs>
        <w:rPr>
          <w:sz w:val="20"/>
          <w:szCs w:val="20"/>
          <w:color w:val="auto"/>
        </w:rPr>
      </w:pPr>
      <w:r>
        <w:rPr>
          <w:rFonts w:ascii="Arial" w:cs="Arial" w:eastAsia="Arial" w:hAnsi="Arial"/>
          <w:sz w:val="14"/>
          <w:szCs w:val="14"/>
          <w:b w:val="1"/>
          <w:bCs w:val="1"/>
          <w:color w:val="auto"/>
        </w:rPr>
        <w:t>Section 1.1</w:t>
      </w:r>
      <w:r>
        <w:rPr>
          <w:sz w:val="20"/>
          <w:szCs w:val="20"/>
          <w:color w:val="auto"/>
        </w:rPr>
        <w:tab/>
      </w:r>
      <w:r>
        <w:rPr>
          <w:rFonts w:ascii="Arial" w:cs="Arial" w:eastAsia="Arial" w:hAnsi="Arial"/>
          <w:sz w:val="12"/>
          <w:szCs w:val="12"/>
          <w:u w:val="single" w:color="auto"/>
          <w:color w:val="auto"/>
        </w:rPr>
        <w:t>Certain Defined Terms</w:t>
      </w:r>
      <w:r>
        <w:rPr>
          <w:rFonts w:ascii="Arial" w:cs="Arial" w:eastAsia="Arial" w:hAnsi="Arial"/>
          <w:sz w:val="12"/>
          <w:szCs w:val="12"/>
          <w:color w:val="auto"/>
        </w:rPr>
        <w:t>. The following terms have the following meanings:</w:t>
      </w:r>
    </w:p>
    <w:p>
      <w:pPr>
        <w:spacing w:after="0" w:line="135"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Acceleration Event</w:t>
      </w:r>
      <w:r>
        <w:rPr>
          <w:rFonts w:ascii="Arial" w:cs="Arial" w:eastAsia="Arial" w:hAnsi="Arial"/>
          <w:sz w:val="14"/>
          <w:szCs w:val="14"/>
          <w:color w:val="auto"/>
        </w:rPr>
        <w:t>” means the occurrence of an Event of Default (a) in respect of which Agent has declared all or any portion of the Obligations to be immediately due and payable pursuant to Section 10.2, and/or (b) pursuant to either Section 10.1(e) and/or Section 10.1(f).</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 Debtor</w:t>
      </w:r>
      <w:r>
        <w:rPr>
          <w:rFonts w:ascii="Arial" w:cs="Arial" w:eastAsia="Arial" w:hAnsi="Arial"/>
          <w:sz w:val="14"/>
          <w:szCs w:val="14"/>
          <w:color w:val="auto"/>
        </w:rPr>
        <w:t>” means “account debtor”, as defined in Article 9 of the UCC, and any other obligor in respect of an Account.</w:t>
      </w:r>
    </w:p>
    <w:p>
      <w:pPr>
        <w:spacing w:after="0" w:line="320"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238" w:right="319" w:bottom="1440" w:gutter="0" w:footer="0" w:header="0"/>
        </w:sectPr>
      </w:pPr>
    </w:p>
    <w:bookmarkStart w:id="63" w:name="page64"/>
    <w:bookmarkEnd w:id="63"/>
    <w:p>
      <w:pPr>
        <w:jc w:val="both"/>
        <w:ind w:left="140" w:firstLine="837"/>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Accounts</w:t>
      </w:r>
      <w:r>
        <w:rPr>
          <w:rFonts w:ascii="Arial" w:cs="Arial" w:eastAsia="Arial" w:hAnsi="Arial"/>
          <w:sz w:val="14"/>
          <w:szCs w:val="14"/>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 compiled or derived by any Borrower or to which any Borrower is entitled in respect of or related to the foregoing, and (e) all proceeds of any of the foregoing.</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Titled Agents</w:t>
      </w:r>
      <w:r>
        <w:rPr>
          <w:rFonts w:ascii="Arial" w:cs="Arial" w:eastAsia="Arial" w:hAnsi="Arial"/>
          <w:sz w:val="14"/>
          <w:szCs w:val="14"/>
          <w:color w:val="auto"/>
        </w:rPr>
        <w:t>” has the meaning set forth in Section 11.15.</w:t>
      </w:r>
    </w:p>
    <w:p>
      <w:pPr>
        <w:spacing w:after="0" w:line="154"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and the spouses, parents, descendants and siblings of such officers, directors or other Persons. As used in this definition, the term “control” of a Person means the possession, directly or indirectly, of the power to vote ten percent (10%) or more of any class of voting securities of such Person or to direct or cause the direction of the management or policies of a Person, whether through the ownership of voting securities, by contract or otherwise.</w:t>
      </w:r>
    </w:p>
    <w:p>
      <w:pPr>
        <w:spacing w:after="0" w:line="126"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Agent</w:t>
      </w:r>
      <w:r>
        <w:rPr>
          <w:rFonts w:ascii="Arial" w:cs="Arial" w:eastAsia="Arial" w:hAnsi="Arial"/>
          <w:sz w:val="14"/>
          <w:szCs w:val="14"/>
          <w:color w:val="auto"/>
        </w:rPr>
        <w:t>” means MCF, in its capacity as administrative agent for itself and for Lenders hereunder, as such capacity is established in, and subject to the provisions of, Article 11, and the successors and permitted assigns of MCF in such capacity.</w:t>
      </w:r>
    </w:p>
    <w:p>
      <w:pPr>
        <w:spacing w:after="0" w:line="110" w:lineRule="exact"/>
        <w:rPr>
          <w:sz w:val="20"/>
          <w:szCs w:val="20"/>
          <w:color w:val="auto"/>
        </w:rPr>
      </w:pPr>
    </w:p>
    <w:p>
      <w:pPr>
        <w:ind w:left="140" w:right="40" w:firstLine="835"/>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Anti-Terrorism Laws</w:t>
      </w:r>
      <w:r>
        <w:rPr>
          <w:rFonts w:ascii="Arial" w:cs="Arial" w:eastAsia="Arial" w:hAnsi="Arial"/>
          <w:sz w:val="14"/>
          <w:szCs w:val="14"/>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Margin</w:t>
      </w:r>
      <w:r>
        <w:rPr>
          <w:rFonts w:ascii="Arial" w:cs="Arial" w:eastAsia="Arial" w:hAnsi="Arial"/>
          <w:sz w:val="14"/>
          <w:szCs w:val="14"/>
          <w:color w:val="auto"/>
        </w:rPr>
        <w:t>” means seven and six tenths percent (7.60%).</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Aptevo Therapeutics</w:t>
      </w:r>
      <w:r>
        <w:rPr>
          <w:rFonts w:ascii="Arial" w:cs="Arial" w:eastAsia="Arial" w:hAnsi="Arial"/>
          <w:sz w:val="14"/>
          <w:szCs w:val="14"/>
          <w:color w:val="auto"/>
        </w:rPr>
        <w:t>” means Aptevo Therapeutics Inc., a Delaware corporation.</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Asset Disposition</w:t>
      </w:r>
      <w:r>
        <w:rPr>
          <w:rFonts w:ascii="Arial" w:cs="Arial" w:eastAsia="Arial" w:hAnsi="Arial"/>
          <w:sz w:val="14"/>
          <w:szCs w:val="14"/>
          <w:color w:val="auto"/>
        </w:rPr>
        <w:t>” means any sale, lease, license, transfer, assignment or other consensual disposition by any Credit Party of any asset.</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Bankruptcy Code</w:t>
      </w:r>
      <w:r>
        <w:rPr>
          <w:rFonts w:ascii="Arial" w:cs="Arial" w:eastAsia="Arial" w:hAnsi="Arial"/>
          <w:sz w:val="13"/>
          <w:szCs w:val="13"/>
          <w:color w:val="auto"/>
        </w:rPr>
        <w:t>” means Title 11 of the United States Code entitled “Bankruptcy”, as the same may be amended, modified or supplemented from time to time, and any successor</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statute thereto.</w:t>
      </w:r>
    </w:p>
    <w:p>
      <w:pPr>
        <w:spacing w:after="0" w:line="138" w:lineRule="exact"/>
        <w:rPr>
          <w:sz w:val="20"/>
          <w:szCs w:val="20"/>
          <w:color w:val="auto"/>
        </w:rPr>
      </w:pPr>
    </w:p>
    <w:p>
      <w:pPr>
        <w:jc w:val="both"/>
        <w:ind w:left="140" w:right="20" w:firstLine="836"/>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Base LIBOR Rate</w:t>
      </w:r>
      <w:r>
        <w:rPr>
          <w:rFonts w:ascii="Arial" w:cs="Arial" w:eastAsia="Arial" w:hAnsi="Arial"/>
          <w:sz w:val="13"/>
          <w:szCs w:val="13"/>
          <w:color w:val="auto"/>
        </w:rPr>
        <w:t>” means, for each Interest Period, the rate per annum, determined by Agent in accordance with its customary procedures, and utilizing such electronic or other quotation sources as it considers appropriate (rounded upwards, if necessary, to the next 1/100%), to be the rate at which Dollar deposits (for delivery on the first day of such Interest Period or, if such day is not a Business Day on the preceding Business Day) in the amount of $1,000,000 are offered to major banks in the London interbank market on or about 11:00 a.m. (Eastern time) two (2) Business Days prior to the commencement of such Interest Period, for a term comparable to such Interest Period, which determination shall be conclusive in the absence of manifest error.</w:t>
      </w:r>
    </w:p>
    <w:p>
      <w:pPr>
        <w:spacing w:after="0" w:line="276"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4" w:name="page65"/>
    <w:bookmarkEnd w:id="64"/>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Base Rate</w:t>
      </w:r>
      <w:r>
        <w:rPr>
          <w:rFonts w:ascii="Arial" w:cs="Arial" w:eastAsia="Arial" w:hAnsi="Arial"/>
          <w:sz w:val="14"/>
          <w:szCs w:val="14"/>
          <w:color w:val="auto"/>
        </w:rPr>
        <w:t>” means a per annum rate of interest equal to the greater of (a) three and one half percent (3.5%) and (b) the rate of interest announced, from time to time, within Wells Fargo Bank, National Association (“</w:t>
      </w:r>
      <w:r>
        <w:rPr>
          <w:rFonts w:ascii="Arial" w:cs="Arial" w:eastAsia="Arial" w:hAnsi="Arial"/>
          <w:sz w:val="14"/>
          <w:szCs w:val="14"/>
          <w:b w:val="1"/>
          <w:bCs w:val="1"/>
          <w:color w:val="auto"/>
        </w:rPr>
        <w:t>Wells Fargo</w:t>
      </w:r>
      <w:r>
        <w:rPr>
          <w:rFonts w:ascii="Arial" w:cs="Arial" w:eastAsia="Arial" w:hAnsi="Arial"/>
          <w:sz w:val="14"/>
          <w:szCs w:val="14"/>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Agent may, upon prior written notice to Borrower, choose a reasonably comparable index or source to use as the basis for the Base Rate.</w:t>
      </w:r>
    </w:p>
    <w:p>
      <w:pPr>
        <w:spacing w:after="0" w:line="126"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Blocked Person</w:t>
      </w:r>
      <w:r>
        <w:rPr>
          <w:rFonts w:ascii="Arial" w:cs="Arial" w:eastAsia="Arial" w:hAnsi="Arial"/>
          <w:sz w:val="14"/>
          <w:szCs w:val="14"/>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 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or is named as a “listed person” or “listed entity” on other lists made under any Anti-Terrorism Law.</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Borrower</w:t>
      </w:r>
      <w:r>
        <w:rPr>
          <w:rFonts w:ascii="Arial" w:cs="Arial" w:eastAsia="Arial" w:hAnsi="Arial"/>
          <w:sz w:val="14"/>
          <w:szCs w:val="14"/>
          <w:color w:val="auto"/>
        </w:rPr>
        <w:t>” and “</w:t>
      </w:r>
      <w:r>
        <w:rPr>
          <w:rFonts w:ascii="Arial" w:cs="Arial" w:eastAsia="Arial" w:hAnsi="Arial"/>
          <w:sz w:val="14"/>
          <w:szCs w:val="14"/>
          <w:b w:val="1"/>
          <w:bCs w:val="1"/>
          <w:color w:val="auto"/>
        </w:rPr>
        <w:t>Borrowers</w:t>
      </w:r>
      <w:r>
        <w:rPr>
          <w:rFonts w:ascii="Arial" w:cs="Arial" w:eastAsia="Arial" w:hAnsi="Arial"/>
          <w:sz w:val="14"/>
          <w:szCs w:val="14"/>
          <w:color w:val="auto"/>
        </w:rPr>
        <w:t>” has the meaning set forth in the introductory paragraph hereto. “</w:t>
      </w:r>
      <w:r>
        <w:rPr>
          <w:rFonts w:ascii="Arial" w:cs="Arial" w:eastAsia="Arial" w:hAnsi="Arial"/>
          <w:sz w:val="14"/>
          <w:szCs w:val="14"/>
          <w:b w:val="1"/>
          <w:bCs w:val="1"/>
          <w:color w:val="auto"/>
        </w:rPr>
        <w:t>Borrower Unrestricted Cash</w:t>
      </w:r>
      <w:r>
        <w:rPr>
          <w:rFonts w:ascii="Arial" w:cs="Arial" w:eastAsia="Arial" w:hAnsi="Arial"/>
          <w:sz w:val="14"/>
          <w:szCs w:val="14"/>
          <w:color w:val="auto"/>
        </w:rPr>
        <w:t>” has the meaning set forth in Section 6.1.</w:t>
      </w:r>
    </w:p>
    <w:p>
      <w:pPr>
        <w:spacing w:after="0" w:line="17"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Borrower Representative</w:t>
      </w:r>
      <w:r>
        <w:rPr>
          <w:rFonts w:ascii="Arial" w:cs="Arial" w:eastAsia="Arial" w:hAnsi="Arial"/>
          <w:sz w:val="14"/>
          <w:szCs w:val="14"/>
          <w:color w:val="auto"/>
        </w:rPr>
        <w:t>” means Aptevo Therapeutics, in its capacity as Borrower Representative pursuant to the provisions of Section 2.9, or any successor Borrower Representative selected by Borrowers and approved by Agent.</w:t>
      </w:r>
    </w:p>
    <w:p>
      <w:pPr>
        <w:spacing w:after="0" w:line="126"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except a Saturday, Sunday or other day on which either the New York Stock Exchange is closed, or on which commercial banks in Washington, DC and New York City are authorized by law to close.</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CERCLA</w:t>
      </w:r>
      <w:r>
        <w:rPr>
          <w:rFonts w:ascii="Arial" w:cs="Arial" w:eastAsia="Arial" w:hAnsi="Arial"/>
          <w:sz w:val="12"/>
          <w:szCs w:val="12"/>
          <w:color w:val="auto"/>
        </w:rPr>
        <w:t xml:space="preserve">” means the Comprehensive Environmental Response, Compensation and Liability Act of 1980, 42 U.S.C.A. § 9601 </w:t>
      </w:r>
      <w:r>
        <w:rPr>
          <w:rFonts w:ascii="Arial" w:cs="Arial" w:eastAsia="Arial" w:hAnsi="Arial"/>
          <w:sz w:val="12"/>
          <w:szCs w:val="12"/>
          <w:i w:val="1"/>
          <w:iCs w:val="1"/>
          <w:color w:val="auto"/>
        </w:rPr>
        <w:t>et seq</w:t>
      </w:r>
      <w:r>
        <w:rPr>
          <w:rFonts w:ascii="Arial" w:cs="Arial" w:eastAsia="Arial" w:hAnsi="Arial"/>
          <w:sz w:val="12"/>
          <w:szCs w:val="12"/>
          <w:color w:val="auto"/>
        </w:rPr>
        <w:t>., as the same may be amended from time to time.</w:t>
      </w:r>
    </w:p>
    <w:p>
      <w:pPr>
        <w:spacing w:after="0" w:line="177" w:lineRule="exact"/>
        <w:rPr>
          <w:sz w:val="20"/>
          <w:szCs w:val="20"/>
          <w:color w:val="auto"/>
        </w:rPr>
      </w:pPr>
    </w:p>
    <w:p>
      <w:pPr>
        <w:jc w:val="both"/>
        <w:ind w:left="140" w:firstLine="837"/>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means any of the following events: (a) any Person other than another Borrower or two or more Persons acting in concert shall have acquired beneficial ownership, directly or indirectly, of, or shall have acquired by contract or otherwise, or shall have entered into a contract or arrangement that, upon consummation, will result in its or their acquisition of or control over, voting stock of any Borrower (or other securities convertible into such voting stock) representing more than 50% of the combined voting power of all voting stock of any Borrower; (b) any Borrower ceases to own, directly or indirectly, 100% of the capital stock of any of its Subsidiaries (with the exception of any Subsidiaries permitted to be dissolved, merged or otherwise disposed of to the extent otherwise permitted by this Agreement); or (c) the occurrence of a “Change of Control” or “Change in Control” or terms of similar import under any document or instrument governing or relating to Debt of or equity in such Person. As used herein, “beneficial ownership” shall have the meaning provided in Rule 13d-3 of the Securities and Exchange Commission under the Securities Exchange Act of 1934.</w:t>
      </w:r>
    </w:p>
    <w:p>
      <w:pPr>
        <w:spacing w:after="0" w:line="1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Date</w:t>
      </w:r>
      <w:r>
        <w:rPr>
          <w:rFonts w:ascii="Arial" w:cs="Arial" w:eastAsia="Arial" w:hAnsi="Arial"/>
          <w:sz w:val="14"/>
          <w:szCs w:val="14"/>
          <w:color w:val="auto"/>
        </w:rPr>
        <w:t>” has the meaning set forth in the introductory paragraph hereto.</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CMS</w:t>
      </w:r>
      <w:r>
        <w:rPr>
          <w:rFonts w:ascii="Arial" w:cs="Arial" w:eastAsia="Arial" w:hAnsi="Arial"/>
          <w:sz w:val="13"/>
          <w:szCs w:val="13"/>
          <w:color w:val="auto"/>
        </w:rPr>
        <w:t>” means the federal Centers for Medicare and Medicaid Services (formerly the federal Health Care Financing Administration), and any successor Governmental Authority.</w:t>
      </w:r>
    </w:p>
    <w:p>
      <w:pPr>
        <w:spacing w:after="0" w:line="332"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5" w:name="page66"/>
    <w:bookmarkEnd w:id="65"/>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 as amended from time to time.</w:t>
      </w:r>
    </w:p>
    <w:p>
      <w:pPr>
        <w:spacing w:after="0" w:line="154" w:lineRule="exact"/>
        <w:rPr>
          <w:sz w:val="20"/>
          <w:szCs w:val="20"/>
          <w:color w:val="auto"/>
        </w:rPr>
      </w:pPr>
    </w:p>
    <w:p>
      <w:pPr>
        <w:jc w:val="both"/>
        <w:ind w:left="140" w:firstLine="837"/>
        <w:spacing w:after="0" w:line="31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Collateral</w:t>
      </w:r>
      <w:r>
        <w:rPr>
          <w:rFonts w:ascii="Arial" w:cs="Arial" w:eastAsia="Arial" w:hAnsi="Arial"/>
          <w:sz w:val="13"/>
          <w:szCs w:val="13"/>
          <w:color w:val="auto"/>
        </w:rPr>
        <w:t xml:space="preserve">” means all property, now existing or hereafter acquired, mortgaged or pledged to, or purported to be subjected to a Lien in favor of, Agent, for the benefit of Agent and Lenders, pursuant to this Agreement and the Security Documents, including, without limitation, all of the property described in </w:t>
      </w:r>
      <w:r>
        <w:rPr>
          <w:rFonts w:ascii="Arial" w:cs="Arial" w:eastAsia="Arial" w:hAnsi="Arial"/>
          <w:sz w:val="13"/>
          <w:szCs w:val="13"/>
          <w:u w:val="single" w:color="auto"/>
          <w:color w:val="auto"/>
        </w:rPr>
        <w:t>Schedule 9.1</w:t>
      </w:r>
      <w:r>
        <w:rPr>
          <w:rFonts w:ascii="Arial" w:cs="Arial" w:eastAsia="Arial" w:hAnsi="Arial"/>
          <w:sz w:val="13"/>
          <w:szCs w:val="13"/>
          <w:color w:val="auto"/>
        </w:rPr>
        <w:t xml:space="preserve"> hereto, but excluding any Excluded Property.</w:t>
      </w:r>
    </w:p>
    <w:p>
      <w:pPr>
        <w:spacing w:after="0" w:line="78"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Commercial Products</w:t>
      </w:r>
      <w:r>
        <w:rPr>
          <w:rFonts w:ascii="Arial" w:cs="Arial" w:eastAsia="Arial" w:hAnsi="Arial"/>
          <w:sz w:val="13"/>
          <w:szCs w:val="13"/>
          <w:color w:val="auto"/>
        </w:rPr>
        <w:t>” means the IXINITY product and any other commercial products developed or in-licensed by the Borrowers in accordance with the terms of this Agreement.</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Commitment Annex</w:t>
      </w:r>
      <w:r>
        <w:rPr>
          <w:rFonts w:ascii="Arial" w:cs="Arial" w:eastAsia="Arial" w:hAnsi="Arial"/>
          <w:sz w:val="14"/>
          <w:szCs w:val="14"/>
          <w:color w:val="auto"/>
        </w:rPr>
        <w:t xml:space="preserve">” means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to this Agreement.</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Compliance Certificate</w:t>
      </w:r>
      <w:r>
        <w:rPr>
          <w:rFonts w:ascii="Arial" w:cs="Arial" w:eastAsia="Arial" w:hAnsi="Arial"/>
          <w:sz w:val="12"/>
          <w:szCs w:val="12"/>
          <w:color w:val="auto"/>
        </w:rPr>
        <w:t xml:space="preserve">” means a certificate, duly executed by a Responsible Officer of Borrower Representative, appropriately completed and substantially in the form of </w:t>
      </w:r>
      <w:r>
        <w:rPr>
          <w:rFonts w:ascii="Arial" w:cs="Arial" w:eastAsia="Arial" w:hAnsi="Arial"/>
          <w:sz w:val="12"/>
          <w:szCs w:val="12"/>
          <w:u w:val="single" w:color="auto"/>
          <w:color w:val="auto"/>
        </w:rPr>
        <w:t>Exhibit B</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hereto.</w:t>
      </w:r>
    </w:p>
    <w:p>
      <w:pPr>
        <w:spacing w:after="0" w:line="129"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Consolidated Subsidiary</w:t>
      </w:r>
      <w:r>
        <w:rPr>
          <w:rFonts w:ascii="Arial" w:cs="Arial" w:eastAsia="Arial" w:hAnsi="Arial"/>
          <w:sz w:val="14"/>
          <w:szCs w:val="14"/>
          <w:color w:val="auto"/>
        </w:rPr>
        <w:t>” means, at any date, any Subsidiary the accounts of which would be consolidated with those of “parent” Borrower (or any other Person, as the context may require hereunder) in its consolidated financial statements if such statements were prepared as of such date.</w:t>
      </w:r>
    </w:p>
    <w:p>
      <w:pPr>
        <w:spacing w:after="0" w:line="110" w:lineRule="exact"/>
        <w:rPr>
          <w:sz w:val="20"/>
          <w:szCs w:val="20"/>
          <w:color w:val="auto"/>
        </w:rPr>
      </w:pPr>
    </w:p>
    <w:p>
      <w:pPr>
        <w:jc w:val="both"/>
        <w:ind w:left="140" w:firstLine="837"/>
        <w:spacing w:after="0" w:line="29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Contingent Obligation</w:t>
      </w:r>
      <w:r>
        <w:rPr>
          <w:rFonts w:ascii="Arial" w:cs="Arial" w:eastAsia="Arial" w:hAnsi="Arial"/>
          <w:sz w:val="12"/>
          <w:szCs w:val="12"/>
          <w:color w:val="auto"/>
        </w:rPr>
        <w:t>” means, with respect to any Person, any direct or indirect liability of such Person: (a) with respect to any Debt of another Person (a “</w:t>
      </w:r>
      <w:r>
        <w:rPr>
          <w:rFonts w:ascii="Arial" w:cs="Arial" w:eastAsia="Arial" w:hAnsi="Arial"/>
          <w:sz w:val="12"/>
          <w:szCs w:val="12"/>
          <w:b w:val="1"/>
          <w:bCs w:val="1"/>
          <w:color w:val="auto"/>
        </w:rPr>
        <w:t>Third Party</w:t>
      </w:r>
      <w:r>
        <w:rPr>
          <w:rFonts w:ascii="Arial" w:cs="Arial" w:eastAsia="Arial" w:hAnsi="Arial"/>
          <w:sz w:val="12"/>
          <w:szCs w:val="12"/>
          <w:color w:val="auto"/>
        </w:rPr>
        <w:t xml:space="preserve"> </w:t>
      </w:r>
      <w:r>
        <w:rPr>
          <w:rFonts w:ascii="Arial" w:cs="Arial" w:eastAsia="Arial" w:hAnsi="Arial"/>
          <w:sz w:val="12"/>
          <w:szCs w:val="12"/>
          <w:b w:val="1"/>
          <w:bCs w:val="1"/>
          <w:color w:val="auto"/>
        </w:rPr>
        <w:t>Obligation</w:t>
      </w:r>
      <w:r>
        <w:rPr>
          <w:rFonts w:ascii="Arial" w:cs="Arial" w:eastAsia="Arial" w:hAnsi="Arial"/>
          <w:sz w:val="12"/>
          <w:szCs w:val="12"/>
          <w:color w:val="auto"/>
        </w:rPr>
        <w:t>”) if the purpose or intent of such Person incurring such liability, or the effect thereof, is to provide assurance to the obligee of such Third Party Obligation that such Third Party Obligation</w:t>
      </w:r>
      <w:r>
        <w:rPr>
          <w:rFonts w:ascii="Arial" w:cs="Arial" w:eastAsia="Arial" w:hAnsi="Arial"/>
          <w:sz w:val="12"/>
          <w:szCs w:val="12"/>
          <w:b w:val="1"/>
          <w:bCs w:val="1"/>
          <w:color w:val="auto"/>
        </w:rPr>
        <w:t xml:space="preserve"> </w:t>
      </w:r>
      <w:r>
        <w:rPr>
          <w:rFonts w:ascii="Arial" w:cs="Arial" w:eastAsia="Arial" w:hAnsi="Arial"/>
          <w:sz w:val="12"/>
          <w:szCs w:val="12"/>
          <w:color w:val="auto"/>
        </w:rPr>
        <w:t>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 (c) 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03"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Controlled Group</w:t>
      </w:r>
      <w:r>
        <w:rPr>
          <w:rFonts w:ascii="Arial" w:cs="Arial" w:eastAsia="Arial" w:hAnsi="Arial"/>
          <w:sz w:val="14"/>
          <w:szCs w:val="14"/>
          <w:color w:val="auto"/>
        </w:rPr>
        <w:t>” means all members of any group of corporations and all members of a group of trades or businesses (whether or not incorporated) under common control which, together with any Borrower, are treated as a single employer under Section 414(b), (c), (m) or (o) of the Code or Section 4001(b) of ERISA.</w:t>
      </w:r>
    </w:p>
    <w:p>
      <w:pPr>
        <w:spacing w:after="0" w:line="11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Correction</w:t>
      </w:r>
      <w:r>
        <w:rPr>
          <w:rFonts w:ascii="Arial" w:cs="Arial" w:eastAsia="Arial" w:hAnsi="Arial"/>
          <w:sz w:val="14"/>
          <w:szCs w:val="14"/>
          <w:color w:val="auto"/>
        </w:rPr>
        <w:t>” means repair, modification, adjustment, relabeling, destruction or inspection (including patient monitoring) that is outside of routine monitoring and monitoring required under applicable Laws of a product without its physical removal to some other location.</w:t>
      </w:r>
    </w:p>
    <w:p>
      <w:pPr>
        <w:spacing w:after="0" w:line="11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Exposure</w:t>
      </w:r>
      <w:r>
        <w:rPr>
          <w:rFonts w:ascii="Arial" w:cs="Arial" w:eastAsia="Arial" w:hAnsi="Arial"/>
          <w:sz w:val="14"/>
          <w:szCs w:val="14"/>
          <w:color w:val="auto"/>
        </w:rPr>
        <w:t xml:space="preserve">” means, at any time, any portion of the Term Loan Commitments and of any other Obligations that remains outstanding;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 Credit Exposure shall be deemed to exist solely due to the existence of contingent indemnification liability, absent the assertion of a claim, or the known existence of a claim reasonably likely to be asserted, with respect thereto.</w:t>
      </w:r>
    </w:p>
    <w:p>
      <w:pPr>
        <w:spacing w:after="0" w:line="287"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6" w:name="page67"/>
    <w:bookmarkEnd w:id="66"/>
    <w:p>
      <w:pPr>
        <w:jc w:val="both"/>
        <w:ind w:left="140" w:right="20" w:firstLine="837"/>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Credit Party</w:t>
      </w:r>
      <w:r>
        <w:rPr>
          <w:rFonts w:ascii="Arial" w:cs="Arial" w:eastAsia="Arial" w:hAnsi="Arial"/>
          <w:sz w:val="13"/>
          <w:szCs w:val="13"/>
          <w:color w:val="auto"/>
        </w:rPr>
        <w:t xml:space="preserve">” means any Guarantor under a Guarantee of the Obligations or any part thereof, any Borrower and any other Person (other than Agent, a Lender or a participant of a Lender), whether now existing or hereafter acquired or formed, that becomes obligated as a borrower, guarantor, surety, indemnitor, pledgor, assignor or other obligor under any Financing Document, and any Person whose equity interests or portion thereof have been pledged or hypothecated to Agent under any Financing Document;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in no event shall any Excluded Foreign Subsidiary or Excluded Domestic Holdco be a “Credit Party” for purposes of this Agreement or the other Financing Documents.</w:t>
      </w:r>
    </w:p>
    <w:p>
      <w:pPr>
        <w:spacing w:after="0" w:line="109" w:lineRule="exact"/>
        <w:rPr>
          <w:sz w:val="20"/>
          <w:szCs w:val="20"/>
          <w:color w:val="auto"/>
        </w:rPr>
      </w:pPr>
    </w:p>
    <w:p>
      <w:pPr>
        <w:jc w:val="both"/>
        <w:ind w:left="140" w:right="40" w:firstLine="835"/>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Debt</w:t>
      </w:r>
      <w:r>
        <w:rPr>
          <w:rFonts w:ascii="Arial" w:cs="Arial" w:eastAsia="Arial" w:hAnsi="Arial"/>
          <w:sz w:val="14"/>
          <w:szCs w:val="14"/>
          <w:color w:val="auto"/>
        </w:rPr>
        <w:t>” of a Person means at any date,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and which do not remain unpaid more than ninety (90) days past the invoice date, (d) all capital leases of such Person,</w:t>
      </w:r>
    </w:p>
    <w:p>
      <w:pPr>
        <w:spacing w:after="0" w:line="2" w:lineRule="exact"/>
        <w:rPr>
          <w:sz w:val="20"/>
          <w:szCs w:val="20"/>
          <w:color w:val="auto"/>
        </w:rPr>
      </w:pPr>
    </w:p>
    <w:p>
      <w:pPr>
        <w:jc w:val="both"/>
        <w:ind w:left="140" w:firstLine="4"/>
        <w:spacing w:after="0" w:line="294" w:lineRule="auto"/>
        <w:tabs>
          <w:tab w:leader="none" w:pos="549" w:val="left"/>
        </w:tabs>
        <w:numPr>
          <w:ilvl w:val="0"/>
          <w:numId w:val="23"/>
        </w:numPr>
        <w:rPr>
          <w:rFonts w:ascii="Arial" w:cs="Arial" w:eastAsia="Arial" w:hAnsi="Arial"/>
          <w:sz w:val="12"/>
          <w:szCs w:val="12"/>
          <w:color w:val="auto"/>
        </w:rPr>
      </w:pPr>
      <w:r>
        <w:rPr>
          <w:rFonts w:ascii="Arial" w:cs="Arial" w:eastAsia="Arial" w:hAnsi="Arial"/>
          <w:sz w:val="12"/>
          <w:szCs w:val="12"/>
          <w:color w:val="auto"/>
        </w:rPr>
        <w:t>all non-contingent obligations of such Person to reimburse any bank or other Person in respect of amounts paid under a letter of credit, banker’s acceptance or similar instrument, (f) all equity securities of such Person subject to repurchase or redemption other than at the sole option of such Person,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but in each case solely to the extent carried on the balance sheet of such Person as a liability in accordance with GAAP, (i) all Debt of others Guaranteed by such Person, and (j) the principal balance outstanding under any synthetic lease, tax retention operating lease, off-balance sheet loan or similar off-balance sheet financing product.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w:t>
      </w:r>
      <w:r>
        <w:rPr>
          <w:rFonts w:ascii="Arial" w:cs="Arial" w:eastAsia="Arial" w:hAnsi="Arial"/>
          <w:sz w:val="14"/>
          <w:szCs w:val="14"/>
          <w:color w:val="auto"/>
        </w:rPr>
        <w:t>” means any condition or event which with the giving of notice or lapse of time or both would, unless cured or waived, become an Event of Default.</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Defined Period</w:t>
      </w:r>
      <w:r>
        <w:rPr>
          <w:rFonts w:ascii="Arial" w:cs="Arial" w:eastAsia="Arial" w:hAnsi="Arial"/>
          <w:sz w:val="14"/>
          <w:szCs w:val="14"/>
          <w:color w:val="auto"/>
        </w:rPr>
        <w:t>” has the meaning set forth in Section 6.1.</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 Account</w:t>
      </w:r>
      <w:r>
        <w:rPr>
          <w:rFonts w:ascii="Arial" w:cs="Arial" w:eastAsia="Arial" w:hAnsi="Arial"/>
          <w:sz w:val="14"/>
          <w:szCs w:val="14"/>
          <w:color w:val="auto"/>
        </w:rPr>
        <w:t>” means a “deposit account” (as defined in Article 9 of the UCC), an investment account, or other account in which funds are held or invested for credit to or for the benefit of any Borrower.</w:t>
      </w:r>
    </w:p>
    <w:p>
      <w:pPr>
        <w:spacing w:after="0" w:line="110" w:lineRule="exact"/>
        <w:rPr>
          <w:sz w:val="20"/>
          <w:szCs w:val="20"/>
          <w:color w:val="auto"/>
        </w:rPr>
      </w:pPr>
    </w:p>
    <w:p>
      <w:pPr>
        <w:jc w:val="both"/>
        <w:ind w:left="140" w:firstLine="837"/>
        <w:spacing w:after="0" w:line="30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Deposit Account Control Agreement</w:t>
      </w:r>
      <w:r>
        <w:rPr>
          <w:rFonts w:ascii="Arial" w:cs="Arial" w:eastAsia="Arial" w:hAnsi="Arial"/>
          <w:sz w:val="12"/>
          <w:szCs w:val="12"/>
          <w:color w:val="auto"/>
        </w:rPr>
        <w:t>” means an agreement, in form and substance reasonably satisfactory to Agent, among Agent, any Borrower and each financial institution in which such Borrower maintains a Deposit Account, which agreement provides that (a) such financial institution shall comply with instructions originated by Agent directing disposition of the funds in such Deposit Account without further consent by the applicable Borrower, and (b) such financial institution shall agree that it shall have no Lien on, or right of setoff or recoupment against, such Deposit Account or the contents thereof, other than in respect of usual and customary service fees and returned items, and containing such other terms and conditions as Agent may reasonably require.</w:t>
      </w:r>
    </w:p>
    <w:p>
      <w:pPr>
        <w:spacing w:after="0" w:line="94"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Distribution</w:t>
      </w:r>
      <w:r>
        <w:rPr>
          <w:rFonts w:ascii="Arial" w:cs="Arial" w:eastAsia="Arial" w:hAnsi="Arial"/>
          <w:sz w:val="14"/>
          <w:szCs w:val="14"/>
          <w:color w:val="auto"/>
        </w:rPr>
        <w:t>” means as to any Person (a) any dividend or other distribution (whether in cash, securities or other property) on any equity interest in such Person (except those payable solely in its equity interests of the same class), or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Dollars</w:t>
      </w:r>
      <w:r>
        <w:rPr>
          <w:rFonts w:ascii="Arial" w:cs="Arial" w:eastAsia="Arial" w:hAnsi="Arial"/>
          <w:sz w:val="14"/>
          <w:szCs w:val="14"/>
          <w:color w:val="auto"/>
        </w:rPr>
        <w:t>” or “</w:t>
      </w:r>
      <w:r>
        <w:rPr>
          <w:rFonts w:ascii="Arial" w:cs="Arial" w:eastAsia="Arial" w:hAnsi="Arial"/>
          <w:sz w:val="14"/>
          <w:szCs w:val="14"/>
          <w:b w:val="1"/>
          <w:bCs w:val="1"/>
          <w:color w:val="auto"/>
        </w:rPr>
        <w:t>$</w:t>
      </w:r>
      <w:r>
        <w:rPr>
          <w:rFonts w:ascii="Arial" w:cs="Arial" w:eastAsia="Arial" w:hAnsi="Arial"/>
          <w:sz w:val="14"/>
          <w:szCs w:val="14"/>
          <w:color w:val="auto"/>
        </w:rPr>
        <w:t>” means the lawful currency of the United States of America.</w:t>
      </w:r>
    </w:p>
    <w:p>
      <w:pPr>
        <w:spacing w:after="0" w:line="320"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7" w:name="page68"/>
    <w:bookmarkEnd w:id="67"/>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Drug Application</w:t>
      </w:r>
      <w:r>
        <w:rPr>
          <w:rFonts w:ascii="Arial" w:cs="Arial" w:eastAsia="Arial" w:hAnsi="Arial"/>
          <w:sz w:val="14"/>
          <w:szCs w:val="14"/>
          <w:color w:val="auto"/>
        </w:rPr>
        <w:t>” means a biologic license application for any Product, as appropriate, as that term is defined in the FDCA.</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Emergent</w:t>
      </w:r>
      <w:r>
        <w:rPr>
          <w:rFonts w:ascii="Arial" w:cs="Arial" w:eastAsia="Arial" w:hAnsi="Arial"/>
          <w:sz w:val="14"/>
          <w:szCs w:val="14"/>
          <w:color w:val="auto"/>
        </w:rPr>
        <w:t>” means Emergent BioSolutions Inc., a Delaware corporation.</w:t>
      </w:r>
    </w:p>
    <w:p>
      <w:pPr>
        <w:spacing w:after="0" w:line="154" w:lineRule="exact"/>
        <w:rPr>
          <w:sz w:val="20"/>
          <w:szCs w:val="20"/>
          <w:color w:val="auto"/>
        </w:rPr>
      </w:pPr>
    </w:p>
    <w:p>
      <w:pPr>
        <w:jc w:val="both"/>
        <w:ind w:left="140" w:firstLine="837"/>
        <w:spacing w:after="0" w:line="24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Emergent Spinoff Transaction</w:t>
      </w:r>
      <w:r>
        <w:rPr>
          <w:rFonts w:ascii="Arial" w:cs="Arial" w:eastAsia="Arial" w:hAnsi="Arial"/>
          <w:sz w:val="14"/>
          <w:szCs w:val="14"/>
          <w:color w:val="auto"/>
        </w:rPr>
        <w:t>” means the legal reorganization of Emergent separating its life sciences businesses into two independent, publicly-traded companies (the “</w:t>
      </w:r>
      <w:r>
        <w:rPr>
          <w:rFonts w:ascii="Arial" w:cs="Arial" w:eastAsia="Arial" w:hAnsi="Arial"/>
          <w:sz w:val="14"/>
          <w:szCs w:val="14"/>
          <w:b w:val="1"/>
          <w:bCs w:val="1"/>
          <w:color w:val="auto"/>
        </w:rPr>
        <w:t>Separation</w:t>
      </w:r>
      <w:r>
        <w:rPr>
          <w:rFonts w:ascii="Arial" w:cs="Arial" w:eastAsia="Arial" w:hAnsi="Arial"/>
          <w:sz w:val="14"/>
          <w:szCs w:val="14"/>
          <w:color w:val="auto"/>
        </w:rPr>
        <w:t>”) to consist of (i) Aptevo Therapeutics, which will be the spun-off entity that will own and operate Emergent’s biosciences business and (ii) Emergent, which will own and operate the other business, it being understood and agreed that the spin-off transaction related to the foregoing shall be as described in the Form 10 filed by Emergent with the United States Securities and Exchange Commission on April 15, 2015, as amended by Amendment 1 thereto filed May 31, 2016, Amendment 2 thereto filed June 28, 2016, Amendment 3 thereto filed on July 7, 2016, and Amendment 4 thereto filed on July 13, 2016 (as amended by the foregoing and pursuant to any other filings made by Emergent with the United States Securities and Exchange Commission prior to the Closing Date, the “</w:t>
      </w:r>
      <w:r>
        <w:rPr>
          <w:rFonts w:ascii="Arial" w:cs="Arial" w:eastAsia="Arial" w:hAnsi="Arial"/>
          <w:sz w:val="14"/>
          <w:szCs w:val="14"/>
          <w:b w:val="1"/>
          <w:bCs w:val="1"/>
          <w:color w:val="auto"/>
        </w:rPr>
        <w:t>Form 10</w:t>
      </w:r>
      <w:r>
        <w:rPr>
          <w:rFonts w:ascii="Arial" w:cs="Arial" w:eastAsia="Arial" w:hAnsi="Arial"/>
          <w:sz w:val="14"/>
          <w:szCs w:val="14"/>
          <w:color w:val="auto"/>
        </w:rPr>
        <w:t>”) and in accordance with the Separation and Distribution Agreement.</w:t>
      </w:r>
    </w:p>
    <w:p>
      <w:pPr>
        <w:spacing w:after="0" w:line="128" w:lineRule="exact"/>
        <w:rPr>
          <w:sz w:val="20"/>
          <w:szCs w:val="20"/>
          <w:color w:val="auto"/>
        </w:rPr>
      </w:pPr>
    </w:p>
    <w:p>
      <w:pPr>
        <w:jc w:val="both"/>
        <w:ind w:left="140" w:firstLine="897"/>
        <w:spacing w:after="0" w:line="24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Emergent Spinoff Documents</w:t>
      </w:r>
      <w:r>
        <w:rPr>
          <w:rFonts w:ascii="Arial" w:cs="Arial" w:eastAsia="Arial" w:hAnsi="Arial"/>
          <w:sz w:val="14"/>
          <w:szCs w:val="14"/>
          <w:color w:val="auto"/>
        </w:rPr>
        <w:t>” means the Separation and Distribution Agreement by and between Emergent and Aptevo Therapeutics, dated as of July 29, 2016, as amended, restated, supplemented or otherwise modified from time to time prior to the Closing Date (the “</w:t>
      </w:r>
      <w:r>
        <w:rPr>
          <w:rFonts w:ascii="Arial" w:cs="Arial" w:eastAsia="Arial" w:hAnsi="Arial"/>
          <w:sz w:val="14"/>
          <w:szCs w:val="14"/>
          <w:b w:val="1"/>
          <w:bCs w:val="1"/>
          <w:color w:val="auto"/>
        </w:rPr>
        <w:t>Separation and Distribution Agreement</w:t>
      </w:r>
      <w:r>
        <w:rPr>
          <w:rFonts w:ascii="Arial" w:cs="Arial" w:eastAsia="Arial" w:hAnsi="Arial"/>
          <w:sz w:val="14"/>
          <w:szCs w:val="14"/>
          <w:color w:val="auto"/>
        </w:rPr>
        <w:t>”), the Transition Services Agreement, dated as of July 29, 2016, by and between Emergent and Aptevo Therapeutics, the Product License Agreement, dated as of July 29, 2016, by and between Emergent and Aptevo Therapeutics, the Trademark License Agreement, dated as of July 29, 2016, by and between Emergent and Aptevo Therapeutics, the Canadian Distributor Agreement, dated as of July 29, 2016, by and between Emergent and Aptevo Therapeutics, the Manufacturing Services Agreement, dated as of July 29, 2016, by and between Emergent and Aptevo Therapeutics and each other document, agreement and/or instrument executed by Borrower in connection therewith and with the Emergent Spinoff Transaction.</w:t>
      </w:r>
    </w:p>
    <w:p>
      <w:pPr>
        <w:spacing w:after="0" w:line="128" w:lineRule="exact"/>
        <w:rPr>
          <w:sz w:val="20"/>
          <w:szCs w:val="20"/>
          <w:color w:val="auto"/>
        </w:rPr>
      </w:pPr>
    </w:p>
    <w:p>
      <w:pPr>
        <w:jc w:val="both"/>
        <w:ind w:left="140" w:firstLine="837"/>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Laws</w:t>
      </w:r>
      <w:r>
        <w:rPr>
          <w:rFonts w:ascii="Arial" w:cs="Arial" w:eastAsia="Arial" w:hAnsi="Arial"/>
          <w:sz w:val="14"/>
          <w:szCs w:val="14"/>
          <w:color w:val="auto"/>
        </w:rPr>
        <w:t xml:space="preserve">” means any present and future federal, state and local laws, statutes, ordinances, rules, regulations, standards, policies and other governmental directives or requirements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Borrower and relate to Hazardous Materials, including, without limitation, the Comprehensive Environmental Response, Compensation and Liability Act of 1980 (42 U.S.C. § 9601 </w:t>
      </w:r>
      <w:r>
        <w:rPr>
          <w:rFonts w:ascii="Arial" w:cs="Arial" w:eastAsia="Arial" w:hAnsi="Arial"/>
          <w:sz w:val="14"/>
          <w:szCs w:val="14"/>
          <w:i w:val="1"/>
          <w:iCs w:val="1"/>
          <w:color w:val="auto"/>
        </w:rPr>
        <w:t>et seq.</w:t>
      </w:r>
      <w:r>
        <w:rPr>
          <w:rFonts w:ascii="Arial" w:cs="Arial" w:eastAsia="Arial" w:hAnsi="Arial"/>
          <w:sz w:val="14"/>
          <w:szCs w:val="14"/>
          <w:color w:val="auto"/>
        </w:rPr>
        <w:t xml:space="preserve">), the Resource Conservation and Recovery Act of 1976 (42 U.S.C. § 6901 </w:t>
      </w:r>
      <w:r>
        <w:rPr>
          <w:rFonts w:ascii="Arial" w:cs="Arial" w:eastAsia="Arial" w:hAnsi="Arial"/>
          <w:sz w:val="14"/>
          <w:szCs w:val="14"/>
          <w:i w:val="1"/>
          <w:iCs w:val="1"/>
          <w:color w:val="auto"/>
        </w:rPr>
        <w:t>et seq.</w:t>
      </w:r>
      <w:r>
        <w:rPr>
          <w:rFonts w:ascii="Arial" w:cs="Arial" w:eastAsia="Arial" w:hAnsi="Arial"/>
          <w:sz w:val="14"/>
          <w:szCs w:val="14"/>
          <w:color w:val="auto"/>
        </w:rPr>
        <w:t xml:space="preserve">), the Federal Water Pollution Control Act (33 U.S.C. § 1251 </w:t>
      </w:r>
      <w:r>
        <w:rPr>
          <w:rFonts w:ascii="Arial" w:cs="Arial" w:eastAsia="Arial" w:hAnsi="Arial"/>
          <w:sz w:val="14"/>
          <w:szCs w:val="14"/>
          <w:i w:val="1"/>
          <w:iCs w:val="1"/>
          <w:color w:val="auto"/>
        </w:rPr>
        <w:t>et seq.</w:t>
      </w:r>
      <w:r>
        <w:rPr>
          <w:rFonts w:ascii="Arial" w:cs="Arial" w:eastAsia="Arial" w:hAnsi="Arial"/>
          <w:sz w:val="14"/>
          <w:szCs w:val="14"/>
          <w:color w:val="auto"/>
        </w:rPr>
        <w:t>), the Hazardous Materials Transportation Act (49 U.S.C.</w:t>
      </w:r>
    </w:p>
    <w:p>
      <w:pPr>
        <w:spacing w:after="0" w:line="4" w:lineRule="exact"/>
        <w:rPr>
          <w:sz w:val="20"/>
          <w:szCs w:val="20"/>
          <w:color w:val="auto"/>
        </w:rPr>
      </w:pPr>
    </w:p>
    <w:p>
      <w:pPr>
        <w:jc w:val="both"/>
        <w:ind w:left="140" w:firstLine="2"/>
        <w:spacing w:after="0" w:line="274" w:lineRule="auto"/>
        <w:tabs>
          <w:tab w:leader="none" w:pos="245"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5101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Clean Air Act (42 U.S.C. § 7401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Federal Insecticide, Fungicide and Rodenticide Act (7 U.S.C. § 136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Emergency Planning and Community Right-to-Know Act (42 U.S.C. § 11001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Occupational Safety and Health Act (29 U.S.C. § 651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Residential Lead-Based Paint Hazard Reduction Act (42 U.S.C. § 4851 </w:t>
      </w:r>
      <w:r>
        <w:rPr>
          <w:rFonts w:ascii="Arial" w:cs="Arial" w:eastAsia="Arial" w:hAnsi="Arial"/>
          <w:sz w:val="13"/>
          <w:szCs w:val="13"/>
          <w:i w:val="1"/>
          <w:iCs w:val="1"/>
          <w:color w:val="auto"/>
        </w:rPr>
        <w:t>et seq.</w:t>
      </w:r>
      <w:r>
        <w:rPr>
          <w:rFonts w:ascii="Arial" w:cs="Arial" w:eastAsia="Arial" w:hAnsi="Arial"/>
          <w:sz w:val="13"/>
          <w:szCs w:val="13"/>
          <w:color w:val="auto"/>
        </w:rPr>
        <w:t>), any analogous state or local laws, any amendments thereto, and the regulations promulgated pursuant to said laws, together with all amendments from time to time to any of the foregoing.</w:t>
      </w:r>
    </w:p>
    <w:p>
      <w:pPr>
        <w:spacing w:after="0" w:line="112" w:lineRule="exact"/>
        <w:rPr>
          <w:sz w:val="20"/>
          <w:szCs w:val="20"/>
          <w:color w:val="auto"/>
        </w:rPr>
      </w:pPr>
    </w:p>
    <w:p>
      <w:pPr>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w:t>
      </w:r>
      <w:r>
        <w:rPr>
          <w:rFonts w:ascii="Arial" w:cs="Arial" w:eastAsia="Arial" w:hAnsi="Arial"/>
          <w:sz w:val="14"/>
          <w:szCs w:val="14"/>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276"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8" w:name="page69"/>
    <w:bookmarkEnd w:id="68"/>
    <w:p>
      <w:pPr>
        <w:jc w:val="both"/>
        <w:ind w:left="140" w:firstLine="836"/>
        <w:spacing w:after="0" w:line="26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ERISA Plan</w:t>
      </w:r>
      <w:r>
        <w:rPr>
          <w:rFonts w:ascii="Arial" w:cs="Arial" w:eastAsia="Arial" w:hAnsi="Arial"/>
          <w:sz w:val="13"/>
          <w:szCs w:val="13"/>
          <w:color w:val="auto"/>
        </w:rPr>
        <w:t>” means any “employee benefit plan”, as such term is defined in Section 3(3) of ERISA (other than a Multiemployer Plan), which any Borrower maintains, sponsors or contributes to, or, in the case of an employee benefit plan which is subject to Section 412 of the Code or Title IV of ERISA, to which any Borrower (including as a result of its membership of the Controlled Group) may have any liability, including any liability by reason of having been a substantial employer within the meaning of Section 4063 of ERISA at any time during the preceding five</w:t>
      </w:r>
    </w:p>
    <w:p>
      <w:pPr>
        <w:ind w:left="1000" w:right="5640" w:hanging="856"/>
        <w:spacing w:after="0" w:line="457"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years, or by reason of being deemed to be a contributing sponsor under Section 4069 of ERISA. “</w:t>
      </w:r>
      <w:r>
        <w:rPr>
          <w:rFonts w:ascii="Arial" w:cs="Arial" w:eastAsia="Arial" w:hAnsi="Arial"/>
          <w:sz w:val="14"/>
          <w:szCs w:val="14"/>
          <w:b w:val="1"/>
          <w:bCs w:val="1"/>
          <w:color w:val="auto"/>
        </w:rPr>
        <w:t>Event of Default</w:t>
      </w:r>
      <w:r>
        <w:rPr>
          <w:rFonts w:ascii="Arial" w:cs="Arial" w:eastAsia="Arial" w:hAnsi="Arial"/>
          <w:sz w:val="14"/>
          <w:szCs w:val="14"/>
          <w:color w:val="auto"/>
        </w:rPr>
        <w:t>” has the meaning set forth in Section 10.1.</w:t>
      </w:r>
    </w:p>
    <w:p>
      <w:pPr>
        <w:spacing w:after="0" w:line="1" w:lineRule="exact"/>
        <w:rPr>
          <w:sz w:val="20"/>
          <w:szCs w:val="20"/>
          <w:color w:val="auto"/>
        </w:rPr>
      </w:pPr>
    </w:p>
    <w:p>
      <w:pPr>
        <w:jc w:val="both"/>
        <w:ind w:left="140" w:right="20" w:firstLine="89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Domestic Holdco</w:t>
      </w:r>
      <w:r>
        <w:rPr>
          <w:rFonts w:ascii="Arial" w:cs="Arial" w:eastAsia="Arial" w:hAnsi="Arial"/>
          <w:sz w:val="14"/>
          <w:szCs w:val="14"/>
          <w:color w:val="auto"/>
        </w:rPr>
        <w:t>” means a wholly-owned Subsidiary of Borrower substantially all the assets of which consist of capital stock or other equity interests in the Excluded Foreign Subsidiary held directly or indirectly by such Subsidiary and that does not engage in any business, operations or activity other than that of a holding company. For the avoidance of doubt, it is understood and agreed that no Excluded Domestic Holdcos exist as of the Closing Date.</w:t>
      </w:r>
    </w:p>
    <w:p>
      <w:pPr>
        <w:spacing w:after="0" w:line="120"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Foreign Subsidiaries</w:t>
      </w:r>
      <w:r>
        <w:rPr>
          <w:rFonts w:ascii="Arial" w:cs="Arial" w:eastAsia="Arial" w:hAnsi="Arial"/>
          <w:sz w:val="14"/>
          <w:szCs w:val="14"/>
          <w:color w:val="auto"/>
        </w:rPr>
        <w:t>” means, collectively, (a) Aptevo Europe Limited and (b) each other Subsidiary of Borrower not organized under the laws of the United States, a state thereof, or the District of Columbia (a “</w:t>
      </w:r>
      <w:r>
        <w:rPr>
          <w:rFonts w:ascii="Arial" w:cs="Arial" w:eastAsia="Arial" w:hAnsi="Arial"/>
          <w:sz w:val="14"/>
          <w:szCs w:val="14"/>
          <w:b w:val="1"/>
          <w:bCs w:val="1"/>
          <w:color w:val="auto"/>
        </w:rPr>
        <w:t>Foreign Subsidiary</w:t>
      </w:r>
      <w:r>
        <w:rPr>
          <w:rFonts w:ascii="Arial" w:cs="Arial" w:eastAsia="Arial" w:hAnsi="Arial"/>
          <w:sz w:val="14"/>
          <w:szCs w:val="14"/>
          <w:color w:val="auto"/>
        </w:rPr>
        <w:t>”) to the extent a 956 Impact (as defined below) exists with respect to such Subsidiary. A “</w:t>
      </w:r>
      <w:r>
        <w:rPr>
          <w:rFonts w:ascii="Arial" w:cs="Arial" w:eastAsia="Arial" w:hAnsi="Arial"/>
          <w:sz w:val="14"/>
          <w:szCs w:val="14"/>
          <w:b w:val="1"/>
          <w:bCs w:val="1"/>
          <w:color w:val="auto"/>
        </w:rPr>
        <w:t>956 Impact”</w:t>
      </w:r>
      <w:r>
        <w:rPr>
          <w:rFonts w:ascii="Arial" w:cs="Arial" w:eastAsia="Arial" w:hAnsi="Arial"/>
          <w:sz w:val="14"/>
          <w:szCs w:val="14"/>
          <w:color w:val="auto"/>
        </w:rPr>
        <w:t xml:space="preserve"> will be deemed to exist to the extent the issuance of a guaranty by, grant of a Lien by, or pledge of greater than two-thirds of the voting stock of, a Foreign Subsidiary would in the reasonable judgment of the Borrowers results in material incremental income tax liability as a result of the application of Section 956 of the Code, taking into account actual anticipated repatriation of funds, foreign tax credits and other relevant factors.</w:t>
      </w:r>
    </w:p>
    <w:p>
      <w:pPr>
        <w:spacing w:after="0" w:line="12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480" w:type="dxa"/>
            <w:vAlign w:val="bottom"/>
          </w:tcPr>
          <w:p>
            <w:pPr>
              <w:spacing w:after="0"/>
              <w:rPr>
                <w:sz w:val="15"/>
                <w:szCs w:val="15"/>
                <w:color w:val="auto"/>
              </w:rPr>
            </w:pPr>
          </w:p>
        </w:tc>
        <w:tc>
          <w:tcPr>
            <w:tcW w:w="10520" w:type="dxa"/>
            <w:vAlign w:val="bottom"/>
          </w:tcPr>
          <w:p>
            <w:pPr>
              <w:jc w:val="right"/>
              <w:ind w:right="773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Property”</w:t>
            </w:r>
            <w:r>
              <w:rPr>
                <w:rFonts w:ascii="Arial" w:cs="Arial" w:eastAsia="Arial" w:hAnsi="Arial"/>
                <w:sz w:val="14"/>
                <w:szCs w:val="14"/>
                <w:color w:val="auto"/>
              </w:rPr>
              <w:t xml:space="preserve"> means, collectively:</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(a)</w:t>
            </w:r>
          </w:p>
        </w:tc>
        <w:tc>
          <w:tcPr>
            <w:tcW w:w="10520" w:type="dxa"/>
            <w:vAlign w:val="bottom"/>
          </w:tcPr>
          <w:p>
            <w:pPr>
              <w:jc w:val="right"/>
              <w:spacing w:after="0"/>
              <w:rPr>
                <w:sz w:val="20"/>
                <w:szCs w:val="20"/>
                <w:color w:val="auto"/>
              </w:rPr>
            </w:pPr>
            <w:r>
              <w:rPr>
                <w:rFonts w:ascii="Arial" w:cs="Arial" w:eastAsia="Arial" w:hAnsi="Arial"/>
                <w:sz w:val="14"/>
                <w:szCs w:val="14"/>
                <w:color w:val="auto"/>
              </w:rPr>
              <w:t>voting shares of any (A) Excluded Foreign Subsidiary of Borrower or (B) Excluded Domestic Holdco, in each case, in excess of 65% of all of the</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6"/>
              </w:rPr>
              <w:t>issued and outstanding voting shares of capital stock of such subsidiary if, in each case, a pledge of a greater percentage would result in a 956 Impact existing;</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(b)</w:t>
            </w:r>
          </w:p>
        </w:tc>
        <w:tc>
          <w:tcPr>
            <w:tcW w:w="10520" w:type="dxa"/>
            <w:vAlign w:val="bottom"/>
          </w:tcPr>
          <w:p>
            <w:pPr>
              <w:jc w:val="right"/>
              <w:spacing w:after="0"/>
              <w:rPr>
                <w:sz w:val="20"/>
                <w:szCs w:val="20"/>
                <w:color w:val="auto"/>
              </w:rPr>
            </w:pPr>
            <w:r>
              <w:rPr>
                <w:rFonts w:ascii="Arial" w:cs="Arial" w:eastAsia="Arial" w:hAnsi="Arial"/>
                <w:sz w:val="14"/>
                <w:szCs w:val="14"/>
                <w:color w:val="auto"/>
              </w:rPr>
              <w:t>any lease, license, contract, property right (including without limitation any jointly owned or jointly developed Intellectual Property rights) or</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w w:val="98"/>
              </w:rPr>
              <w:t>agreement as to which, if and to the extent that, and only for so long as the grant of a security interest therein shall (1) constitute or result in a breach, termination or default</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w w:val="98"/>
              </w:rPr>
              <w:t>under any such lease, license, contract, property right or agreement or render it unenforceable, (2) be prohibited by any applicable law or (3) require the consent of any third</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w w:val="97"/>
              </w:rPr>
              <w:t>party that cannot be obtained after the use of commercially reasonable efforts to obtain such consent (in each case of clauses (1), (2) and (3), other than to the extent that any</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rPr>
              <w:t>such breach, termination, default, prohibition or requirement for consent would be rendered ineffective pursuant to Sections 9-406 or 9-408 of the UCC of any relevant</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rPr>
              <w:t>jurisdiction or any other applicable Law); provided that such security interest shall attach immediately to each portion of such lease, license, contract, property rights or</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rPr>
              <w:t>agreement that does not result in any of the consequences specified above; and</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(c)</w:t>
            </w:r>
          </w:p>
        </w:tc>
        <w:tc>
          <w:tcPr>
            <w:tcW w:w="10520" w:type="dxa"/>
            <w:vAlign w:val="bottom"/>
          </w:tcPr>
          <w:p>
            <w:pPr>
              <w:jc w:val="right"/>
              <w:spacing w:after="0"/>
              <w:rPr>
                <w:sz w:val="20"/>
                <w:szCs w:val="20"/>
                <w:color w:val="auto"/>
              </w:rPr>
            </w:pPr>
            <w:r>
              <w:rPr>
                <w:rFonts w:ascii="Arial" w:cs="Arial" w:eastAsia="Arial" w:hAnsi="Arial"/>
                <w:sz w:val="14"/>
                <w:szCs w:val="14"/>
                <w:color w:val="auto"/>
              </w:rPr>
              <w:t>prior to the occurrence of a Springing IP Event, Intellectual Property except to the extent that it is necessary under applicable law to have a Lien</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rPr>
              <w:t>and security interest in any such Intellectual Property in order to have a perfected Lien and security interest in and to IP Proceeds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avoidance of doubt,</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rPr>
              <w:t>neither Agent nor any Lender shall have any right to transfer or dispose of any Intellectual Property as a result of this clause (c)), and for the avoidance of any doubt, the</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jc w:val="right"/>
              <w:spacing w:after="0"/>
              <w:rPr>
                <w:sz w:val="20"/>
                <w:szCs w:val="20"/>
                <w:color w:val="auto"/>
              </w:rPr>
            </w:pPr>
            <w:r>
              <w:rPr>
                <w:rFonts w:ascii="Arial" w:cs="Arial" w:eastAsia="Arial" w:hAnsi="Arial"/>
                <w:sz w:val="14"/>
                <w:szCs w:val="14"/>
                <w:color w:val="auto"/>
              </w:rPr>
              <w:t>Collateral shall include, and Agent shall have a Lien and security interest in, (i) all IP Proceeds, (ii) all payments with respect to IP Proceeds that are received after the</w:t>
            </w:r>
          </w:p>
        </w:tc>
        <w:tc>
          <w:tcPr>
            <w:tcW w:w="0" w:type="dxa"/>
            <w:vAlign w:val="bottom"/>
          </w:tcPr>
          <w:p>
            <w:pPr>
              <w:spacing w:after="0"/>
              <w:rPr>
                <w:sz w:val="1"/>
                <w:szCs w:val="1"/>
                <w:color w:val="auto"/>
              </w:rPr>
            </w:pPr>
          </w:p>
        </w:tc>
      </w:tr>
      <w:tr>
        <w:trPr>
          <w:trHeight w:val="179"/>
        </w:trPr>
        <w:tc>
          <w:tcPr>
            <w:tcW w:w="48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520" w:type="dxa"/>
            <w:vAlign w:val="bottom"/>
          </w:tcPr>
          <w:p>
            <w:pPr>
              <w:ind w:left="960"/>
              <w:spacing w:after="0"/>
              <w:rPr>
                <w:sz w:val="20"/>
                <w:szCs w:val="20"/>
                <w:color w:val="auto"/>
              </w:rPr>
            </w:pPr>
            <w:r>
              <w:rPr>
                <w:rFonts w:ascii="Arial" w:cs="Arial" w:eastAsia="Arial" w:hAnsi="Arial"/>
                <w:sz w:val="14"/>
                <w:szCs w:val="14"/>
                <w:color w:val="auto"/>
              </w:rPr>
              <w:t>commencement of a bankruptcy or</w:t>
            </w: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10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4"/>
                <w:szCs w:val="24"/>
                <w:color w:val="auto"/>
              </w:rPr>
            </w:pPr>
          </w:p>
        </w:tc>
        <w:tc>
          <w:tcPr>
            <w:tcW w:w="10520" w:type="dxa"/>
            <w:vAlign w:val="bottom"/>
          </w:tcPr>
          <w:p>
            <w:pPr>
              <w:jc w:val="right"/>
              <w:ind w:right="77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69" w:name="page70"/>
    <w:bookmarkEnd w:id="69"/>
    <w:p>
      <w:pPr>
        <w:jc w:val="both"/>
        <w:ind w:left="140" w:right="20"/>
        <w:spacing w:after="0" w:line="247" w:lineRule="auto"/>
        <w:rPr>
          <w:sz w:val="20"/>
          <w:szCs w:val="20"/>
          <w:color w:val="auto"/>
        </w:rPr>
      </w:pPr>
      <w:r>
        <w:rPr>
          <w:rFonts w:ascii="Arial" w:cs="Arial" w:eastAsia="Arial" w:hAnsi="Arial"/>
          <w:sz w:val="14"/>
          <w:szCs w:val="14"/>
          <w:color w:val="auto"/>
        </w:rPr>
        <w:t xml:space="preserve">insolvency proceeding and (iii) except to the extent excluded by clause (b) above, all license and sublicense agreements to which any Borrower is a party and all rights granted to such Borrower thereunder, including without limitation, the license and sublicense agreements entered into between any Borrower and Emergent in connection with the Emergent Spinoff Transaction;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upon the occurrence of a Springing IP Event and continuing at all times thereafter (whether or not the Springing IP Event continues), Intellectual Property shall no longer constitute</w:t>
      </w:r>
      <w:r>
        <w:rPr>
          <w:rFonts w:ascii="Arial" w:cs="Arial" w:eastAsia="Arial" w:hAnsi="Arial"/>
          <w:sz w:val="14"/>
          <w:szCs w:val="14"/>
          <w:i w:val="1"/>
          <w:iCs w:val="1"/>
          <w:color w:val="auto"/>
        </w:rPr>
        <w:t xml:space="preserve"> </w:t>
      </w:r>
      <w:r>
        <w:rPr>
          <w:rFonts w:ascii="Arial" w:cs="Arial" w:eastAsia="Arial" w:hAnsi="Arial"/>
          <w:sz w:val="14"/>
          <w:szCs w:val="14"/>
          <w:color w:val="auto"/>
        </w:rPr>
        <w:t>“Excluded Property” pursuant to this clause (c) (but may, for the avoidance of doubt, be excluded by other clauses of this definition to the extent applicable) and the Collateral shall immediately include all Intellectual Property of each Borrower (including, for the avoidance of doubt, all IP Proceeds but excluding Intellectual Property excluded by other clauses of this definition) automatically and without notice or any further action by Agent, any Lender or any Credit Party,</w:t>
      </w:r>
    </w:p>
    <w:p>
      <w:pPr>
        <w:sectPr>
          <w:pgSz w:w="11900" w:h="16838" w:orient="portrait"/>
          <w:cols w:equalWidth="0" w:num="1">
            <w:col w:w="11340"/>
          </w:cols>
          <w:pgMar w:left="240" w:top="165" w:right="319" w:bottom="1440" w:gutter="0" w:footer="0" w:header="0"/>
        </w:sectPr>
      </w:pPr>
    </w:p>
    <w:p>
      <w:pPr>
        <w:spacing w:after="0" w:line="132"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intent to use trademark applications,</w:t>
      </w:r>
    </w:p>
    <w:p>
      <w:pPr>
        <w:spacing w:after="0" w:line="177" w:lineRule="exact"/>
        <w:rPr>
          <w:sz w:val="20"/>
          <w:szCs w:val="20"/>
          <w:color w:val="auto"/>
        </w:rPr>
      </w:pPr>
    </w:p>
    <w:p>
      <w:pPr>
        <w:sectPr>
          <w:pgSz w:w="11900" w:h="16838" w:orient="portrait"/>
          <w:cols w:equalWidth="0" w:num="2">
            <w:col w:w="2020" w:space="680"/>
            <w:col w:w="864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at all times during the Wells Fargo LC Period, the Wells Fargo LC Cash Collateral Account, all cash and cash equivalents deposited therein and all</w:t>
      </w:r>
    </w:p>
    <w:p>
      <w:pPr>
        <w:spacing w:after="0" w:line="40" w:lineRule="exact"/>
        <w:rPr>
          <w:sz w:val="20"/>
          <w:szCs w:val="20"/>
          <w:color w:val="auto"/>
        </w:rPr>
      </w:pPr>
    </w:p>
    <w:p>
      <w:pPr>
        <w:sectPr>
          <w:pgSz w:w="11900" w:h="16838" w:orient="portrait"/>
          <w:cols w:equalWidth="0" w:num="2">
            <w:col w:w="2380" w:space="720"/>
            <w:col w:w="8240"/>
          </w:cols>
          <w:pgMar w:left="240" w:top="165" w:right="319" w:bottom="1440" w:gutter="0" w:footer="0" w:header="0"/>
          <w:type w:val="continuous"/>
        </w:sectPr>
      </w:pPr>
    </w:p>
    <w:p>
      <w:pPr>
        <w:ind w:left="1660"/>
        <w:spacing w:after="0"/>
        <w:rPr>
          <w:sz w:val="20"/>
          <w:szCs w:val="20"/>
          <w:color w:val="auto"/>
        </w:rPr>
      </w:pPr>
      <w:r>
        <w:rPr>
          <w:rFonts w:ascii="Arial" w:cs="Arial" w:eastAsia="Arial" w:hAnsi="Arial"/>
          <w:sz w:val="14"/>
          <w:szCs w:val="14"/>
          <w:color w:val="auto"/>
        </w:rPr>
        <w:t>identifiable proceeds thereof,</w:t>
      </w:r>
    </w:p>
    <w:p>
      <w:pPr>
        <w:spacing w:after="0" w:line="134" w:lineRule="exact"/>
        <w:rPr>
          <w:sz w:val="20"/>
          <w:szCs w:val="20"/>
          <w:color w:val="auto"/>
        </w:rPr>
      </w:pPr>
    </w:p>
    <w:p>
      <w:pPr>
        <w:ind w:left="140" w:right="40" w:firstLine="1671"/>
        <w:spacing w:after="0" w:line="274" w:lineRule="auto"/>
        <w:rPr>
          <w:sz w:val="20"/>
          <w:szCs w:val="20"/>
          <w:color w:val="auto"/>
        </w:rPr>
      </w:pPr>
      <w:r>
        <w:rPr>
          <w:rFonts w:ascii="Arial" w:cs="Arial" w:eastAsia="Arial" w:hAnsi="Arial"/>
          <w:sz w:val="14"/>
          <w:szCs w:val="14"/>
          <w:i w:val="1"/>
          <w:iCs w:val="1"/>
          <w:color w:val="auto"/>
        </w:rPr>
        <w:t>provided, however</w:t>
      </w:r>
      <w:r>
        <w:rPr>
          <w:rFonts w:ascii="Arial" w:cs="Arial" w:eastAsia="Arial" w:hAnsi="Arial"/>
          <w:sz w:val="14"/>
          <w:szCs w:val="14"/>
          <w:color w:val="auto"/>
        </w:rPr>
        <w:t>, “</w:t>
      </w:r>
      <w:r>
        <w:rPr>
          <w:rFonts w:ascii="Arial" w:cs="Arial" w:eastAsia="Arial" w:hAnsi="Arial"/>
          <w:sz w:val="14"/>
          <w:szCs w:val="14"/>
          <w:b w:val="1"/>
          <w:bCs w:val="1"/>
          <w:color w:val="auto"/>
        </w:rPr>
        <w:t>Excluded Property</w:t>
      </w:r>
      <w:r>
        <w:rPr>
          <w:rFonts w:ascii="Arial" w:cs="Arial" w:eastAsia="Arial" w:hAnsi="Arial"/>
          <w:sz w:val="14"/>
          <w:szCs w:val="14"/>
          <w:color w:val="auto"/>
        </w:rPr>
        <w:t>” shall not include any proceeds, products, substitutions, receivables or replacements of Excluded Property (unless such</w:t>
      </w:r>
      <w:r>
        <w:rPr>
          <w:rFonts w:ascii="Arial" w:cs="Arial" w:eastAsia="Arial" w:hAnsi="Arial"/>
          <w:sz w:val="14"/>
          <w:szCs w:val="14"/>
          <w:i w:val="1"/>
          <w:iCs w:val="1"/>
          <w:color w:val="auto"/>
        </w:rPr>
        <w:t xml:space="preserve"> </w:t>
      </w:r>
      <w:r>
        <w:rPr>
          <w:rFonts w:ascii="Arial" w:cs="Arial" w:eastAsia="Arial" w:hAnsi="Arial"/>
          <w:sz w:val="14"/>
          <w:szCs w:val="14"/>
          <w:color w:val="auto"/>
        </w:rPr>
        <w:t>proceeds, products, substitutions, receivables or replacements would otherwise constitute Excluded Property)</w:t>
      </w:r>
    </w:p>
    <w:p>
      <w:pPr>
        <w:spacing w:after="0" w:line="110" w:lineRule="exact"/>
        <w:rPr>
          <w:sz w:val="20"/>
          <w:szCs w:val="20"/>
          <w:color w:val="auto"/>
        </w:rPr>
      </w:pPr>
    </w:p>
    <w:p>
      <w:pPr>
        <w:jc w:val="both"/>
        <w:ind w:left="140" w:firstLine="89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FATCA</w:t>
      </w:r>
      <w:r>
        <w:rPr>
          <w:rFonts w:ascii="Arial" w:cs="Arial" w:eastAsia="Arial" w:hAnsi="Arial"/>
          <w:sz w:val="14"/>
          <w:szCs w:val="14"/>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 (and any associated rules or regulations promulgated thereunder) entered into in connection therewith, and any agreement entered into pursuant to Section 1471(b)(1) of the Code.</w:t>
      </w:r>
    </w:p>
    <w:p>
      <w:pPr>
        <w:spacing w:after="0" w:line="120"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FDA</w:t>
      </w:r>
      <w:r>
        <w:rPr>
          <w:rFonts w:ascii="Arial" w:cs="Arial" w:eastAsia="Arial" w:hAnsi="Arial"/>
          <w:sz w:val="14"/>
          <w:szCs w:val="14"/>
          <w:color w:val="auto"/>
        </w:rPr>
        <w:t>” means the Food and Drug Administration of the United States of America, any comparable state or local Governmental Authority, any comparable Governmental Authority in any non- United States jurisdiction, and any successor agency of any of the foregoing.</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FDCA</w:t>
      </w:r>
      <w:r>
        <w:rPr>
          <w:rFonts w:ascii="Arial" w:cs="Arial" w:eastAsia="Arial" w:hAnsi="Arial"/>
          <w:sz w:val="14"/>
          <w:szCs w:val="14"/>
          <w:color w:val="auto"/>
        </w:rPr>
        <w:t>” means the Federal Food, Drug and Cosmetic Act, as amended, 21 U.S.C. Section 301 et seq., and all regulations promulgated thereunder.</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Fee Letter</w:t>
      </w:r>
      <w:r>
        <w:rPr>
          <w:rFonts w:ascii="Arial" w:cs="Arial" w:eastAsia="Arial" w:hAnsi="Arial"/>
          <w:sz w:val="14"/>
          <w:szCs w:val="14"/>
          <w:color w:val="auto"/>
        </w:rPr>
        <w:t>” means each agreement between Agent and Borrower relating to fees payable to Agent, for its own account, in connection with the execution of this Agreement, including, without limitation, any amendments and restatements thereof.</w:t>
      </w:r>
    </w:p>
    <w:p>
      <w:pPr>
        <w:spacing w:after="0" w:line="110"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Financing Documents</w:t>
      </w:r>
      <w:r>
        <w:rPr>
          <w:rFonts w:ascii="Arial" w:cs="Arial" w:eastAsia="Arial" w:hAnsi="Arial"/>
          <w:sz w:val="14"/>
          <w:szCs w:val="14"/>
          <w:color w:val="auto"/>
        </w:rPr>
        <w:t>” means this Agreement, any Notes, the Security Documents, each Fee Letter, each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 in accordance with the terms hereof.</w:t>
      </w:r>
    </w:p>
    <w:p>
      <w:pPr>
        <w:spacing w:after="0" w:line="126"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287"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8</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70" w:name="page71"/>
    <w:bookmarkEnd w:id="70"/>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General Intangible</w:t>
      </w:r>
      <w:r>
        <w:rPr>
          <w:rFonts w:ascii="Arial" w:cs="Arial" w:eastAsia="Arial" w:hAnsi="Arial"/>
          <w:sz w:val="14"/>
          <w:szCs w:val="14"/>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Good Manufacturing Practices</w:t>
      </w:r>
      <w:r>
        <w:rPr>
          <w:rFonts w:ascii="Arial" w:cs="Arial" w:eastAsia="Arial" w:hAnsi="Arial"/>
          <w:sz w:val="14"/>
          <w:szCs w:val="14"/>
          <w:color w:val="auto"/>
        </w:rPr>
        <w:t>” means current good manufacturing practices, as set forth in 21 C.F.R. Parts 210 and 211.</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means any nation or government, any state, local or other political subdivision thereof, and any agency, department or Person exercising executive, legislative, judicial, regulatory or administrative functions of or pertaining to government.</w:t>
      </w:r>
    </w:p>
    <w:p>
      <w:pPr>
        <w:spacing w:after="0" w:line="110" w:lineRule="exact"/>
        <w:rPr>
          <w:sz w:val="20"/>
          <w:szCs w:val="20"/>
          <w:color w:val="auto"/>
        </w:rPr>
      </w:pPr>
    </w:p>
    <w:p>
      <w:pPr>
        <w:jc w:val="both"/>
        <w:ind w:left="140" w:right="20" w:firstLine="837"/>
        <w:spacing w:after="0" w:line="25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Guarantee</w:t>
      </w:r>
      <w:r>
        <w:rPr>
          <w:rFonts w:ascii="Arial" w:cs="Arial" w:eastAsia="Arial" w:hAnsi="Arial"/>
          <w:sz w:val="14"/>
          <w:szCs w:val="14"/>
          <w:color w:val="auto"/>
        </w:rPr>
        <w:t>”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jc w:val="both"/>
        <w:ind w:left="140" w:firstLine="4"/>
        <w:spacing w:after="0" w:line="269" w:lineRule="auto"/>
        <w:tabs>
          <w:tab w:leader="none" w:pos="571"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term Guarantee shall not include endorsements for collection or deposit in the Ordinary Course of Business. The term “</w:t>
      </w:r>
      <w:r>
        <w:rPr>
          <w:rFonts w:ascii="Arial" w:cs="Arial" w:eastAsia="Arial" w:hAnsi="Arial"/>
          <w:sz w:val="13"/>
          <w:szCs w:val="13"/>
          <w:b w:val="1"/>
          <w:bCs w:val="1"/>
          <w:color w:val="auto"/>
        </w:rPr>
        <w:t>Guarantee</w:t>
      </w:r>
      <w:r>
        <w:rPr>
          <w:rFonts w:ascii="Arial" w:cs="Arial" w:eastAsia="Arial" w:hAnsi="Arial"/>
          <w:sz w:val="13"/>
          <w:szCs w:val="13"/>
          <w:color w:val="auto"/>
        </w:rPr>
        <w:t>” used as a verb has a corresponding meaning.</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Guarantor</w:t>
      </w:r>
      <w:r>
        <w:rPr>
          <w:rFonts w:ascii="Arial" w:cs="Arial" w:eastAsia="Arial" w:hAnsi="Arial"/>
          <w:sz w:val="14"/>
          <w:szCs w:val="14"/>
          <w:color w:val="auto"/>
        </w:rPr>
        <w:t>” means any Credit Party that has executed or delivered, or shall in the future execute or deliver, any Guarantee of any portion of the Obligations.</w:t>
      </w:r>
    </w:p>
    <w:p>
      <w:pPr>
        <w:spacing w:after="0" w:line="154" w:lineRule="exact"/>
        <w:rPr>
          <w:sz w:val="20"/>
          <w:szCs w:val="20"/>
          <w:color w:val="auto"/>
        </w:rPr>
      </w:pPr>
    </w:p>
    <w:p>
      <w:pPr>
        <w:jc w:val="both"/>
        <w:ind w:left="140" w:firstLine="837"/>
        <w:spacing w:after="0" w:line="24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Hazardous Materials</w:t>
      </w:r>
      <w:r>
        <w:rPr>
          <w:rFonts w:ascii="Arial" w:cs="Arial" w:eastAsia="Arial" w:hAnsi="Arial"/>
          <w:sz w:val="14"/>
          <w:szCs w:val="14"/>
          <w:color w:val="auto"/>
        </w:rPr>
        <w:t>” means petroleum and petroleum products and compounds containing them, including gasoline, diesel fuel and oil; explosives, flammable materials; radioactive materials; polychlorinated biphenyls and compounds containing them; lead and lead-based paint; asbestos or 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w:t>
      </w:r>
    </w:p>
    <w:p>
      <w:pPr>
        <w:spacing w:after="0" w:line="4" w:lineRule="exact"/>
        <w:rPr>
          <w:sz w:val="20"/>
          <w:szCs w:val="20"/>
          <w:color w:val="auto"/>
        </w:rPr>
      </w:pPr>
    </w:p>
    <w:p>
      <w:pPr>
        <w:jc w:val="both"/>
        <w:ind w:left="140" w:firstLine="2"/>
        <w:spacing w:after="0" w:line="244" w:lineRule="auto"/>
        <w:tabs>
          <w:tab w:leader="none" w:pos="579" w:val="left"/>
        </w:tabs>
        <w:numPr>
          <w:ilvl w:val="0"/>
          <w:numId w:val="27"/>
        </w:numPr>
        <w:rPr>
          <w:rFonts w:ascii="Arial" w:cs="Arial" w:eastAsia="Arial" w:hAnsi="Arial"/>
          <w:sz w:val="14"/>
          <w:szCs w:val="14"/>
          <w:color w:val="auto"/>
        </w:rPr>
      </w:pPr>
      <w:r>
        <w:rPr>
          <w:rFonts w:ascii="Arial" w:cs="Arial" w:eastAsia="Arial" w:hAnsi="Arial"/>
          <w:sz w:val="14"/>
          <w:szCs w:val="14"/>
          <w:color w:val="auto"/>
        </w:rPr>
        <w:t>any “pollutant or contaminant” as defined in 42 U.S.C.A. § 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flammable explosives, radioactive materials, infectious substances, materials containing lead-based paint or raw materials which include hazardous constituents); and (h) any other toxic substance or contaminant that is subject to any Environmental Laws.</w:t>
      </w:r>
    </w:p>
    <w:p>
      <w:pPr>
        <w:spacing w:after="0" w:line="130" w:lineRule="exact"/>
        <w:rPr>
          <w:sz w:val="20"/>
          <w:szCs w:val="20"/>
          <w:color w:val="auto"/>
        </w:rPr>
      </w:pPr>
    </w:p>
    <w:p>
      <w:pPr>
        <w:jc w:val="both"/>
        <w:ind w:left="140" w:right="40" w:firstLine="835"/>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Healthcare Laws</w:t>
      </w:r>
      <w:r>
        <w:rPr>
          <w:rFonts w:ascii="Arial" w:cs="Arial" w:eastAsia="Arial" w:hAnsi="Arial"/>
          <w:sz w:val="14"/>
          <w:szCs w:val="14"/>
          <w:color w:val="auto"/>
        </w:rPr>
        <w:t>” means all applicable Laws relating to the procurement, development, provision, clinical and non-clinical evaluation or investigation, product approval, manufacture, production, analysis, distribution, importation, exportation, use, handling, quality, reimbursement, sale, labeling, advertising, promotion, or postmarket requirements of any biologic, Product, or other product</w:t>
      </w:r>
    </w:p>
    <w:p>
      <w:pPr>
        <w:spacing w:after="0" w:line="287" w:lineRule="exact"/>
        <w:rPr>
          <w:sz w:val="20"/>
          <w:szCs w:val="20"/>
          <w:color w:val="auto"/>
        </w:rPr>
      </w:pPr>
    </w:p>
    <w:p>
      <w:pPr>
        <w:ind w:left="10300"/>
        <w:spacing w:after="0"/>
        <w:rPr>
          <w:sz w:val="20"/>
          <w:szCs w:val="20"/>
          <w:color w:val="auto"/>
        </w:rPr>
      </w:pPr>
      <w:r>
        <w:rPr>
          <w:rFonts w:ascii="Arial" w:cs="Arial" w:eastAsia="Arial" w:hAnsi="Arial"/>
          <w:sz w:val="14"/>
          <w:szCs w:val="14"/>
          <w:color w:val="auto"/>
        </w:rPr>
        <w:t>9</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71" w:name="page72"/>
    <w:bookmarkEnd w:id="71"/>
    <w:p>
      <w:pPr>
        <w:jc w:val="both"/>
        <w:ind w:left="140" w:right="20"/>
        <w:spacing w:after="0" w:line="268" w:lineRule="auto"/>
        <w:rPr>
          <w:sz w:val="20"/>
          <w:szCs w:val="20"/>
          <w:color w:val="auto"/>
        </w:rPr>
      </w:pPr>
      <w:r>
        <w:rPr>
          <w:rFonts w:ascii="Arial" w:cs="Arial" w:eastAsia="Arial" w:hAnsi="Arial"/>
          <w:sz w:val="14"/>
          <w:szCs w:val="14"/>
          <w:color w:val="auto"/>
        </w:rPr>
        <w:t>(including, without limitation, any ingredient or component of the foregoing products) subject to regulation under the Federal Food, Drug, and Cosmetic Act (21 U.S.C. et seq.) and similar state or foreign laws, pharmacy laws, Medicare, Medicaid, and all Laws pursuant to which Permits are issued, in each case, as the same may be amended from time to time.</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Instrument</w:t>
      </w:r>
      <w:r>
        <w:rPr>
          <w:rFonts w:ascii="Arial" w:cs="Arial" w:eastAsia="Arial" w:hAnsi="Arial"/>
          <w:sz w:val="14"/>
          <w:szCs w:val="14"/>
          <w:color w:val="auto"/>
        </w:rPr>
        <w:t>” means “instrument”, as defined in Article 9 of the UCC.</w:t>
      </w:r>
    </w:p>
    <w:p>
      <w:pPr>
        <w:spacing w:after="0" w:line="154" w:lineRule="exact"/>
        <w:rPr>
          <w:sz w:val="20"/>
          <w:szCs w:val="20"/>
          <w:color w:val="auto"/>
        </w:rPr>
      </w:pPr>
    </w:p>
    <w:p>
      <w:pPr>
        <w:jc w:val="both"/>
        <w:ind w:left="140" w:firstLine="837"/>
        <w:spacing w:after="0" w:line="30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w:t>
      </w:r>
      <w:r>
        <w:rPr>
          <w:rFonts w:ascii="Arial" w:cs="Arial" w:eastAsia="Arial" w:hAnsi="Arial"/>
          <w:sz w:val="12"/>
          <w:szCs w:val="12"/>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9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 Security Agreement</w:t>
      </w:r>
      <w:r>
        <w:rPr>
          <w:rFonts w:ascii="Arial" w:cs="Arial" w:eastAsia="Arial" w:hAnsi="Arial"/>
          <w:sz w:val="14"/>
          <w:szCs w:val="14"/>
          <w:color w:val="auto"/>
        </w:rPr>
        <w:t>” means an Intellectual Property Security Agreement in the form attached hereto as Exhibit G, which agreement shall become effective in accordance with the terms of Section 4.16(f).</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Interest Period</w:t>
      </w:r>
      <w:r>
        <w:rPr>
          <w:rFonts w:ascii="Arial" w:cs="Arial" w:eastAsia="Arial" w:hAnsi="Arial"/>
          <w:sz w:val="14"/>
          <w:szCs w:val="14"/>
          <w:color w:val="auto"/>
        </w:rPr>
        <w:t>” means any period commencing on the first day of a calendar month and ending on the last day of such calendar month.</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Inventory</w:t>
      </w:r>
      <w:r>
        <w:rPr>
          <w:rFonts w:ascii="Arial" w:cs="Arial" w:eastAsia="Arial" w:hAnsi="Arial"/>
          <w:sz w:val="14"/>
          <w:szCs w:val="14"/>
          <w:color w:val="auto"/>
        </w:rPr>
        <w:t>” means “inventory” as defined in Article 9 of the UCC.</w:t>
      </w:r>
    </w:p>
    <w:p>
      <w:pPr>
        <w:spacing w:after="0" w:line="154"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(including through licensing) of (i) of all or substantially all of the assets of another Person, or (ii) any business, Product, business line or product line, division or other unit operation of any Person or (c) make or purchase any advance, loan, extension of credit or capital contribution to, or any other investment in, any Person.</w:t>
      </w:r>
    </w:p>
    <w:p>
      <w:pPr>
        <w:spacing w:after="0" w:line="126" w:lineRule="exact"/>
        <w:rPr>
          <w:sz w:val="20"/>
          <w:szCs w:val="20"/>
          <w:color w:val="auto"/>
        </w:rPr>
      </w:pPr>
    </w:p>
    <w:p>
      <w:pPr>
        <w:jc w:val="both"/>
        <w:ind w:left="140" w:right="2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IP Proceeds</w:t>
      </w:r>
      <w:r>
        <w:rPr>
          <w:rFonts w:ascii="Arial" w:cs="Arial" w:eastAsia="Arial" w:hAnsi="Arial"/>
          <w:sz w:val="14"/>
          <w:szCs w:val="14"/>
          <w:color w:val="auto"/>
        </w:rPr>
        <w:t>” means, collectively, all cash, Accounts, license and royalty fees, claims, products, awards, judgments, insurance claims, and other revenues, proceeds or income, arising out of, derived from or relating to any Intellectual Property of any Borrower, and any claims for damage by way of any past, present or future infringement of any Intellectual Property of any Borrower (including, without limitation, all cash, royalty fees, other proceeds, Accounts and General Intangibles that consist of rights of payment to or on behalf of a Borrower and the proceeds from the sale, licensing or other disposition of all or any part of, or rights in, any Intellectual Property by or on behalf of a Credit Party).</w:t>
      </w:r>
    </w:p>
    <w:p>
      <w:pPr>
        <w:spacing w:after="0" w:line="126" w:lineRule="exact"/>
        <w:rPr>
          <w:sz w:val="20"/>
          <w:szCs w:val="20"/>
          <w:color w:val="auto"/>
        </w:rPr>
      </w:pPr>
    </w:p>
    <w:p>
      <w:pPr>
        <w:jc w:val="both"/>
        <w:ind w:left="140" w:right="20" w:firstLine="89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Laws</w:t>
      </w:r>
      <w:r>
        <w:rPr>
          <w:rFonts w:ascii="Arial" w:cs="Arial" w:eastAsia="Arial" w:hAnsi="Arial"/>
          <w:sz w:val="14"/>
          <w:szCs w:val="14"/>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Arial" w:cs="Arial" w:eastAsia="Arial" w:hAnsi="Arial"/>
          <w:sz w:val="14"/>
          <w:szCs w:val="14"/>
          <w:b w:val="1"/>
          <w:bCs w:val="1"/>
          <w:color w:val="auto"/>
        </w:rPr>
        <w:t>Laws</w:t>
      </w:r>
      <w:r>
        <w:rPr>
          <w:rFonts w:ascii="Arial" w:cs="Arial" w:eastAsia="Arial" w:hAnsi="Arial"/>
          <w:sz w:val="14"/>
          <w:szCs w:val="14"/>
          <w:color w:val="auto"/>
        </w:rPr>
        <w:t>” includes, without limitation, Healthcare Laws and Environmental Laws.</w:t>
      </w:r>
    </w:p>
    <w:p>
      <w:pPr>
        <w:spacing w:after="0" w:line="120" w:lineRule="exact"/>
        <w:rPr>
          <w:sz w:val="20"/>
          <w:szCs w:val="20"/>
          <w:color w:val="auto"/>
        </w:rPr>
      </w:pPr>
    </w:p>
    <w:p>
      <w:pPr>
        <w:jc w:val="both"/>
        <w:ind w:left="140" w:firstLine="897"/>
        <w:spacing w:after="0" w:line="31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Lender</w:t>
      </w:r>
      <w:r>
        <w:rPr>
          <w:rFonts w:ascii="Arial" w:cs="Arial" w:eastAsia="Arial" w:hAnsi="Arial"/>
          <w:sz w:val="13"/>
          <w:szCs w:val="13"/>
          <w:color w:val="auto"/>
        </w:rPr>
        <w:t>” means each of (a) MCF, in its capacity as a lender hereunder, (b) each other Person party hereto in its capacity as a lender hereunder, (c) each other Person that becomes a party hereto as Lender pursuant to and as permitted by Section 11.17, and (d) the respective successors of all of the foregoing, and “</w:t>
      </w:r>
      <w:r>
        <w:rPr>
          <w:rFonts w:ascii="Arial" w:cs="Arial" w:eastAsia="Arial" w:hAnsi="Arial"/>
          <w:sz w:val="13"/>
          <w:szCs w:val="13"/>
          <w:b w:val="1"/>
          <w:bCs w:val="1"/>
          <w:color w:val="auto"/>
        </w:rPr>
        <w:t>Lenders</w:t>
      </w:r>
      <w:r>
        <w:rPr>
          <w:rFonts w:ascii="Arial" w:cs="Arial" w:eastAsia="Arial" w:hAnsi="Arial"/>
          <w:sz w:val="13"/>
          <w:szCs w:val="13"/>
          <w:color w:val="auto"/>
        </w:rPr>
        <w:t>” means all of the foregoing.</w:t>
      </w:r>
    </w:p>
    <w:p>
      <w:pPr>
        <w:spacing w:after="0" w:line="2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10</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72" w:name="page73"/>
    <w:bookmarkEnd w:id="72"/>
    <w:p>
      <w:pPr>
        <w:jc w:val="both"/>
        <w:ind w:left="140" w:right="2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LIBOR Rate</w:t>
      </w:r>
      <w:r>
        <w:rPr>
          <w:rFonts w:ascii="Arial" w:cs="Arial" w:eastAsia="Arial" w:hAnsi="Arial"/>
          <w:sz w:val="14"/>
          <w:szCs w:val="14"/>
          <w:color w:val="auto"/>
        </w:rPr>
        <w:t xml:space="preserve">” means, for each Loan, a per annum rate of interest equal to the greater of (a) one half of one percent (0.5)% and (b) the rate determined by Agent (rounded upwards, if necessary, to the next 1/100th%) by </w:t>
      </w:r>
      <w:r>
        <w:rPr>
          <w:rFonts w:ascii="Arial" w:cs="Arial" w:eastAsia="Arial" w:hAnsi="Arial"/>
          <w:sz w:val="14"/>
          <w:szCs w:val="14"/>
          <w:i w:val="1"/>
          <w:iCs w:val="1"/>
          <w:color w:val="auto"/>
        </w:rPr>
        <w:t>dividing</w:t>
      </w:r>
      <w:r>
        <w:rPr>
          <w:rFonts w:ascii="Arial" w:cs="Arial" w:eastAsia="Arial" w:hAnsi="Arial"/>
          <w:sz w:val="14"/>
          <w:szCs w:val="14"/>
          <w:color w:val="auto"/>
        </w:rPr>
        <w:t xml:space="preserve"> (i) the Base LIBOR Rate for the Interest Period, </w:t>
      </w:r>
      <w:r>
        <w:rPr>
          <w:rFonts w:ascii="Arial" w:cs="Arial" w:eastAsia="Arial" w:hAnsi="Arial"/>
          <w:sz w:val="14"/>
          <w:szCs w:val="14"/>
          <w:i w:val="1"/>
          <w:iCs w:val="1"/>
          <w:color w:val="auto"/>
        </w:rPr>
        <w:t>by</w:t>
      </w:r>
      <w:r>
        <w:rPr>
          <w:rFonts w:ascii="Arial" w:cs="Arial" w:eastAsia="Arial" w:hAnsi="Arial"/>
          <w:sz w:val="14"/>
          <w:szCs w:val="14"/>
          <w:color w:val="auto"/>
        </w:rPr>
        <w:t xml:space="preserve"> (ii) the sum of one </w:t>
      </w:r>
      <w:r>
        <w:rPr>
          <w:rFonts w:ascii="Arial" w:cs="Arial" w:eastAsia="Arial" w:hAnsi="Arial"/>
          <w:sz w:val="14"/>
          <w:szCs w:val="14"/>
          <w:i w:val="1"/>
          <w:iCs w:val="1"/>
          <w:color w:val="auto"/>
        </w:rPr>
        <w:t>minus</w:t>
      </w:r>
      <w:r>
        <w:rPr>
          <w:rFonts w:ascii="Arial" w:cs="Arial" w:eastAsia="Arial" w:hAnsi="Arial"/>
          <w:sz w:val="14"/>
          <w:szCs w:val="14"/>
          <w:color w:val="auto"/>
        </w:rPr>
        <w:t xml:space="preserve"> the daily average during such Interest Period of the aggregate maximum reserve requirement (expressed as a decimal) then imposed under Regulation D of the Board of Governors of the Federal Reserve System (or any successor thereto) for “Eurocurrency Liabilities” (as defined therein).</w:t>
      </w:r>
    </w:p>
    <w:p>
      <w:pPr>
        <w:spacing w:after="0" w:line="126" w:lineRule="exact"/>
        <w:rPr>
          <w:sz w:val="20"/>
          <w:szCs w:val="20"/>
          <w:color w:val="auto"/>
        </w:rPr>
      </w:pPr>
    </w:p>
    <w:p>
      <w:pPr>
        <w:jc w:val="both"/>
        <w:ind w:left="140" w:right="20" w:firstLine="836"/>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means, with respect to any asset, any mortgage, lien, pledge, charge, security interest or encumbrance of any kind, in respect of such asset. For the purposes of this Agreement and the other Financing Documents, any Borrower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Litigation</w:t>
      </w:r>
      <w:r>
        <w:rPr>
          <w:rFonts w:ascii="Arial" w:cs="Arial" w:eastAsia="Arial" w:hAnsi="Arial"/>
          <w:sz w:val="14"/>
          <w:szCs w:val="14"/>
          <w:color w:val="auto"/>
        </w:rPr>
        <w:t>” means any action, suit or proceeding before any court, mediator, arbitrator or Governmental Authority.</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 Account</w:t>
      </w:r>
      <w:r>
        <w:rPr>
          <w:rFonts w:ascii="Arial" w:cs="Arial" w:eastAsia="Arial" w:hAnsi="Arial"/>
          <w:sz w:val="14"/>
          <w:szCs w:val="14"/>
          <w:color w:val="auto"/>
        </w:rPr>
        <w:t>” has the meaning set forth in Section 2.6(b).</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Loan(s)</w:t>
      </w:r>
      <w:r>
        <w:rPr>
          <w:rFonts w:ascii="Arial" w:cs="Arial" w:eastAsia="Arial" w:hAnsi="Arial"/>
          <w:sz w:val="14"/>
          <w:szCs w:val="14"/>
          <w:color w:val="auto"/>
        </w:rPr>
        <w:t>” means the Term Loan and each and every advance under the Term Loan. All references herein to the “making” of a Loan or words of similar import shall mean, with respect to the Term Loan, the making of any advance in respect of a Term Loan.</w:t>
      </w:r>
    </w:p>
    <w:p>
      <w:pPr>
        <w:spacing w:after="0" w:line="11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 Withdrawal</w:t>
      </w:r>
      <w:r>
        <w:rPr>
          <w:rFonts w:ascii="Arial" w:cs="Arial" w:eastAsia="Arial" w:hAnsi="Arial"/>
          <w:sz w:val="14"/>
          <w:szCs w:val="14"/>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w:t>
      </w:r>
    </w:p>
    <w:p>
      <w:pPr>
        <w:spacing w:after="0" w:line="110" w:lineRule="exact"/>
        <w:rPr>
          <w:sz w:val="20"/>
          <w:szCs w:val="20"/>
          <w:color w:val="auto"/>
        </w:rPr>
      </w:pPr>
    </w:p>
    <w:p>
      <w:pPr>
        <w:ind w:left="140" w:firstLine="838"/>
        <w:spacing w:after="0" w:line="27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Material Adverse Effect</w:t>
      </w:r>
      <w:r>
        <w:rPr>
          <w:rFonts w:ascii="Arial" w:cs="Arial" w:eastAsia="Arial" w:hAnsi="Arial"/>
          <w:sz w:val="13"/>
          <w:szCs w:val="13"/>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or a material adverse effect upon, any of (a) the condition (financial or otherwise), operations, business, properties or prospects of any of the Credit Parties, (b) the rights and remedies of Agent or Lenders under any Financing Document, or the ability of any Credit Party to perform any of its obligations under any Financing Document to which it is a party, (c) the legality, validity or enforceability of any Financing Document, (d) the existence or perfection of any security interest granted in any Financing Document, (e) the value of any material Collateral, or (f) a material impairment of the prospect of repayment of any portion of the Obligations.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Contracts</w:t>
      </w:r>
      <w:r>
        <w:rPr>
          <w:rFonts w:ascii="Arial" w:cs="Arial" w:eastAsia="Arial" w:hAnsi="Arial"/>
          <w:sz w:val="14"/>
          <w:szCs w:val="14"/>
          <w:color w:val="auto"/>
        </w:rPr>
        <w:t>” means (a) the Operative Documents, (b) Subordinated Debt Documents,</w:t>
      </w:r>
    </w:p>
    <w:p>
      <w:pPr>
        <w:spacing w:after="0" w:line="17" w:lineRule="exact"/>
        <w:rPr>
          <w:sz w:val="20"/>
          <w:szCs w:val="20"/>
          <w:color w:val="auto"/>
        </w:rPr>
      </w:pPr>
    </w:p>
    <w:p>
      <w:pPr>
        <w:ind w:left="140" w:firstLine="4"/>
        <w:spacing w:after="0" w:line="250" w:lineRule="auto"/>
        <w:tabs>
          <w:tab w:leader="none" w:pos="571"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agreements listed on Schedule 3.17, (d) [reserved] (e) the Venus Purchase Documents, and (f) any agreement or contract to which such Credit Party or its Subsidiaries is a party the loss or termination of which would reasonably be expected to result in a Material Adverse Effect.</w:t>
      </w:r>
    </w:p>
    <w:p>
      <w:pPr>
        <w:spacing w:after="0" w:line="126" w:lineRule="exact"/>
        <w:rPr>
          <w:sz w:val="20"/>
          <w:szCs w:val="20"/>
          <w:color w:val="auto"/>
        </w:rPr>
      </w:pPr>
    </w:p>
    <w:p>
      <w:pPr>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Material Intangible Assets</w:t>
      </w:r>
      <w:r>
        <w:rPr>
          <w:rFonts w:ascii="Arial" w:cs="Arial" w:eastAsia="Arial" w:hAnsi="Arial"/>
          <w:sz w:val="14"/>
          <w:szCs w:val="14"/>
          <w:color w:val="auto"/>
        </w:rPr>
        <w:t>” means all of (i) Borrower’s Intellectual Property and (ii) license or sublicense agreements or other agreements with respect to rights in Intellectual Property, in each case that are material to the condition (financial or other), business or operations of Borrower.</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Maturity Date</w:t>
      </w:r>
      <w:r>
        <w:rPr>
          <w:rFonts w:ascii="Arial" w:cs="Arial" w:eastAsia="Arial" w:hAnsi="Arial"/>
          <w:sz w:val="14"/>
          <w:szCs w:val="14"/>
          <w:color w:val="auto"/>
        </w:rPr>
        <w:t>” means the date that is February 1, 2023. “</w:t>
      </w:r>
      <w:r>
        <w:rPr>
          <w:rFonts w:ascii="Arial" w:cs="Arial" w:eastAsia="Arial" w:hAnsi="Arial"/>
          <w:sz w:val="14"/>
          <w:szCs w:val="14"/>
          <w:b w:val="1"/>
          <w:bCs w:val="1"/>
          <w:color w:val="auto"/>
        </w:rPr>
        <w:t>Maximum Lawful Rate</w:t>
      </w:r>
      <w:r>
        <w:rPr>
          <w:rFonts w:ascii="Arial" w:cs="Arial" w:eastAsia="Arial" w:hAnsi="Arial"/>
          <w:sz w:val="14"/>
          <w:szCs w:val="14"/>
          <w:color w:val="auto"/>
        </w:rPr>
        <w:t>” has the meaning set forth in Section 2.7.</w:t>
      </w:r>
    </w:p>
    <w:p>
      <w:pPr>
        <w:spacing w:after="0" w:line="320"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11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73" w:name="page74"/>
    <w:bookmarkEnd w:id="73"/>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MCF</w:t>
      </w:r>
      <w:r>
        <w:rPr>
          <w:rFonts w:ascii="Arial" w:cs="Arial" w:eastAsia="Arial" w:hAnsi="Arial"/>
          <w:sz w:val="14"/>
          <w:szCs w:val="14"/>
          <w:color w:val="auto"/>
        </w:rPr>
        <w:t>” means MidCap Financial Trust, a Delaware statutory trust, and its successors and permitted assigns.</w:t>
      </w:r>
    </w:p>
    <w:p>
      <w:pPr>
        <w:spacing w:after="0" w:line="154"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Medicaid</w:t>
      </w:r>
      <w:r>
        <w:rPr>
          <w:rFonts w:ascii="Arial" w:cs="Arial" w:eastAsia="Arial" w:hAnsi="Arial"/>
          <w:sz w:val="14"/>
          <w:szCs w:val="14"/>
          <w:color w:val="auto"/>
        </w:rPr>
        <w:t>” means the medical assistance programs administered by state agencies and approved by CMS pursuant to the terms of Title XIX of the Social Security Act, codified at 42 U.S.C. 1396 et seq.</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Medicare</w:t>
      </w:r>
      <w:r>
        <w:rPr>
          <w:rFonts w:ascii="Arial" w:cs="Arial" w:eastAsia="Arial" w:hAnsi="Arial"/>
          <w:sz w:val="12"/>
          <w:szCs w:val="12"/>
          <w:color w:val="auto"/>
        </w:rPr>
        <w:t>” means the program of health benefits for the aged and disabled administered by CMS pursuant to the terms of Title XVIII of the Social Security Act, codified at 42 U.S.C.</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1395 et seq.</w:t>
      </w:r>
    </w:p>
    <w:p>
      <w:pPr>
        <w:spacing w:after="0" w:line="138"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Multiemployer Plan</w:t>
      </w:r>
      <w:r>
        <w:rPr>
          <w:rFonts w:ascii="Arial" w:cs="Arial" w:eastAsia="Arial" w:hAnsi="Arial"/>
          <w:sz w:val="14"/>
          <w:szCs w:val="14"/>
          <w:color w:val="auto"/>
        </w:rPr>
        <w:t>” means a multiemployer plan within the meaning of Section 4001(a)(3) of ERISA to which any Borrower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2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Commercial Product Revenue</w:t>
      </w:r>
      <w:r>
        <w:rPr>
          <w:rFonts w:ascii="Arial" w:cs="Arial" w:eastAsia="Arial" w:hAnsi="Arial"/>
          <w:sz w:val="14"/>
          <w:szCs w:val="14"/>
          <w:color w:val="auto"/>
        </w:rPr>
        <w:t>” has the meaning set forth in Section 6.1. “</w:t>
      </w:r>
      <w:r>
        <w:rPr>
          <w:rFonts w:ascii="Arial" w:cs="Arial" w:eastAsia="Arial" w:hAnsi="Arial"/>
          <w:sz w:val="14"/>
          <w:szCs w:val="14"/>
          <w:b w:val="1"/>
          <w:bCs w:val="1"/>
          <w:color w:val="auto"/>
        </w:rPr>
        <w:t>Notes</w:t>
      </w:r>
      <w:r>
        <w:rPr>
          <w:rFonts w:ascii="Arial" w:cs="Arial" w:eastAsia="Arial" w:hAnsi="Arial"/>
          <w:sz w:val="14"/>
          <w:szCs w:val="14"/>
          <w:color w:val="auto"/>
        </w:rPr>
        <w:t>” has the meaning set forth in Section 2.3.</w:t>
      </w:r>
    </w:p>
    <w:p>
      <w:pPr>
        <w:spacing w:after="0" w:line="1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Notice of Borrowing</w:t>
      </w:r>
      <w:r>
        <w:rPr>
          <w:rFonts w:ascii="Arial" w:cs="Arial" w:eastAsia="Arial" w:hAnsi="Arial"/>
          <w:sz w:val="14"/>
          <w:szCs w:val="14"/>
          <w:color w:val="auto"/>
        </w:rPr>
        <w:t xml:space="preserve">” means a notice of a Responsible Officer of Borrower Representative, appropriately completed and substantially in the form of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hereto.</w:t>
      </w:r>
    </w:p>
    <w:p>
      <w:pPr>
        <w:spacing w:after="0" w:line="129" w:lineRule="exact"/>
        <w:rPr>
          <w:sz w:val="20"/>
          <w:szCs w:val="20"/>
          <w:color w:val="auto"/>
        </w:rPr>
      </w:pPr>
    </w:p>
    <w:p>
      <w:pPr>
        <w:jc w:val="both"/>
        <w:ind w:left="140" w:right="2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Obligations</w:t>
      </w:r>
      <w:r>
        <w:rPr>
          <w:rFonts w:ascii="Arial" w:cs="Arial" w:eastAsia="Arial" w:hAnsi="Arial"/>
          <w:sz w:val="14"/>
          <w:szCs w:val="14"/>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OFAC</w:t>
      </w:r>
      <w:r>
        <w:rPr>
          <w:rFonts w:ascii="Arial" w:cs="Arial" w:eastAsia="Arial" w:hAnsi="Arial"/>
          <w:sz w:val="14"/>
          <w:szCs w:val="14"/>
          <w:color w:val="auto"/>
        </w:rPr>
        <w:t>” means the U.S. Department of Treasury Office of Foreign Assets Control.</w:t>
      </w:r>
    </w:p>
    <w:p>
      <w:pPr>
        <w:spacing w:after="0" w:line="154" w:lineRule="exact"/>
        <w:rPr>
          <w:sz w:val="20"/>
          <w:szCs w:val="20"/>
          <w:color w:val="auto"/>
        </w:rPr>
      </w:pPr>
    </w:p>
    <w:p>
      <w:pPr>
        <w:jc w:val="both"/>
        <w:ind w:left="140" w:right="20" w:firstLine="837"/>
        <w:spacing w:after="0" w:line="36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OFAC Lists</w:t>
      </w:r>
      <w:r>
        <w:rPr>
          <w:rFonts w:ascii="Arial" w:cs="Arial" w:eastAsia="Arial" w:hAnsi="Arial"/>
          <w:sz w:val="12"/>
          <w:szCs w:val="12"/>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Operative Documents</w:t>
      </w:r>
      <w:r>
        <w:rPr>
          <w:rFonts w:ascii="Arial" w:cs="Arial" w:eastAsia="Arial" w:hAnsi="Arial"/>
          <w:sz w:val="13"/>
          <w:szCs w:val="13"/>
          <w:color w:val="auto"/>
        </w:rPr>
        <w:t>” means the Financing Documents and the Emergent Spinoff Documents. “</w:t>
      </w:r>
      <w:r>
        <w:rPr>
          <w:rFonts w:ascii="Arial" w:cs="Arial" w:eastAsia="Arial" w:hAnsi="Arial"/>
          <w:sz w:val="13"/>
          <w:szCs w:val="13"/>
          <w:b w:val="1"/>
          <w:bCs w:val="1"/>
          <w:color w:val="auto"/>
        </w:rPr>
        <w:t>Original Credit Agreement</w:t>
      </w:r>
      <w:r>
        <w:rPr>
          <w:rFonts w:ascii="Arial" w:cs="Arial" w:eastAsia="Arial" w:hAnsi="Arial"/>
          <w:sz w:val="13"/>
          <w:szCs w:val="13"/>
          <w:color w:val="auto"/>
        </w:rPr>
        <w:t>” has the meaning set forth in the Recitals hereto.</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Original Closing Date</w:t>
      </w:r>
      <w:r>
        <w:rPr>
          <w:rFonts w:ascii="Arial" w:cs="Arial" w:eastAsia="Arial" w:hAnsi="Arial"/>
          <w:sz w:val="14"/>
          <w:szCs w:val="14"/>
          <w:color w:val="auto"/>
        </w:rPr>
        <w:t>” has the meaning set forth in the Recitals hereto.</w:t>
      </w:r>
    </w:p>
    <w:p>
      <w:pPr>
        <w:spacing w:after="0" w:line="129" w:lineRule="exact"/>
        <w:rPr>
          <w:sz w:val="20"/>
          <w:szCs w:val="20"/>
          <w:color w:val="auto"/>
        </w:rPr>
      </w:pPr>
    </w:p>
    <w:p>
      <w:pPr>
        <w:ind w:left="140" w:right="40" w:firstLine="835"/>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Ordinary Course of Business</w:t>
      </w:r>
      <w:r>
        <w:rPr>
          <w:rFonts w:ascii="Arial" w:cs="Arial" w:eastAsia="Arial" w:hAnsi="Arial"/>
          <w:sz w:val="14"/>
          <w:szCs w:val="14"/>
          <w:color w:val="auto"/>
        </w:rPr>
        <w:t>” means, in respect of any transaction involving any Credit Party, the ordinary course of business of such Credit Party, as conducted by such Credit Party in a manner consistent with past practices in all material respects.</w:t>
      </w:r>
    </w:p>
    <w:p>
      <w:pPr>
        <w:spacing w:after="0" w:line="11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Organizational Documents</w:t>
      </w:r>
      <w:r>
        <w:rPr>
          <w:rFonts w:ascii="Arial" w:cs="Arial" w:eastAsia="Arial" w:hAnsi="Arial"/>
          <w:sz w:val="14"/>
          <w:szCs w:val="14"/>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w:t>
      </w:r>
    </w:p>
    <w:p>
      <w:pPr>
        <w:spacing w:after="0" w:line="287"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12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74" w:name="page75"/>
    <w:bookmarkEnd w:id="74"/>
    <w:p>
      <w:pPr>
        <w:jc w:val="both"/>
        <w:ind w:left="140" w:right="20"/>
        <w:spacing w:after="0" w:line="268" w:lineRule="auto"/>
        <w:rPr>
          <w:sz w:val="20"/>
          <w:szCs w:val="20"/>
          <w:color w:val="auto"/>
        </w:rPr>
      </w:pPr>
      <w:r>
        <w:rPr>
          <w:rFonts w:ascii="Arial" w:cs="Arial" w:eastAsia="Arial" w:hAnsi="Arial"/>
          <w:sz w:val="14"/>
          <w:szCs w:val="14"/>
          <w:color w:val="auto"/>
        </w:rPr>
        <w:t>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 Register</w:t>
      </w:r>
      <w:r>
        <w:rPr>
          <w:rFonts w:ascii="Arial" w:cs="Arial" w:eastAsia="Arial" w:hAnsi="Arial"/>
          <w:sz w:val="14"/>
          <w:szCs w:val="14"/>
          <w:color w:val="auto"/>
        </w:rPr>
        <w:t>” has the meaning set for in Section 11.17(a)(iii).</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 Account</w:t>
      </w:r>
      <w:r>
        <w:rPr>
          <w:rFonts w:ascii="Arial" w:cs="Arial" w:eastAsia="Arial" w:hAnsi="Arial"/>
          <w:sz w:val="14"/>
          <w:szCs w:val="14"/>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9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 Notification</w:t>
      </w:r>
      <w:r>
        <w:rPr>
          <w:rFonts w:ascii="Arial" w:cs="Arial" w:eastAsia="Arial" w:hAnsi="Arial"/>
          <w:sz w:val="14"/>
          <w:szCs w:val="14"/>
          <w:color w:val="auto"/>
        </w:rPr>
        <w:t xml:space="preserve">” means a written notification substantially in the form of </w:t>
      </w:r>
      <w:r>
        <w:rPr>
          <w:rFonts w:ascii="Arial" w:cs="Arial" w:eastAsia="Arial" w:hAnsi="Arial"/>
          <w:sz w:val="14"/>
          <w:szCs w:val="14"/>
          <w:u w:val="single" w:color="auto"/>
          <w:color w:val="auto"/>
        </w:rPr>
        <w:t>Exhibit E</w:t>
      </w:r>
    </w:p>
    <w:p>
      <w:pPr>
        <w:spacing w:after="0" w:line="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hereto.</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PBGC</w:t>
      </w:r>
      <w:r>
        <w:rPr>
          <w:rFonts w:ascii="Arial" w:cs="Arial" w:eastAsia="Arial" w:hAnsi="Arial"/>
          <w:sz w:val="14"/>
          <w:szCs w:val="14"/>
          <w:color w:val="auto"/>
        </w:rPr>
        <w:t>” means the Pension Benefit Guaranty Corporation and any Person succeeding to any or all of its functions under ERISA.</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Pension Plan</w:t>
      </w:r>
      <w:r>
        <w:rPr>
          <w:rFonts w:ascii="Arial" w:cs="Arial" w:eastAsia="Arial" w:hAnsi="Arial"/>
          <w:sz w:val="14"/>
          <w:szCs w:val="14"/>
          <w:color w:val="auto"/>
        </w:rPr>
        <w:t>” means any ERISA Plan that is subject to Section 412 of the Code or Title IV of</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ERISA.</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Perfection Certificate</w:t>
      </w:r>
      <w:r>
        <w:rPr>
          <w:rFonts w:ascii="Arial" w:cs="Arial" w:eastAsia="Arial" w:hAnsi="Arial"/>
          <w:sz w:val="13"/>
          <w:szCs w:val="13"/>
          <w:color w:val="auto"/>
        </w:rPr>
        <w:t>” means the Perfection Certificate delivered to Agent as of the Closing Date, together with any amendments thereto required under this Agreement.</w:t>
      </w:r>
    </w:p>
    <w:p>
      <w:pPr>
        <w:spacing w:after="0" w:line="166"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w:t>
      </w:r>
      <w:r>
        <w:rPr>
          <w:rFonts w:ascii="Arial" w:cs="Arial" w:eastAsia="Arial" w:hAnsi="Arial"/>
          <w:sz w:val="14"/>
          <w:szCs w:val="14"/>
          <w:color w:val="auto"/>
        </w:rPr>
        <w:t>” means all licenses, certificates, accreditations, product approvals, provider numbers or provider authorizations, supplier numbers, marketing authorizations, drug authorizations and approvals, other authorizations, registrations, permits, consents and approvals required under an applicable Law to be held by a Credit Party, and which are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Without limiting the generality of the foregoing, “</w:t>
      </w:r>
      <w:r>
        <w:rPr>
          <w:rFonts w:ascii="Arial" w:cs="Arial" w:eastAsia="Arial" w:hAnsi="Arial"/>
          <w:sz w:val="14"/>
          <w:szCs w:val="14"/>
          <w:b w:val="1"/>
          <w:bCs w:val="1"/>
          <w:color w:val="auto"/>
        </w:rPr>
        <w:t>Permit</w:t>
      </w:r>
      <w:r>
        <w:rPr>
          <w:rFonts w:ascii="Arial" w:cs="Arial" w:eastAsia="Arial" w:hAnsi="Arial"/>
          <w:sz w:val="14"/>
          <w:szCs w:val="14"/>
          <w:color w:val="auto"/>
        </w:rPr>
        <w:t>” includes any Regulatory Required Permit.</w:t>
      </w:r>
    </w:p>
    <w:p>
      <w:pPr>
        <w:spacing w:after="0" w:line="126" w:lineRule="exact"/>
        <w:rPr>
          <w:sz w:val="20"/>
          <w:szCs w:val="20"/>
          <w:color w:val="auto"/>
        </w:rPr>
      </w:pPr>
    </w:p>
    <w:p>
      <w:pPr>
        <w:jc w:val="both"/>
        <w:ind w:left="140" w:right="20" w:firstLine="836"/>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Asset Dispositions</w:t>
      </w:r>
      <w:r>
        <w:rPr>
          <w:rFonts w:ascii="Arial" w:cs="Arial" w:eastAsia="Arial" w:hAnsi="Arial"/>
          <w:sz w:val="14"/>
          <w:szCs w:val="14"/>
          <w:color w:val="auto"/>
        </w:rPr>
        <w:t xml:space="preserve">” means the following Asset Dispositions,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at the time of such Asset Disposition, no Default or Event of Default exists or would result from such Asset Disposition:</w:t>
      </w:r>
    </w:p>
    <w:p>
      <w:pPr>
        <w:spacing w:after="0" w:line="104" w:lineRule="exact"/>
        <w:rPr>
          <w:sz w:val="20"/>
          <w:szCs w:val="20"/>
          <w:color w:val="auto"/>
        </w:rPr>
      </w:pPr>
    </w:p>
    <w:p>
      <w:pPr>
        <w:ind w:left="2820" w:hanging="858"/>
        <w:spacing w:after="0"/>
        <w:tabs>
          <w:tab w:leader="none" w:pos="28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dispositions of Inventory in the Ordinary Course of Business and not pursuant to</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any bulk sale;</w:t>
      </w:r>
    </w:p>
    <w:p>
      <w:pPr>
        <w:sectPr>
          <w:pgSz w:w="11900" w:h="16838" w:orient="portrait"/>
          <w:cols w:equalWidth="0" w:num="1">
            <w:col w:w="11340"/>
          </w:cols>
          <w:pgMar w:left="240" w:top="165" w:right="319" w:bottom="1440" w:gutter="0" w:footer="0" w:header="0"/>
        </w:sectPr>
      </w:pPr>
    </w:p>
    <w:p>
      <w:pPr>
        <w:spacing w:after="0" w:line="13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40" w:firstLine="1429"/>
        <w:spacing w:after="0" w:line="268" w:lineRule="auto"/>
        <w:rPr>
          <w:sz w:val="20"/>
          <w:szCs w:val="20"/>
          <w:color w:val="auto"/>
        </w:rPr>
      </w:pPr>
      <w:r>
        <w:rPr>
          <w:rFonts w:ascii="Arial" w:cs="Arial" w:eastAsia="Arial" w:hAnsi="Arial"/>
          <w:sz w:val="14"/>
          <w:szCs w:val="14"/>
          <w:color w:val="auto"/>
        </w:rPr>
        <w:t>dispositions of furniture, fixtures and equipment in the Ordinary Course of Business that the applicable Borrower or Subsidiary determines in good faith is no longer used or useful in, or is surplus to, the business of such Borrower and its Subsidiaries;</w:t>
      </w:r>
    </w:p>
    <w:p>
      <w:pPr>
        <w:spacing w:after="0" w:line="108"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196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dispositions consisting of, or entry into, Permitted Licenses;</w:t>
      </w:r>
    </w:p>
    <w:p>
      <w:pPr>
        <w:spacing w:after="0" w:line="177" w:lineRule="exact"/>
        <w:rPr>
          <w:sz w:val="20"/>
          <w:szCs w:val="20"/>
          <w:color w:val="auto"/>
        </w:rPr>
      </w:pPr>
    </w:p>
    <w:p>
      <w:pPr>
        <w:sectPr>
          <w:pgSz w:w="11900" w:h="16838" w:orient="portrait"/>
          <w:cols w:equalWidth="0" w:num="2">
            <w:col w:w="2120" w:space="700"/>
            <w:col w:w="852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dispositions of obsolete or worn out furniture, fixtures and equipment, whether now owned or hereafter acquired, in the Ordinary Course of</w:t>
      </w:r>
    </w:p>
    <w:p>
      <w:pPr>
        <w:spacing w:after="0" w:line="40" w:lineRule="exact"/>
        <w:rPr>
          <w:sz w:val="20"/>
          <w:szCs w:val="20"/>
          <w:color w:val="auto"/>
        </w:rPr>
      </w:pPr>
    </w:p>
    <w:p>
      <w:pPr>
        <w:sectPr>
          <w:pgSz w:w="11900" w:h="16838" w:orient="portrait"/>
          <w:cols w:equalWidth="0" w:num="2">
            <w:col w:w="2360" w:space="720"/>
            <w:col w:w="8260"/>
          </w:cols>
          <w:pgMar w:left="240" w:top="165" w:right="31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Business;</w:t>
      </w:r>
    </w:p>
    <w:p>
      <w:pPr>
        <w:sectPr>
          <w:pgSz w:w="11900" w:h="16838" w:orient="portrait"/>
          <w:cols w:equalWidth="0" w:num="1">
            <w:col w:w="11340"/>
          </w:cols>
          <w:pgMar w:left="240" w:top="165" w:right="319" w:bottom="1440" w:gutter="0" w:footer="0" w:header="0"/>
          <w:type w:val="continuous"/>
        </w:sectPr>
      </w:pP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dispositions approved by Agent;</w:t>
      </w:r>
    </w:p>
    <w:p>
      <w:pPr>
        <w:spacing w:after="0" w:line="339" w:lineRule="exact"/>
        <w:rPr>
          <w:sz w:val="20"/>
          <w:szCs w:val="20"/>
          <w:color w:val="auto"/>
        </w:rPr>
      </w:pPr>
    </w:p>
    <w:p>
      <w:pPr>
        <w:sectPr>
          <w:pgSz w:w="11900" w:h="16838" w:orient="portrait"/>
          <w:cols w:equalWidth="0" w:num="2">
            <w:col w:w="2120" w:space="700"/>
            <w:col w:w="8520"/>
          </w:cols>
          <w:pgMar w:left="240" w:top="165" w:right="319" w:bottom="1440" w:gutter="0" w:footer="0" w:header="0"/>
          <w:type w:val="continuous"/>
        </w:sectPr>
      </w:pPr>
    </w:p>
    <w:p>
      <w:pPr>
        <w:ind w:left="10320"/>
        <w:spacing w:after="0"/>
        <w:rPr>
          <w:sz w:val="20"/>
          <w:szCs w:val="20"/>
          <w:color w:val="auto"/>
        </w:rPr>
      </w:pPr>
      <w:r>
        <w:rPr>
          <w:rFonts w:ascii="Arial" w:cs="Arial" w:eastAsia="Arial" w:hAnsi="Arial"/>
          <w:sz w:val="12"/>
          <w:szCs w:val="12"/>
          <w:color w:val="auto"/>
        </w:rPr>
        <w:t>13</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75" w:name="page76"/>
    <w:bookmarkEnd w:id="75"/>
    <w:p>
      <w:pPr>
        <w:ind w:left="22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to Borrowers or their</w:t>
      </w:r>
    </w:p>
    <w:p>
      <w:pPr>
        <w:spacing w:after="0" w:line="20" w:lineRule="exact"/>
        <w:rPr>
          <w:sz w:val="20"/>
          <w:szCs w:val="20"/>
          <w:color w:val="auto"/>
        </w:rPr>
      </w:pPr>
      <w:r>
        <w:rPr>
          <w:sz w:val="20"/>
          <w:szCs w:val="20"/>
          <w:color w:val="auto"/>
        </w:rPr>
        <w:br w:type="column"/>
      </w:r>
    </w:p>
    <w:p>
      <w:pPr>
        <w:ind w:right="120" w:firstLine="206"/>
        <w:spacing w:after="0" w:line="267" w:lineRule="auto"/>
        <w:rPr>
          <w:sz w:val="20"/>
          <w:szCs w:val="20"/>
          <w:color w:val="auto"/>
        </w:rPr>
      </w:pPr>
      <w:r>
        <w:rPr>
          <w:rFonts w:ascii="Arial" w:cs="Arial" w:eastAsia="Arial" w:hAnsi="Arial"/>
          <w:sz w:val="14"/>
          <w:szCs w:val="14"/>
          <w:color w:val="auto"/>
        </w:rPr>
        <w:t>the abandonment in the Ordinary Course of Business of Intellectual Property (other than Material Intangible Assets) that is no longer used or useful Subsidiaries;</w:t>
      </w:r>
    </w:p>
    <w:p>
      <w:pPr>
        <w:spacing w:after="0" w:line="119" w:lineRule="exact"/>
        <w:rPr>
          <w:sz w:val="20"/>
          <w:szCs w:val="20"/>
          <w:color w:val="auto"/>
        </w:rPr>
      </w:pPr>
    </w:p>
    <w:p>
      <w:pPr>
        <w:sectPr>
          <w:pgSz w:w="11900" w:h="16838" w:orient="portrait"/>
          <w:cols w:equalWidth="0" w:num="3">
            <w:col w:w="940" w:space="720"/>
            <w:col w:w="1160" w:space="60"/>
            <w:col w:w="8460"/>
          </w:cols>
          <w:pgMar w:left="240" w:top="128" w:right="319" w:bottom="1440" w:gutter="0" w:footer="0" w:header="0"/>
        </w:sectPr>
      </w:pPr>
    </w:p>
    <w:p>
      <w:pPr>
        <w:ind w:left="22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dispositions of Accounts to a third party in connection with the compromise, settlement or collection thereof in the Ordinary Course of Business</w:t>
      </w:r>
    </w:p>
    <w:p>
      <w:pPr>
        <w:spacing w:after="0" w:line="40" w:lineRule="exact"/>
        <w:rPr>
          <w:sz w:val="20"/>
          <w:szCs w:val="20"/>
          <w:color w:val="auto"/>
        </w:rPr>
      </w:pPr>
    </w:p>
    <w:p>
      <w:pPr>
        <w:sectPr>
          <w:pgSz w:w="11900" w:h="16838" w:orient="portrait"/>
          <w:cols w:equalWidth="0" w:num="2">
            <w:col w:w="2380" w:space="720"/>
            <w:col w:w="8240"/>
          </w:cols>
          <w:pgMar w:left="240" w:top="128" w:right="31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exclusive of factoring or similar arrangements;</w:t>
      </w:r>
    </w:p>
    <w:p>
      <w:pPr>
        <w:sectPr>
          <w:pgSz w:w="11900" w:h="16838" w:orient="portrait"/>
          <w:cols w:equalWidth="0" w:num="1">
            <w:col w:w="11340"/>
          </w:cols>
          <w:pgMar w:left="240" w:top="128" w:right="319" w:bottom="1440" w:gutter="0" w:footer="0" w:header="0"/>
          <w:type w:val="continuous"/>
        </w:sectPr>
      </w:pP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the termination of Swap Contracts in the Ordinary Course of Business;</w:t>
      </w:r>
    </w:p>
    <w:p>
      <w:pPr>
        <w:spacing w:after="0" w:line="177" w:lineRule="exact"/>
        <w:rPr>
          <w:sz w:val="20"/>
          <w:szCs w:val="20"/>
          <w:color w:val="auto"/>
        </w:rPr>
      </w:pPr>
    </w:p>
    <w:p>
      <w:pPr>
        <w:sectPr>
          <w:pgSz w:w="11900" w:h="16838" w:orient="portrait"/>
          <w:cols w:equalWidth="0" w:num="2">
            <w:col w:w="2120" w:space="700"/>
            <w:col w:w="852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expiration or termination of the license for a monoclonal antibody therapeutic that is currently in pre-clinical development for Alzheimer’s</w:t>
      </w:r>
    </w:p>
    <w:p>
      <w:pPr>
        <w:spacing w:after="0" w:line="29" w:lineRule="exact"/>
        <w:rPr>
          <w:sz w:val="20"/>
          <w:szCs w:val="20"/>
          <w:color w:val="auto"/>
        </w:rPr>
      </w:pPr>
    </w:p>
    <w:p>
      <w:pPr>
        <w:sectPr>
          <w:pgSz w:w="11900" w:h="16838" w:orient="portrait"/>
          <w:cols w:equalWidth="0" w:num="2">
            <w:col w:w="2380" w:space="720"/>
            <w:col w:w="8240"/>
          </w:cols>
          <w:pgMar w:left="240" w:top="128" w:right="319" w:bottom="1440" w:gutter="0" w:footer="0" w:header="0"/>
          <w:type w:val="continuous"/>
        </w:sectPr>
      </w:pPr>
    </w:p>
    <w:p>
      <w:pPr>
        <w:ind w:left="1660"/>
        <w:spacing w:after="0"/>
        <w:rPr>
          <w:sz w:val="20"/>
          <w:szCs w:val="20"/>
          <w:color w:val="auto"/>
        </w:rPr>
      </w:pPr>
      <w:r>
        <w:rPr>
          <w:rFonts w:ascii="Arial" w:cs="Arial" w:eastAsia="Arial" w:hAnsi="Arial"/>
          <w:sz w:val="14"/>
          <w:szCs w:val="14"/>
          <w:color w:val="auto"/>
        </w:rPr>
        <w:t>disease and</w:t>
      </w:r>
    </w:p>
    <w:p>
      <w:pPr>
        <w:spacing w:after="0" w:line="138" w:lineRule="exact"/>
        <w:rPr>
          <w:sz w:val="20"/>
          <w:szCs w:val="20"/>
          <w:color w:val="auto"/>
        </w:rPr>
      </w:pPr>
    </w:p>
    <w:p>
      <w:pPr>
        <w:ind w:left="220"/>
        <w:spacing w:after="0"/>
        <w:tabs>
          <w:tab w:leader="none" w:pos="3080" w:val="left"/>
        </w:tabs>
        <w:rPr>
          <w:sz w:val="20"/>
          <w:szCs w:val="20"/>
          <w:color w:val="auto"/>
        </w:rPr>
      </w:pPr>
      <w:r>
        <w:rPr>
          <w:rFonts w:ascii="Arial" w:cs="Arial" w:eastAsia="Arial" w:hAnsi="Arial"/>
          <w:sz w:val="12"/>
          <w:szCs w:val="12"/>
          <w:color w:val="auto"/>
        </w:rPr>
        <w:t>(j)</w:t>
      </w:r>
      <w:r>
        <w:rPr>
          <w:sz w:val="20"/>
          <w:szCs w:val="20"/>
          <w:color w:val="auto"/>
        </w:rPr>
        <w:tab/>
      </w:r>
      <w:r>
        <w:rPr>
          <w:rFonts w:ascii="Arial" w:cs="Arial" w:eastAsia="Arial" w:hAnsi="Arial"/>
          <w:sz w:val="12"/>
          <w:szCs w:val="12"/>
          <w:color w:val="auto"/>
        </w:rPr>
        <w:t>dispositions of assets other than those described in clauses (a) through (i) above for cash at fair value if all of the following conditions are met: (i)</w:t>
      </w:r>
    </w:p>
    <w:p>
      <w:pPr>
        <w:sectPr>
          <w:pgSz w:w="11900" w:h="16838" w:orient="portrait"/>
          <w:cols w:equalWidth="0" w:num="1">
            <w:col w:w="11340"/>
          </w:cols>
          <w:pgMar w:left="240" w:top="128" w:right="319" w:bottom="1440" w:gutter="0" w:footer="0" w:header="0"/>
          <w:type w:val="continuous"/>
        </w:sectPr>
      </w:pPr>
    </w:p>
    <w:p>
      <w:pPr>
        <w:spacing w:after="0" w:line="38"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the assets are not Intellectual Property,</w:t>
      </w:r>
    </w:p>
    <w:p>
      <w:pPr>
        <w:jc w:val="both"/>
        <w:ind w:left="260" w:hanging="8"/>
        <w:spacing w:after="0" w:line="241" w:lineRule="auto"/>
        <w:tabs>
          <w:tab w:leader="none" w:pos="4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applicable Borrower or Subsidiary determines in good faith is no longer used or useful in the business of such Borrower and its Subsidiaries, (iii) the market value of assets sold or otherwise disposed of in any single transaction or series of related transactions does not exceed $250,000 and the aggregate market value of the assets sold or otherwise disposed of in any fiscal year does not exceed $500,000 and</w:t>
      </w:r>
    </w:p>
    <w:p>
      <w:pPr>
        <w:spacing w:after="0" w:line="2" w:lineRule="exact"/>
        <w:rPr>
          <w:sz w:val="20"/>
          <w:szCs w:val="20"/>
          <w:color w:val="auto"/>
        </w:rPr>
      </w:pPr>
    </w:p>
    <w:p>
      <w:pPr>
        <w:ind w:left="880" w:hanging="628"/>
        <w:spacing w:after="0"/>
        <w:tabs>
          <w:tab w:leader="none" w:pos="8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net cash proceeds of such disposition are applied to the extent required by Section 2.1(a)(ii)(B)(iii).</w:t>
      </w:r>
    </w:p>
    <w:p>
      <w:pPr>
        <w:spacing w:after="0" w:line="138" w:lineRule="exact"/>
        <w:rPr>
          <w:sz w:val="20"/>
          <w:szCs w:val="20"/>
          <w:color w:val="auto"/>
        </w:rPr>
      </w:pPr>
    </w:p>
    <w:p>
      <w:pPr>
        <w:jc w:val="both"/>
        <w:ind w:left="140" w:firstLine="837"/>
        <w:spacing w:after="0" w:line="26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Contest</w:t>
      </w:r>
      <w:r>
        <w:rPr>
          <w:rFonts w:ascii="Arial" w:cs="Arial" w:eastAsia="Arial" w:hAnsi="Arial"/>
          <w:sz w:val="13"/>
          <w:szCs w:val="13"/>
          <w:color w:val="auto"/>
        </w:rPr>
        <w:t xml:space="preserve">” means, with respect to any tax obligation or other obligation allegedly or potentially owing from any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 compliance with the obligation that is the subject of such contest is effectively stayed during such challenge; (b) Borrowers’ and their Subsidiaries’ title to, and its right to use, the Collateral is not adversely affected thereby and Agent’s Lien and priority on the Collateral are not adversely affected, altered or impaired thereby; (c) Borrowers have given Agent notice of the commencement of such contest and upon request by Agent, from time to time, notice of the status of such contest by Borrowers and/or confirmation of the continuing satisfaction of this definition; (d) the Collateral or any part thereof or any interest therein shall not be in any danger of being sold, forfeited or lost by reason of such contest by Borrowers or their Subsidiaries; and (e) upon a final determination of such contest, Borrowers and their Subsidiaries shall promptly comply with the requirements thereof.</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Contingent Obligations</w:t>
      </w:r>
      <w:r>
        <w:rPr>
          <w:rFonts w:ascii="Arial" w:cs="Arial" w:eastAsia="Arial" w:hAnsi="Arial"/>
          <w:sz w:val="14"/>
          <w:szCs w:val="14"/>
          <w:color w:val="auto"/>
        </w:rPr>
        <w:t>” means</w:t>
      </w:r>
    </w:p>
    <w:p>
      <w:pPr>
        <w:sectPr>
          <w:pgSz w:w="11900" w:h="16838" w:orient="portrait"/>
          <w:cols w:equalWidth="0" w:num="1">
            <w:col w:w="11340"/>
          </w:cols>
          <w:pgMar w:left="240" w:top="128" w:right="319" w:bottom="1440" w:gutter="0" w:footer="0" w:header="0"/>
          <w:type w:val="continuous"/>
        </w:sectPr>
      </w:pPr>
    </w:p>
    <w:p>
      <w:pPr>
        <w:spacing w:after="0" w:line="15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120" w:firstLine="1429"/>
        <w:spacing w:after="0" w:line="250" w:lineRule="auto"/>
        <w:rPr>
          <w:sz w:val="20"/>
          <w:szCs w:val="20"/>
          <w:color w:val="auto"/>
        </w:rPr>
      </w:pPr>
      <w:r>
        <w:rPr>
          <w:rFonts w:ascii="Arial" w:cs="Arial" w:eastAsia="Arial" w:hAnsi="Arial"/>
          <w:sz w:val="14"/>
          <w:szCs w:val="14"/>
          <w:color w:val="auto"/>
        </w:rPr>
        <w:t xml:space="preserve">Contingent Obligations arising in respect of the Debt under the Financing Documents or with respect to other Permitted Debt (other than pursuant to clause (k) of the definition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any such Contingent Obligation is subordinated to the Obligations to the same extent as the Debt to which it relates is subordinated to the Obligations and (ii) no Credit Party may incur Contingent Obligations under this clause (a) in respect of Debt incurred by any Person that is not a Borrower or Guarantor;</w:t>
      </w:r>
    </w:p>
    <w:p>
      <w:pPr>
        <w:spacing w:after="0" w:line="131"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(b)</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Contingent Obligations resulting from endorsements for collection or deposit in the Ordinary Course of Business;</w:t>
      </w:r>
    </w:p>
    <w:p>
      <w:pPr>
        <w:spacing w:after="0" w:line="339" w:lineRule="exact"/>
        <w:rPr>
          <w:sz w:val="20"/>
          <w:szCs w:val="20"/>
          <w:color w:val="auto"/>
        </w:rPr>
      </w:pPr>
    </w:p>
    <w:p>
      <w:pPr>
        <w:sectPr>
          <w:pgSz w:w="11900" w:h="16838" w:orient="portrait"/>
          <w:cols w:equalWidth="0" w:num="2">
            <w:col w:w="2380" w:space="720"/>
            <w:col w:w="8240"/>
          </w:cols>
          <w:pgMar w:left="240" w:top="128" w:right="319" w:bottom="1440" w:gutter="0" w:footer="0" w:header="0"/>
          <w:type w:val="continuous"/>
        </w:sectPr>
      </w:pPr>
    </w:p>
    <w:p>
      <w:pPr>
        <w:ind w:left="1032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40"/>
          </w:cols>
          <w:pgMar w:left="240" w:top="128" w:right="3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9"/>
          <w:szCs w:val="9"/>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28" w:right="319" w:bottom="1440" w:gutter="0" w:footer="0" w:header="0"/>
          <w:type w:val="continuous"/>
        </w:sectPr>
      </w:pPr>
    </w:p>
    <w:bookmarkStart w:id="76" w:name="page77"/>
    <w:bookmarkEnd w:id="76"/>
    <w:tbl>
      <w:tblPr>
        <w:tblLayout w:type="fixed"/>
        <w:tblInd w:w="220" w:type="dxa"/>
        <w:tblCellMar>
          <w:top w:w="0" w:type="dxa"/>
          <w:left w:w="0" w:type="dxa"/>
          <w:bottom w:w="0" w:type="dxa"/>
          <w:right w:w="0" w:type="dxa"/>
        </w:tblCellMar>
      </w:tblPr>
      <w:tr>
        <w:trPr>
          <w:trHeight w:val="178"/>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80"/>
              <w:spacing w:after="0"/>
              <w:rPr>
                <w:sz w:val="20"/>
                <w:szCs w:val="20"/>
                <w:color w:val="auto"/>
              </w:rPr>
            </w:pPr>
            <w:r>
              <w:rPr>
                <w:rFonts w:ascii="Arial" w:cs="Arial" w:eastAsia="Arial" w:hAnsi="Arial"/>
                <w:sz w:val="14"/>
                <w:szCs w:val="14"/>
                <w:color w:val="auto"/>
                <w:w w:val="98"/>
              </w:rPr>
              <w:t>Contingent Obligations outstanding on the Closing Date and set forth on Schedule 5.1 (including any Permitted Refinancings thereof);</w:t>
            </w: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jc w:val="right"/>
              <w:spacing w:after="0"/>
              <w:rPr>
                <w:sz w:val="20"/>
                <w:szCs w:val="20"/>
                <w:color w:val="auto"/>
              </w:rPr>
            </w:pPr>
            <w:r>
              <w:rPr>
                <w:rFonts w:ascii="Arial" w:cs="Arial" w:eastAsia="Arial" w:hAnsi="Arial"/>
                <w:sz w:val="14"/>
                <w:szCs w:val="14"/>
                <w:color w:val="auto"/>
              </w:rPr>
              <w:t>Contingent Obligations incurred in the Ordinary Course of Business with respect to surety and appeal bonds, performance bonds and other similar</w:t>
            </w: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obligations not to exceed</w:t>
            </w:r>
          </w:p>
        </w:tc>
      </w:tr>
      <w:tr>
        <w:trPr>
          <w:trHeight w:val="179"/>
        </w:trPr>
        <w:tc>
          <w:tcPr>
            <w:tcW w:w="11000" w:type="dxa"/>
            <w:vAlign w:val="bottom"/>
            <w:gridSpan w:val="2"/>
          </w:tcPr>
          <w:p>
            <w:pPr>
              <w:jc w:val="right"/>
              <w:ind w:right="8070"/>
              <w:spacing w:after="0"/>
              <w:rPr>
                <w:sz w:val="20"/>
                <w:szCs w:val="20"/>
                <w:color w:val="auto"/>
              </w:rPr>
            </w:pPr>
            <w:r>
              <w:rPr>
                <w:rFonts w:ascii="Arial" w:cs="Arial" w:eastAsia="Arial" w:hAnsi="Arial"/>
                <w:sz w:val="14"/>
                <w:szCs w:val="14"/>
                <w:color w:val="auto"/>
                <w:w w:val="89"/>
              </w:rPr>
              <w:t>$250,000 in the aggregate at any time outstanding;</w:t>
            </w:r>
          </w:p>
        </w:tc>
      </w:tr>
      <w:tr>
        <w:trPr>
          <w:trHeight w:val="315"/>
        </w:trPr>
        <w:tc>
          <w:tcPr>
            <w:tcW w:w="800" w:type="dxa"/>
            <w:vAlign w:val="bottom"/>
          </w:tcPr>
          <w:p>
            <w:pPr>
              <w:spacing w:after="0"/>
              <w:rPr>
                <w:sz w:val="20"/>
                <w:szCs w:val="20"/>
                <w:color w:val="auto"/>
              </w:rPr>
            </w:pPr>
            <w:r>
              <w:rPr>
                <w:rFonts w:ascii="Arial" w:cs="Arial" w:eastAsia="Arial" w:hAnsi="Arial"/>
                <w:sz w:val="14"/>
                <w:szCs w:val="14"/>
                <w:color w:val="auto"/>
              </w:rPr>
              <w:t>(e)</w:t>
            </w:r>
          </w:p>
        </w:tc>
        <w:tc>
          <w:tcPr>
            <w:tcW w:w="10200" w:type="dxa"/>
            <w:vAlign w:val="bottom"/>
          </w:tcPr>
          <w:p>
            <w:pPr>
              <w:ind w:left="2080"/>
              <w:spacing w:after="0"/>
              <w:rPr>
                <w:sz w:val="20"/>
                <w:szCs w:val="20"/>
                <w:color w:val="auto"/>
              </w:rPr>
            </w:pPr>
            <w:r>
              <w:rPr>
                <w:rFonts w:ascii="Arial" w:cs="Arial" w:eastAsia="Arial" w:hAnsi="Arial"/>
                <w:sz w:val="14"/>
                <w:szCs w:val="14"/>
                <w:color w:val="auto"/>
                <w:w w:val="96"/>
              </w:rPr>
              <w:t>Contingent Obligations arising under indemnity agreements with title insurers to cause such title insurers to issue title insurance policies;</w:t>
            </w: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(f)</w:t>
            </w:r>
          </w:p>
        </w:tc>
        <w:tc>
          <w:tcPr>
            <w:tcW w:w="10200" w:type="dxa"/>
            <w:vAlign w:val="bottom"/>
          </w:tcPr>
          <w:p>
            <w:pPr>
              <w:jc w:val="right"/>
              <w:spacing w:after="0"/>
              <w:rPr>
                <w:sz w:val="20"/>
                <w:szCs w:val="20"/>
                <w:color w:val="auto"/>
              </w:rPr>
            </w:pPr>
            <w:r>
              <w:rPr>
                <w:rFonts w:ascii="Arial" w:cs="Arial" w:eastAsia="Arial" w:hAnsi="Arial"/>
                <w:sz w:val="14"/>
                <w:szCs w:val="14"/>
                <w:color w:val="auto"/>
              </w:rPr>
              <w:t>Contingent Obligations arising with respect to customary indemnification obligations in favor of purchasers in connection with dispositions of</w:t>
            </w: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personal property assets permitted under Section 5.6;</w:t>
            </w: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(g)</w:t>
            </w:r>
          </w:p>
        </w:tc>
        <w:tc>
          <w:tcPr>
            <w:tcW w:w="10200" w:type="dxa"/>
            <w:vAlign w:val="bottom"/>
          </w:tcPr>
          <w:p>
            <w:pPr>
              <w:jc w:val="right"/>
              <w:spacing w:after="0"/>
              <w:rPr>
                <w:sz w:val="20"/>
                <w:szCs w:val="20"/>
                <w:color w:val="auto"/>
              </w:rPr>
            </w:pPr>
            <w:r>
              <w:rPr>
                <w:rFonts w:ascii="Arial" w:cs="Arial" w:eastAsia="Arial" w:hAnsi="Arial"/>
                <w:sz w:val="14"/>
                <w:szCs w:val="14"/>
                <w:color w:val="auto"/>
              </w:rPr>
              <w:t>so long as there exists no Event of Default both immediately before and immediately after giving effect to any such transaction, Contingent</w:t>
            </w: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9"/>
              </w:rPr>
              <w:t>Obligations existing or arising under any Swap Contract, provided, however, that such obligations are (or were) entered into by Borrower or an Affiliate in the Ordinary</w:t>
            </w: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7"/>
              </w:rPr>
              <w:t>Course of Business for the purpose of directly mitigating risks associated with liabilities, commitments, investments, assets, or property held or reasonably anticipated by</w:t>
            </w: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such Person and not for purposes of speculation;</w:t>
            </w: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(h)</w:t>
            </w:r>
          </w:p>
        </w:tc>
        <w:tc>
          <w:tcPr>
            <w:tcW w:w="10200" w:type="dxa"/>
            <w:vAlign w:val="bottom"/>
          </w:tcPr>
          <w:p>
            <w:pPr>
              <w:jc w:val="right"/>
              <w:spacing w:after="0"/>
              <w:rPr>
                <w:sz w:val="20"/>
                <w:szCs w:val="20"/>
                <w:color w:val="auto"/>
              </w:rPr>
            </w:pPr>
            <w:r>
              <w:rPr>
                <w:rFonts w:ascii="Arial" w:cs="Arial" w:eastAsia="Arial" w:hAnsi="Arial"/>
                <w:sz w:val="14"/>
                <w:szCs w:val="14"/>
                <w:color w:val="auto"/>
              </w:rPr>
              <w:t>Contingent Obligations of Borrower, incurred during the Wells Fargo LC Period under or pursuant to the Wells Fargo Standby Letter of Credit</w:t>
            </w:r>
          </w:p>
        </w:tc>
      </w:tr>
      <w:tr>
        <w:trPr>
          <w:trHeight w:val="179"/>
        </w:trPr>
        <w:tc>
          <w:tcPr>
            <w:tcW w:w="800" w:type="dxa"/>
            <w:vAlign w:val="bottom"/>
          </w:tcPr>
          <w:p>
            <w:pPr>
              <w:spacing w:after="0"/>
              <w:rPr>
                <w:sz w:val="15"/>
                <w:szCs w:val="15"/>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 xml:space="preserve">Agreement in respect of the Wells Fargo Letters of Credit, </w:t>
            </w:r>
            <w:r>
              <w:rPr>
                <w:rFonts w:ascii="Arial" w:cs="Arial" w:eastAsia="Arial" w:hAnsi="Arial"/>
                <w:sz w:val="14"/>
                <w:szCs w:val="14"/>
                <w:i w:val="1"/>
                <w:iCs w:val="1"/>
                <w:color w:val="auto"/>
                <w:w w:val="95"/>
              </w:rPr>
              <w:t>provided</w:t>
            </w:r>
            <w:r>
              <w:rPr>
                <w:rFonts w:ascii="Arial" w:cs="Arial" w:eastAsia="Arial" w:hAnsi="Arial"/>
                <w:sz w:val="14"/>
                <w:szCs w:val="14"/>
                <w:color w:val="auto"/>
                <w:w w:val="95"/>
              </w:rPr>
              <w:t xml:space="preserve"> that the aggregate amount of such Contingent Obligations shall not, at any time, when combined with the</w:t>
            </w:r>
          </w:p>
        </w:tc>
      </w:tr>
    </w:tbl>
    <w:p>
      <w:pPr>
        <w:spacing w:after="0" w:line="1" w:lineRule="exact"/>
        <w:rPr>
          <w:sz w:val="20"/>
          <w:szCs w:val="20"/>
          <w:color w:val="auto"/>
        </w:rPr>
      </w:pPr>
    </w:p>
    <w:p>
      <w:pPr>
        <w:sectPr>
          <w:pgSz w:w="11900" w:h="16838" w:orient="portrait"/>
          <w:cols w:equalWidth="0" w:num="1">
            <w:col w:w="11220"/>
          </w:cols>
          <w:pgMar w:left="240" w:top="128" w:right="439" w:bottom="1440" w:gutter="0" w:footer="0" w:header="0"/>
        </w:sectPr>
      </w:pPr>
    </w:p>
    <w:p>
      <w:pPr>
        <w:ind w:left="1660"/>
        <w:spacing w:after="0"/>
        <w:rPr>
          <w:sz w:val="20"/>
          <w:szCs w:val="20"/>
          <w:color w:val="auto"/>
        </w:rPr>
      </w:pPr>
      <w:r>
        <w:rPr>
          <w:rFonts w:ascii="Arial" w:cs="Arial" w:eastAsia="Arial" w:hAnsi="Arial"/>
          <w:sz w:val="12"/>
          <w:szCs w:val="12"/>
          <w:color w:val="auto"/>
        </w:rPr>
        <w:t>Debt set forth in clause (i) of the definition of “Permitted Debt”, exceed</w:t>
      </w:r>
    </w:p>
    <w:p>
      <w:pPr>
        <w:sectPr>
          <w:pgSz w:w="11900" w:h="16838" w:orient="portrait"/>
          <w:cols w:equalWidth="0" w:num="1">
            <w:col w:w="11220"/>
          </w:cols>
          <w:pgMar w:left="240" w:top="128" w:right="439" w:bottom="1440" w:gutter="0" w:footer="0" w:header="0"/>
          <w:type w:val="continuous"/>
        </w:sectPr>
      </w:pPr>
    </w:p>
    <w:p>
      <w:pPr>
        <w:spacing w:after="0" w:line="2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$3,500,000; and</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other Contingent Obligations not permitted by clauses (a) through (g) above, not to exceed $250,000 in the aggregate at any time outstanding.</w:t>
      </w:r>
    </w:p>
    <w:p>
      <w:pPr>
        <w:spacing w:after="0" w:line="173" w:lineRule="exact"/>
        <w:rPr>
          <w:sz w:val="20"/>
          <w:szCs w:val="20"/>
          <w:color w:val="auto"/>
        </w:rPr>
      </w:pPr>
    </w:p>
    <w:p>
      <w:pPr>
        <w:sectPr>
          <w:pgSz w:w="11900" w:h="16838" w:orient="portrait"/>
          <w:cols w:equalWidth="0" w:num="2">
            <w:col w:w="2380" w:space="720"/>
            <w:col w:w="8120"/>
          </w:cols>
          <w:pgMar w:left="240" w:top="128" w:right="43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Debt</w:t>
      </w:r>
      <w:r>
        <w:rPr>
          <w:rFonts w:ascii="Arial" w:cs="Arial" w:eastAsia="Arial" w:hAnsi="Arial"/>
          <w:sz w:val="13"/>
          <w:szCs w:val="13"/>
          <w:color w:val="auto"/>
        </w:rPr>
        <w:t>” means:</w:t>
      </w:r>
    </w:p>
    <w:p>
      <w:pPr>
        <w:sectPr>
          <w:pgSz w:w="11900" w:h="16838" w:orient="portrait"/>
          <w:cols w:equalWidth="0" w:num="1">
            <w:col w:w="11220"/>
          </w:cols>
          <w:pgMar w:left="240" w:top="128" w:right="439" w:bottom="1440" w:gutter="0" w:footer="0" w:header="0"/>
          <w:type w:val="continuous"/>
        </w:sectPr>
      </w:pPr>
    </w:p>
    <w:p>
      <w:pPr>
        <w:spacing w:after="0" w:line="17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Borrowers’ and their Subsidiaries’ Debt to Agent and each Lender under this Agreement and the other Financing Documents;</w:t>
      </w:r>
    </w:p>
    <w:p>
      <w:pPr>
        <w:spacing w:after="0" w:line="177" w:lineRule="exact"/>
        <w:rPr>
          <w:sz w:val="20"/>
          <w:szCs w:val="20"/>
          <w:color w:val="auto"/>
        </w:rPr>
      </w:pPr>
    </w:p>
    <w:p>
      <w:pPr>
        <w:sectPr>
          <w:pgSz w:w="11900" w:h="16838" w:orient="portrait"/>
          <w:cols w:equalWidth="0" w:num="2">
            <w:col w:w="2380" w:space="720"/>
            <w:col w:w="8120"/>
          </w:cols>
          <w:pgMar w:left="240" w:top="128"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Debt incurred as a result of endorsing negotiable instruments received in the Ordinary Course of Business;</w:t>
      </w:r>
    </w:p>
    <w:p>
      <w:pPr>
        <w:spacing w:after="0" w:line="177" w:lineRule="exact"/>
        <w:rPr>
          <w:sz w:val="20"/>
          <w:szCs w:val="20"/>
          <w:color w:val="auto"/>
        </w:rPr>
      </w:pPr>
    </w:p>
    <w:p>
      <w:pPr>
        <w:sectPr>
          <w:pgSz w:w="11900" w:h="16838" w:orient="portrait"/>
          <w:cols w:equalWidth="0" w:num="2">
            <w:col w:w="2380" w:space="720"/>
            <w:col w:w="8120"/>
          </w:cols>
          <w:pgMar w:left="240" w:top="128"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ind w:right="20" w:firstLine="1429"/>
        <w:spacing w:after="0" w:line="268" w:lineRule="auto"/>
        <w:rPr>
          <w:sz w:val="20"/>
          <w:szCs w:val="20"/>
          <w:color w:val="auto"/>
        </w:rPr>
      </w:pPr>
      <w:r>
        <w:rPr>
          <w:rFonts w:ascii="Arial" w:cs="Arial" w:eastAsia="Arial" w:hAnsi="Arial"/>
          <w:sz w:val="14"/>
          <w:szCs w:val="14"/>
          <w:color w:val="auto"/>
        </w:rPr>
        <w:t>purchase money Debt and capital leases not to exceed $1,000,000 at any time (whether in the form of a loan or a lease) used solely to acquire equipment used in the Ordinary Course of Business and secured only by such equipment;</w:t>
      </w:r>
    </w:p>
    <w:p>
      <w:pPr>
        <w:spacing w:after="0" w:line="118" w:lineRule="exact"/>
        <w:rPr>
          <w:sz w:val="20"/>
          <w:szCs w:val="20"/>
          <w:color w:val="auto"/>
        </w:rPr>
      </w:pPr>
    </w:p>
    <w:p>
      <w:pPr>
        <w:sectPr>
          <w:pgSz w:w="11900" w:h="16838" w:orient="portrait"/>
          <w:cols w:equalWidth="0" w:num="2">
            <w:col w:w="940" w:space="720"/>
            <w:col w:w="9560"/>
          </w:cols>
          <w:pgMar w:left="240" w:top="128"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Debt existing on the Closing Date and described on Schedule 5.1 (including any Permitted Refinancings thereof);</w:t>
      </w:r>
    </w:p>
    <w:p>
      <w:pPr>
        <w:spacing w:after="0" w:line="177" w:lineRule="exact"/>
        <w:rPr>
          <w:sz w:val="20"/>
          <w:szCs w:val="20"/>
          <w:color w:val="auto"/>
        </w:rPr>
      </w:pPr>
    </w:p>
    <w:p>
      <w:pPr>
        <w:sectPr>
          <w:pgSz w:w="11900" w:h="16838" w:orient="portrait"/>
          <w:cols w:equalWidth="0" w:num="2">
            <w:col w:w="2380" w:space="720"/>
            <w:col w:w="8120"/>
          </w:cols>
          <w:pgMar w:left="240" w:top="128"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firstLine="1429"/>
        <w:spacing w:after="0" w:line="291" w:lineRule="auto"/>
        <w:rPr>
          <w:sz w:val="20"/>
          <w:szCs w:val="20"/>
          <w:color w:val="auto"/>
        </w:rPr>
      </w:pPr>
      <w:r>
        <w:rPr>
          <w:rFonts w:ascii="Arial" w:cs="Arial" w:eastAsia="Arial" w:hAnsi="Arial"/>
          <w:sz w:val="12"/>
          <w:szCs w:val="12"/>
          <w:color w:val="auto"/>
        </w:rPr>
        <w:t xml:space="preserve">so long as there exists no Event of Default both immediately before and immediately after giving effect to any such transaction, Debt existing or arising under any Swap Contract, </w:t>
      </w:r>
      <w:r>
        <w:rPr>
          <w:rFonts w:ascii="Arial" w:cs="Arial" w:eastAsia="Arial" w:hAnsi="Arial"/>
          <w:sz w:val="12"/>
          <w:szCs w:val="12"/>
          <w:i w:val="1"/>
          <w:iCs w:val="1"/>
          <w:color w:val="auto"/>
        </w:rPr>
        <w:t>provided, however</w:t>
      </w:r>
      <w:r>
        <w:rPr>
          <w:rFonts w:ascii="Arial" w:cs="Arial" w:eastAsia="Arial" w:hAnsi="Arial"/>
          <w:sz w:val="12"/>
          <w:szCs w:val="12"/>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w:t>
      </w:r>
    </w:p>
    <w:p>
      <w:pPr>
        <w:spacing w:after="0" w:line="1" w:lineRule="exact"/>
        <w:rPr>
          <w:sz w:val="20"/>
          <w:szCs w:val="20"/>
          <w:color w:val="auto"/>
        </w:rPr>
      </w:pPr>
    </w:p>
    <w:p>
      <w:pPr>
        <w:sectPr>
          <w:pgSz w:w="11900" w:h="16838" w:orient="portrait"/>
          <w:cols w:equalWidth="0" w:num="2">
            <w:col w:w="940" w:space="720"/>
            <w:col w:w="9560"/>
          </w:cols>
          <w:pgMar w:left="240" w:top="128" w:right="439" w:bottom="1440" w:gutter="0" w:footer="0" w:header="0"/>
          <w:type w:val="continuous"/>
        </w:sectPr>
      </w:pPr>
    </w:p>
    <w:p>
      <w:pPr>
        <w:ind w:left="1660"/>
        <w:spacing w:after="0" w:line="237" w:lineRule="auto"/>
        <w:rPr>
          <w:sz w:val="20"/>
          <w:szCs w:val="20"/>
          <w:color w:val="auto"/>
        </w:rPr>
      </w:pPr>
      <w:r>
        <w:rPr>
          <w:rFonts w:ascii="Arial" w:cs="Arial" w:eastAsia="Arial" w:hAnsi="Arial"/>
          <w:sz w:val="14"/>
          <w:szCs w:val="14"/>
          <w:color w:val="auto"/>
        </w:rPr>
        <w:t>purposes of speculation;</w:t>
      </w: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type w:val="continuous"/>
        </w:sectPr>
      </w:pPr>
    </w:p>
    <w:bookmarkStart w:id="77" w:name="page78"/>
    <w:bookmarkEnd w:id="77"/>
    <w:p>
      <w:pPr>
        <w:ind w:left="220"/>
        <w:spacing w:after="0"/>
        <w:tabs>
          <w:tab w:leader="none" w:pos="3080" w:val="left"/>
        </w:tabs>
        <w:rPr>
          <w:sz w:val="20"/>
          <w:szCs w:val="20"/>
          <w:color w:val="auto"/>
        </w:rPr>
      </w:pPr>
      <w:r>
        <w:rPr>
          <w:rFonts w:ascii="Arial" w:cs="Arial" w:eastAsia="Arial" w:hAnsi="Arial"/>
          <w:sz w:val="12"/>
          <w:szCs w:val="12"/>
          <w:color w:val="auto"/>
        </w:rPr>
        <w:t>(f)</w:t>
      </w:r>
      <w:r>
        <w:rPr>
          <w:sz w:val="20"/>
          <w:szCs w:val="20"/>
          <w:color w:val="auto"/>
        </w:rPr>
        <w:tab/>
      </w:r>
      <w:r>
        <w:rPr>
          <w:rFonts w:ascii="Arial" w:cs="Arial" w:eastAsia="Arial" w:hAnsi="Arial"/>
          <w:sz w:val="12"/>
          <w:szCs w:val="12"/>
          <w:color w:val="auto"/>
        </w:rPr>
        <w:t>Debt in the form of insurance premiums financed through the applicable insurance company;</w:t>
      </w:r>
    </w:p>
    <w:p>
      <w:pPr>
        <w:spacing w:after="0" w:line="176" w:lineRule="exact"/>
        <w:rPr>
          <w:sz w:val="20"/>
          <w:szCs w:val="20"/>
          <w:color w:val="auto"/>
        </w:rPr>
      </w:pPr>
    </w:p>
    <w:p>
      <w:pPr>
        <w:ind w:left="2820" w:hanging="858"/>
        <w:spacing w:after="0"/>
        <w:tabs>
          <w:tab w:leader="none" w:pos="28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trade accounts payable arising and which do not remain unpaid more than ninety</w:t>
      </w:r>
    </w:p>
    <w:p>
      <w:pPr>
        <w:spacing w:after="0" w:line="13" w:lineRule="exact"/>
        <w:rPr>
          <w:rFonts w:ascii="Arial" w:cs="Arial" w:eastAsia="Arial" w:hAnsi="Arial"/>
          <w:sz w:val="14"/>
          <w:szCs w:val="14"/>
          <w:color w:val="auto"/>
        </w:rPr>
      </w:pPr>
    </w:p>
    <w:p>
      <w:pPr>
        <w:ind w:left="520" w:hanging="268"/>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days past the invoice date and in the Ordinary Course of Business, or which are the subject of a Permitted Contest;</w:t>
      </w:r>
    </w:p>
    <w:p>
      <w:pPr>
        <w:sectPr>
          <w:pgSz w:w="11900" w:h="16838" w:orient="portrait"/>
          <w:cols w:equalWidth="0" w:num="1">
            <w:col w:w="11320"/>
          </w:cols>
          <w:pgMar w:left="240" w:top="128" w:right="339" w:bottom="1440" w:gutter="0" w:footer="0" w:header="0"/>
        </w:sectPr>
      </w:pPr>
    </w:p>
    <w:p>
      <w:pPr>
        <w:spacing w:after="0" w:line="14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120" w:firstLine="1429"/>
        <w:spacing w:after="0" w:line="255" w:lineRule="auto"/>
        <w:rPr>
          <w:sz w:val="20"/>
          <w:szCs w:val="20"/>
          <w:color w:val="auto"/>
        </w:rPr>
      </w:pPr>
      <w:r>
        <w:rPr>
          <w:rFonts w:ascii="Arial" w:cs="Arial" w:eastAsia="Arial" w:hAnsi="Arial"/>
          <w:sz w:val="14"/>
          <w:szCs w:val="14"/>
          <w:color w:val="auto"/>
        </w:rPr>
        <w:t>without limiting the provisions of Section 5.7 with respect to any Investment by a Credit Party, Debt consisting of unsecured intercompany loans and advances (i) incurred by any Borrower owing to one or more other Borrowers, or (ii) incurred by any Excluded Foreign Subsidiary owing to any Borrower in an amount for all Excluded Foreign Subsidiaries not to exceed $600,000 incurred in any fiscal year;</w:t>
      </w:r>
    </w:p>
    <w:p>
      <w:pPr>
        <w:spacing w:after="0" w:line="126" w:lineRule="exact"/>
        <w:rPr>
          <w:sz w:val="20"/>
          <w:szCs w:val="20"/>
          <w:color w:val="auto"/>
        </w:rPr>
      </w:pPr>
    </w:p>
    <w:p>
      <w:pPr>
        <w:sectPr>
          <w:pgSz w:w="11900" w:h="16838" w:orient="portrait"/>
          <w:cols w:equalWidth="0" w:num="2">
            <w:col w:w="940" w:space="720"/>
            <w:col w:w="9660"/>
          </w:cols>
          <w:pgMar w:left="240" w:top="128" w:right="3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Debt of Borrower, incurred during the Wells Fargo LC Period under or pursuant to the Wells Fargo Standby Letter of Credit Agreement in respect</w:t>
      </w:r>
    </w:p>
    <w:p>
      <w:pPr>
        <w:spacing w:after="0" w:line="41" w:lineRule="exact"/>
        <w:rPr>
          <w:sz w:val="20"/>
          <w:szCs w:val="20"/>
          <w:color w:val="auto"/>
        </w:rPr>
      </w:pPr>
    </w:p>
    <w:p>
      <w:pPr>
        <w:sectPr>
          <w:pgSz w:w="11900" w:h="16838" w:orient="portrait"/>
          <w:cols w:equalWidth="0" w:num="2">
            <w:col w:w="2380" w:space="720"/>
            <w:col w:w="8220"/>
          </w:cols>
          <w:pgMar w:left="240" w:top="128" w:right="339" w:bottom="1440" w:gutter="0" w:footer="0" w:header="0"/>
          <w:type w:val="continuous"/>
        </w:sectPr>
      </w:pPr>
    </w:p>
    <w:p>
      <w:pPr>
        <w:ind w:left="1660" w:right="120"/>
        <w:spacing w:after="0" w:line="243" w:lineRule="auto"/>
        <w:rPr>
          <w:sz w:val="20"/>
          <w:szCs w:val="20"/>
          <w:color w:val="auto"/>
        </w:rPr>
      </w:pPr>
      <w:r>
        <w:rPr>
          <w:rFonts w:ascii="Arial" w:cs="Arial" w:eastAsia="Arial" w:hAnsi="Arial"/>
          <w:sz w:val="14"/>
          <w:szCs w:val="14"/>
          <w:color w:val="auto"/>
        </w:rPr>
        <w:t xml:space="preserve">of the Wells Fargo Letters of Credit,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amount of such Debt shall not, at any time, when combined with the Contingent Obligations set forth in clause (h) of the definition of “Permitted Contingent Obligations”, exceed $3,500,000;</w:t>
      </w:r>
    </w:p>
    <w:p>
      <w:pPr>
        <w:sectPr>
          <w:pgSz w:w="11900" w:h="16838" w:orient="portrait"/>
          <w:cols w:equalWidth="0" w:num="1">
            <w:col w:w="11320"/>
          </w:cols>
          <w:pgMar w:left="240" w:top="128" w:right="339" w:bottom="1440" w:gutter="0" w:footer="0" w:header="0"/>
          <w:type w:val="continuous"/>
        </w:sectPr>
      </w:pPr>
    </w:p>
    <w:p>
      <w:pPr>
        <w:spacing w:after="0" w:line="135"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(j)</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any Subordinated Debt;</w:t>
      </w:r>
    </w:p>
    <w:p>
      <w:pPr>
        <w:spacing w:after="0" w:line="177" w:lineRule="exact"/>
        <w:rPr>
          <w:sz w:val="20"/>
          <w:szCs w:val="20"/>
          <w:color w:val="auto"/>
        </w:rPr>
      </w:pPr>
    </w:p>
    <w:p>
      <w:pPr>
        <w:sectPr>
          <w:pgSz w:w="11900" w:h="16838" w:orient="portrait"/>
          <w:cols w:equalWidth="0" w:num="2">
            <w:col w:w="2100" w:space="720"/>
            <w:col w:w="8500"/>
          </w:cols>
          <w:pgMar w:left="240" w:top="128" w:right="339" w:bottom="1440" w:gutter="0" w:footer="0" w:header="0"/>
          <w:type w:val="continuous"/>
        </w:sectPr>
      </w:pPr>
    </w:p>
    <w:p>
      <w:pPr>
        <w:ind w:left="196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Debt consisting of Permitted Contingent Obligations;</w:t>
      </w:r>
    </w:p>
    <w:p>
      <w:pPr>
        <w:spacing w:after="0" w:line="177" w:lineRule="exact"/>
        <w:rPr>
          <w:sz w:val="20"/>
          <w:szCs w:val="20"/>
          <w:color w:val="auto"/>
        </w:rPr>
      </w:pPr>
    </w:p>
    <w:p>
      <w:pPr>
        <w:sectPr>
          <w:pgSz w:w="11900" w:h="16838" w:orient="portrait"/>
          <w:cols w:equalWidth="0" w:num="2">
            <w:col w:w="2120" w:space="700"/>
            <w:col w:w="8500"/>
          </w:cols>
          <w:pgMar w:left="240" w:top="128" w:right="3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intercompany Debt arising from loans made (i) by a Borrower or Secured Guarantor to another Borrower or Secured Guarantor, (ii) by a non-Credit</w:t>
      </w:r>
    </w:p>
    <w:p>
      <w:pPr>
        <w:spacing w:after="0" w:line="41" w:lineRule="exact"/>
        <w:rPr>
          <w:sz w:val="20"/>
          <w:szCs w:val="20"/>
          <w:color w:val="auto"/>
        </w:rPr>
      </w:pPr>
    </w:p>
    <w:p>
      <w:pPr>
        <w:sectPr>
          <w:pgSz w:w="11900" w:h="16838" w:orient="portrait"/>
          <w:cols w:equalWidth="0" w:num="2">
            <w:col w:w="2380" w:space="720"/>
            <w:col w:w="8220"/>
          </w:cols>
          <w:pgMar w:left="240" w:top="128" w:right="339" w:bottom="1440" w:gutter="0" w:footer="0" w:header="0"/>
          <w:type w:val="continuous"/>
        </w:sectPr>
      </w:pPr>
    </w:p>
    <w:p>
      <w:pPr>
        <w:ind w:left="1660" w:right="100"/>
        <w:spacing w:after="0" w:line="243" w:lineRule="auto"/>
        <w:rPr>
          <w:sz w:val="20"/>
          <w:szCs w:val="20"/>
          <w:color w:val="auto"/>
        </w:rPr>
      </w:pPr>
      <w:r>
        <w:rPr>
          <w:rFonts w:ascii="Arial" w:cs="Arial" w:eastAsia="Arial" w:hAnsi="Arial"/>
          <w:sz w:val="14"/>
          <w:szCs w:val="14"/>
          <w:color w:val="auto"/>
        </w:rPr>
        <w:t>Party Subsidiary of a Borrower to another non-Credit Party Subsidiary of a Borrower, or (iii) any non-Credit Party Subsidiary to a Credit Party (so long as such Debt is subordinated to the Obligations owed by the Credit Parties under the Financing Documents);</w:t>
      </w:r>
    </w:p>
    <w:p>
      <w:pPr>
        <w:sectPr>
          <w:pgSz w:w="11900" w:h="16838" w:orient="portrait"/>
          <w:cols w:equalWidth="0" w:num="1">
            <w:col w:w="11320"/>
          </w:cols>
          <w:pgMar w:left="240" w:top="128" w:right="339" w:bottom="1440" w:gutter="0" w:footer="0" w:header="0"/>
          <w:type w:val="continuous"/>
        </w:sectPr>
      </w:pPr>
    </w:p>
    <w:p>
      <w:pPr>
        <w:spacing w:after="0" w:line="135"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Separation Obligations;</w:t>
      </w:r>
    </w:p>
    <w:p>
      <w:pPr>
        <w:spacing w:after="0" w:line="167" w:lineRule="exact"/>
        <w:rPr>
          <w:sz w:val="20"/>
          <w:szCs w:val="20"/>
          <w:color w:val="auto"/>
        </w:rPr>
      </w:pPr>
    </w:p>
    <w:p>
      <w:pPr>
        <w:sectPr>
          <w:pgSz w:w="11900" w:h="16838" w:orient="portrait"/>
          <w:cols w:equalWidth="0" w:num="2">
            <w:col w:w="2160" w:space="660"/>
            <w:col w:w="8500"/>
          </w:cols>
          <w:pgMar w:left="240" w:top="128" w:right="339" w:bottom="1440" w:gutter="0" w:footer="0" w:header="0"/>
          <w:type w:val="continuous"/>
        </w:sectPr>
      </w:pPr>
    </w:p>
    <w:p>
      <w:pPr>
        <w:ind w:left="1960"/>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Debt arising from the honoring of an Instrument drawn against insufficient</w:t>
      </w:r>
    </w:p>
    <w:p>
      <w:pPr>
        <w:spacing w:after="0" w:line="40" w:lineRule="exact"/>
        <w:rPr>
          <w:sz w:val="20"/>
          <w:szCs w:val="20"/>
          <w:color w:val="auto"/>
        </w:rPr>
      </w:pPr>
    </w:p>
    <w:p>
      <w:pPr>
        <w:sectPr>
          <w:pgSz w:w="11900" w:h="16838" w:orient="portrait"/>
          <w:cols w:equalWidth="0" w:num="2">
            <w:col w:w="2120" w:space="700"/>
            <w:col w:w="8500"/>
          </w:cols>
          <w:pgMar w:left="240" w:top="128" w:right="339" w:bottom="1440" w:gutter="0" w:footer="0" w:header="0"/>
          <w:type w:val="continuous"/>
        </w:sectPr>
      </w:pPr>
    </w:p>
    <w:p>
      <w:pPr>
        <w:ind w:left="260"/>
        <w:spacing w:after="0"/>
        <w:rPr>
          <w:sz w:val="20"/>
          <w:szCs w:val="20"/>
          <w:color w:val="auto"/>
        </w:rPr>
      </w:pPr>
      <w:r>
        <w:rPr>
          <w:rFonts w:ascii="Arial" w:cs="Arial" w:eastAsia="Arial" w:hAnsi="Arial"/>
          <w:sz w:val="14"/>
          <w:szCs w:val="14"/>
          <w:color w:val="auto"/>
        </w:rPr>
        <w:t>funds;</w:t>
      </w:r>
    </w:p>
    <w:p>
      <w:pPr>
        <w:spacing w:after="0" w:line="128" w:lineRule="exact"/>
        <w:rPr>
          <w:sz w:val="20"/>
          <w:szCs w:val="20"/>
          <w:color w:val="auto"/>
        </w:rPr>
      </w:pPr>
    </w:p>
    <w:p>
      <w:pPr>
        <w:ind w:left="220"/>
        <w:spacing w:after="0"/>
        <w:tabs>
          <w:tab w:leader="none" w:pos="3080"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Debt related to commercial credit cards that, in the aggregate outstanding at any one time, does not exceed $400,000, which Debt may be secured</w:t>
      </w:r>
    </w:p>
    <w:p>
      <w:pPr>
        <w:sectPr>
          <w:pgSz w:w="11900" w:h="16838" w:orient="portrait"/>
          <w:cols w:equalWidth="0" w:num="1">
            <w:col w:w="11320"/>
          </w:cols>
          <w:pgMar w:left="240" w:top="128" w:right="339" w:bottom="1440" w:gutter="0" w:footer="0" w:header="0"/>
          <w:type w:val="continuous"/>
        </w:sectPr>
      </w:pPr>
    </w:p>
    <w:p>
      <w:pPr>
        <w:spacing w:after="0" w:line="41"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by Liens permitted pursuant to clause</w:t>
      </w:r>
    </w:p>
    <w:p>
      <w:pPr>
        <w:spacing w:after="0" w:line="20" w:lineRule="exact"/>
        <w:rPr>
          <w:sz w:val="20"/>
          <w:szCs w:val="20"/>
          <w:color w:val="auto"/>
        </w:rPr>
      </w:pPr>
    </w:p>
    <w:p>
      <w:pPr>
        <w:ind w:left="540" w:hanging="29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of the definition of Permitted Liens;</w:t>
      </w:r>
    </w:p>
    <w:p>
      <w:pPr>
        <w:sectPr>
          <w:pgSz w:w="11900" w:h="16838" w:orient="portrait"/>
          <w:cols w:equalWidth="0" w:num="1">
            <w:col w:w="11320"/>
          </w:cols>
          <w:pgMar w:left="240" w:top="128" w:right="339" w:bottom="1440" w:gutter="0" w:footer="0" w:header="0"/>
          <w:type w:val="continuous"/>
        </w:sectPr>
      </w:pPr>
    </w:p>
    <w:p>
      <w:pPr>
        <w:spacing w:after="0" w:line="14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Debt in respect of taxes, assessments, or government charges to the extent not resulting in an Event of Default and which is the subject of a</w:t>
      </w:r>
    </w:p>
    <w:p>
      <w:pPr>
        <w:spacing w:after="0" w:line="40" w:lineRule="exact"/>
        <w:rPr>
          <w:sz w:val="20"/>
          <w:szCs w:val="20"/>
          <w:color w:val="auto"/>
        </w:rPr>
      </w:pPr>
    </w:p>
    <w:p>
      <w:pPr>
        <w:sectPr>
          <w:pgSz w:w="11900" w:h="16838" w:orient="portrait"/>
          <w:cols w:equalWidth="0" w:num="2">
            <w:col w:w="2360" w:space="720"/>
            <w:col w:w="8240"/>
          </w:cols>
          <w:pgMar w:left="240" w:top="128" w:right="33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Permitted Contest; and</w:t>
      </w:r>
    </w:p>
    <w:p>
      <w:pPr>
        <w:sectPr>
          <w:pgSz w:w="11900" w:h="16838" w:orient="portrait"/>
          <w:cols w:equalWidth="0" w:num="1">
            <w:col w:w="11320"/>
          </w:cols>
          <w:pgMar w:left="240" w:top="128" w:right="339" w:bottom="1440" w:gutter="0" w:footer="0" w:header="0"/>
          <w:type w:val="continuous"/>
        </w:sectPr>
      </w:pPr>
    </w:p>
    <w:p>
      <w:pPr>
        <w:spacing w:after="0" w:line="16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(q)</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unsecured debt not included in clauses (a) through (p) above that in the aggregate outstanding at any time does not exceed $500,000.</w:t>
      </w:r>
    </w:p>
    <w:p>
      <w:pPr>
        <w:spacing w:after="0" w:line="173" w:lineRule="exact"/>
        <w:rPr>
          <w:sz w:val="20"/>
          <w:szCs w:val="20"/>
          <w:color w:val="auto"/>
        </w:rPr>
      </w:pPr>
    </w:p>
    <w:p>
      <w:pPr>
        <w:sectPr>
          <w:pgSz w:w="11900" w:h="16838" w:orient="portrait"/>
          <w:cols w:equalWidth="0" w:num="2">
            <w:col w:w="2380" w:space="720"/>
            <w:col w:w="8220"/>
          </w:cols>
          <w:pgMar w:left="240" w:top="128" w:right="339" w:bottom="1440" w:gutter="0" w:footer="0" w:header="0"/>
          <w:type w:val="continuous"/>
        </w:sectPr>
      </w:pPr>
    </w:p>
    <w:p>
      <w:pPr>
        <w:ind w:left="10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Distributions</w:t>
      </w:r>
      <w:r>
        <w:rPr>
          <w:rFonts w:ascii="Arial" w:cs="Arial" w:eastAsia="Arial" w:hAnsi="Arial"/>
          <w:sz w:val="12"/>
          <w:szCs w:val="12"/>
          <w:color w:val="auto"/>
        </w:rPr>
        <w:t>” means the following Distributions: (a) dividends by any Subsidiary of any Borrower or Secured Guarantor to such parent Borrower or Secured Guarantor;</w:t>
      </w:r>
    </w:p>
    <w:p>
      <w:pPr>
        <w:spacing w:after="0" w:line="40" w:lineRule="exact"/>
        <w:rPr>
          <w:sz w:val="20"/>
          <w:szCs w:val="20"/>
          <w:color w:val="auto"/>
        </w:rPr>
      </w:pPr>
    </w:p>
    <w:p>
      <w:pPr>
        <w:ind w:left="140" w:firstLine="2"/>
        <w:spacing w:after="0" w:line="332" w:lineRule="auto"/>
        <w:tabs>
          <w:tab w:leader="none" w:pos="344"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dividends payable solely in common stock; and (c) repurchases of stock of former employees, directors or consultants pursuant to stock purchase agreements so long as an Event of Default does not exist at the time of such repurchase and would not exist after giving effect to such repurchase,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such repurchase does not exceed $250,000 in the aggregate per fiscal year.</w:t>
      </w:r>
    </w:p>
    <w:p>
      <w:pPr>
        <w:spacing w:after="0" w:line="24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16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28" w:right="339" w:bottom="1440" w:gutter="0" w:footer="0" w:header="0"/>
          <w:type w:val="continuous"/>
        </w:sectPr>
      </w:pPr>
    </w:p>
    <w:bookmarkStart w:id="78" w:name="page79"/>
    <w:bookmarkEnd w:id="78"/>
    <w:p>
      <w:pPr>
        <w:ind w:left="10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Investments</w:t>
      </w:r>
      <w:r>
        <w:rPr>
          <w:rFonts w:ascii="Arial" w:cs="Arial" w:eastAsia="Arial" w:hAnsi="Arial"/>
          <w:sz w:val="12"/>
          <w:szCs w:val="12"/>
          <w:color w:val="auto"/>
        </w:rPr>
        <w:t>” means:</w:t>
      </w:r>
    </w:p>
    <w:p>
      <w:pPr>
        <w:sectPr>
          <w:pgSz w:w="11900" w:h="16838" w:orient="portrait"/>
          <w:cols w:equalWidth="0" w:num="1">
            <w:col w:w="11220"/>
          </w:cols>
          <w:pgMar w:left="240" w:top="161" w:right="439" w:bottom="1440" w:gutter="0" w:footer="0" w:header="0"/>
        </w:sectPr>
      </w:pP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Investments shown on Schedule 5.7 and existing on the Closing Date;</w:t>
      </w:r>
    </w:p>
    <w:p>
      <w:pPr>
        <w:spacing w:after="0" w:line="177" w:lineRule="exact"/>
        <w:rPr>
          <w:sz w:val="20"/>
          <w:szCs w:val="20"/>
          <w:color w:val="auto"/>
        </w:rPr>
      </w:pPr>
    </w:p>
    <w:p>
      <w:pPr>
        <w:sectPr>
          <w:pgSz w:w="11900" w:h="16838" w:orient="portrait"/>
          <w:cols w:equalWidth="0" w:num="2">
            <w:col w:w="2120" w:space="700"/>
            <w:col w:w="8400"/>
          </w:cols>
          <w:pgMar w:left="240" w:top="161" w:right="439" w:bottom="1440" w:gutter="0" w:footer="0" w:header="0"/>
          <w:type w:val="continuous"/>
        </w:sectPr>
      </w:pPr>
    </w:p>
    <w:p>
      <w:pPr>
        <w:ind w:left="196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cash and cash equivalents;</w:t>
      </w:r>
    </w:p>
    <w:p>
      <w:pPr>
        <w:spacing w:after="0" w:line="200" w:lineRule="exact"/>
        <w:rPr>
          <w:sz w:val="20"/>
          <w:szCs w:val="20"/>
          <w:color w:val="auto"/>
        </w:rPr>
      </w:pPr>
    </w:p>
    <w:p>
      <w:pPr>
        <w:sectPr>
          <w:pgSz w:w="11900" w:h="16838" w:orient="portrait"/>
          <w:cols w:equalWidth="0" w:num="2">
            <w:col w:w="2120" w:space="700"/>
            <w:col w:w="8400"/>
          </w:cols>
          <w:pgMar w:left="240" w:top="161"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Investments consisting of the endorsement of negotiable instruments for deposit or collection or similar transactions in the Ordinary Course of</w:t>
      </w:r>
    </w:p>
    <w:p>
      <w:pPr>
        <w:spacing w:after="0" w:line="40" w:lineRule="exact"/>
        <w:rPr>
          <w:sz w:val="20"/>
          <w:szCs w:val="20"/>
          <w:color w:val="auto"/>
        </w:rPr>
      </w:pPr>
    </w:p>
    <w:p>
      <w:pPr>
        <w:sectPr>
          <w:pgSz w:w="11900" w:h="16838" w:orient="portrait"/>
          <w:cols w:equalWidth="0" w:num="2">
            <w:col w:w="2360" w:space="720"/>
            <w:col w:w="8140"/>
          </w:cols>
          <w:pgMar w:left="240" w:top="161" w:right="43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Business;</w:t>
      </w:r>
    </w:p>
    <w:p>
      <w:pPr>
        <w:sectPr>
          <w:pgSz w:w="11900" w:h="16838" w:orient="portrait"/>
          <w:cols w:equalWidth="0" w:num="1">
            <w:col w:w="11220"/>
          </w:cols>
          <w:pgMar w:left="240" w:top="161" w:right="439" w:bottom="1440" w:gutter="0" w:footer="0" w:header="0"/>
          <w:type w:val="continuous"/>
        </w:sectPr>
      </w:pPr>
    </w:p>
    <w:p>
      <w:pPr>
        <w:spacing w:after="0" w:line="16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Investments consisting of (i) travel advances and employee relocation loans and other employee loans and advances in the Ordinary Course of</w:t>
      </w:r>
    </w:p>
    <w:p>
      <w:pPr>
        <w:spacing w:after="0" w:line="40" w:lineRule="exact"/>
        <w:rPr>
          <w:sz w:val="20"/>
          <w:szCs w:val="20"/>
          <w:color w:val="auto"/>
        </w:rPr>
      </w:pPr>
    </w:p>
    <w:p>
      <w:pPr>
        <w:sectPr>
          <w:pgSz w:w="11900" w:h="16838" w:orient="portrait"/>
          <w:cols w:equalWidth="0" w:num="2">
            <w:col w:w="2380" w:space="720"/>
            <w:col w:w="8120"/>
          </w:cols>
          <w:pgMar w:left="240" w:top="161" w:right="439" w:bottom="1440" w:gutter="0" w:footer="0" w:header="0"/>
          <w:type w:val="continuous"/>
        </w:sectPr>
      </w:pPr>
    </w:p>
    <w:p>
      <w:pPr>
        <w:jc w:val="both"/>
        <w:ind w:left="1660"/>
        <w:spacing w:after="0" w:line="242" w:lineRule="auto"/>
        <w:rPr>
          <w:sz w:val="20"/>
          <w:szCs w:val="20"/>
          <w:color w:val="auto"/>
        </w:rPr>
      </w:pPr>
      <w:r>
        <w:rPr>
          <w:rFonts w:ascii="Arial" w:cs="Arial" w:eastAsia="Arial" w:hAnsi="Arial"/>
          <w:sz w:val="14"/>
          <w:szCs w:val="14"/>
          <w:color w:val="auto"/>
        </w:rPr>
        <w:t>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outstanding may not exceed $250,000 at any time;</w:t>
      </w:r>
    </w:p>
    <w:p>
      <w:pPr>
        <w:sectPr>
          <w:pgSz w:w="11900" w:h="16838" w:orient="portrait"/>
          <w:cols w:equalWidth="0" w:num="1">
            <w:col w:w="11220"/>
          </w:cols>
          <w:pgMar w:left="240" w:top="161" w:right="439" w:bottom="1440" w:gutter="0" w:footer="0" w:header="0"/>
          <w:type w:val="continuous"/>
        </w:sectPr>
      </w:pPr>
    </w:p>
    <w:p>
      <w:pPr>
        <w:spacing w:after="0" w:line="13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20" w:firstLine="1429"/>
        <w:spacing w:after="0" w:line="268" w:lineRule="auto"/>
        <w:rPr>
          <w:sz w:val="20"/>
          <w:szCs w:val="20"/>
          <w:color w:val="auto"/>
        </w:rPr>
      </w:pPr>
      <w:r>
        <w:rPr>
          <w:rFonts w:ascii="Arial" w:cs="Arial" w:eastAsia="Arial" w:hAnsi="Arial"/>
          <w:sz w:val="14"/>
          <w:szCs w:val="14"/>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18" w:lineRule="exact"/>
        <w:rPr>
          <w:sz w:val="20"/>
          <w:szCs w:val="20"/>
          <w:color w:val="auto"/>
        </w:rPr>
      </w:pPr>
    </w:p>
    <w:p>
      <w:pPr>
        <w:sectPr>
          <w:pgSz w:w="11900" w:h="16838" w:orient="portrait"/>
          <w:cols w:equalWidth="0" w:num="2">
            <w:col w:w="940" w:space="720"/>
            <w:col w:w="9560"/>
          </w:cols>
          <w:pgMar w:left="240" w:top="161"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ind w:right="60" w:firstLine="1422"/>
        <w:spacing w:after="0" w:line="268" w:lineRule="auto"/>
        <w:rPr>
          <w:sz w:val="20"/>
          <w:szCs w:val="20"/>
          <w:color w:val="auto"/>
        </w:rPr>
      </w:pPr>
      <w:r>
        <w:rPr>
          <w:rFonts w:ascii="Arial" w:cs="Arial" w:eastAsia="Arial" w:hAnsi="Arial"/>
          <w:sz w:val="14"/>
          <w:szCs w:val="14"/>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this subpart (f) shall not apply to Investments of Borrowers in any Subsidiary;</w:t>
      </w:r>
    </w:p>
    <w:p>
      <w:pPr>
        <w:spacing w:after="0" w:line="118" w:lineRule="exact"/>
        <w:rPr>
          <w:sz w:val="20"/>
          <w:szCs w:val="20"/>
          <w:color w:val="auto"/>
        </w:rPr>
      </w:pPr>
    </w:p>
    <w:p>
      <w:pPr>
        <w:sectPr>
          <w:pgSz w:w="11900" w:h="16838" w:orient="portrait"/>
          <w:cols w:equalWidth="0" w:num="2">
            <w:col w:w="940" w:space="720"/>
            <w:col w:w="9560"/>
          </w:cols>
          <w:pgMar w:left="240" w:top="161"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r>
        <w:rPr>
          <w:sz w:val="20"/>
          <w:szCs w:val="20"/>
          <w:color w:val="auto"/>
        </w:rPr>
        <w:br w:type="column"/>
      </w:r>
    </w:p>
    <w:p>
      <w:pPr>
        <w:ind w:right="60" w:firstLine="1422"/>
        <w:spacing w:after="0" w:line="268" w:lineRule="auto"/>
        <w:rPr>
          <w:sz w:val="20"/>
          <w:szCs w:val="20"/>
          <w:color w:val="auto"/>
        </w:rPr>
      </w:pPr>
      <w:r>
        <w:rPr>
          <w:rFonts w:ascii="Arial" w:cs="Arial" w:eastAsia="Arial" w:hAnsi="Arial"/>
          <w:sz w:val="14"/>
          <w:szCs w:val="14"/>
          <w:color w:val="auto"/>
        </w:rPr>
        <w:t>Investments consisting of Deposit Accounts in which Agent has received a Deposit Account Control Agreement (other than Excluded Accounts to the extent Borrower is compliance with the provisions set forth in Section 5.14);</w:t>
      </w:r>
    </w:p>
    <w:p>
      <w:pPr>
        <w:spacing w:after="0" w:line="118" w:lineRule="exact"/>
        <w:rPr>
          <w:sz w:val="20"/>
          <w:szCs w:val="20"/>
          <w:color w:val="auto"/>
        </w:rPr>
      </w:pPr>
    </w:p>
    <w:p>
      <w:pPr>
        <w:sectPr>
          <w:pgSz w:w="11900" w:h="16838" w:orient="portrait"/>
          <w:cols w:equalWidth="0" w:num="2">
            <w:col w:w="940" w:space="720"/>
            <w:col w:w="9560"/>
          </w:cols>
          <w:pgMar w:left="240" w:top="161"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Investments by any Borrower in any Subsidiary now owned or hereafter created by such Borrower, which Subsidiary is a Borrower or has provided</w:t>
      </w:r>
    </w:p>
    <w:p>
      <w:pPr>
        <w:spacing w:after="0" w:line="40" w:lineRule="exact"/>
        <w:rPr>
          <w:sz w:val="20"/>
          <w:szCs w:val="20"/>
          <w:color w:val="auto"/>
        </w:rPr>
      </w:pPr>
    </w:p>
    <w:p>
      <w:pPr>
        <w:sectPr>
          <w:pgSz w:w="11900" w:h="16838" w:orient="portrait"/>
          <w:cols w:equalWidth="0" w:num="2">
            <w:col w:w="2380" w:space="720"/>
            <w:col w:w="8120"/>
          </w:cols>
          <w:pgMar w:left="240" w:top="161" w:right="439" w:bottom="1440" w:gutter="0" w:footer="0" w:header="0"/>
          <w:type w:val="continuous"/>
        </w:sectPr>
      </w:pPr>
    </w:p>
    <w:p>
      <w:pPr>
        <w:jc w:val="both"/>
        <w:ind w:left="1660" w:right="20"/>
        <w:spacing w:after="0" w:line="243" w:lineRule="auto"/>
        <w:rPr>
          <w:sz w:val="20"/>
          <w:szCs w:val="20"/>
          <w:color w:val="auto"/>
        </w:rPr>
      </w:pPr>
      <w:r>
        <w:rPr>
          <w:rFonts w:ascii="Arial" w:cs="Arial" w:eastAsia="Arial" w:hAnsi="Arial"/>
          <w:sz w:val="14"/>
          <w:szCs w:val="14"/>
          <w:color w:val="auto"/>
        </w:rPr>
        <w:t>a Guarantee of the Obligations of the Borrowers which Guarantee is secured by a Lien granted by such Subsidiary to Agent in all or substantially all of its property of the type described in Schedule 9.1 hereto and otherwise made in compliance with Section 4.11(d);</w:t>
      </w:r>
    </w:p>
    <w:p>
      <w:pPr>
        <w:sectPr>
          <w:pgSz w:w="11900" w:h="16838" w:orient="portrait"/>
          <w:cols w:equalWidth="0" w:num="1">
            <w:col w:w="11220"/>
          </w:cols>
          <w:pgMar w:left="240" w:top="161" w:right="439" w:bottom="1440" w:gutter="0" w:footer="0" w:header="0"/>
          <w:type w:val="continuous"/>
        </w:sectPr>
      </w:pPr>
    </w:p>
    <w:p>
      <w:pPr>
        <w:spacing w:after="0" w:line="1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2900"/>
        <w:spacing w:after="0"/>
        <w:rPr>
          <w:sz w:val="20"/>
          <w:szCs w:val="20"/>
          <w:color w:val="auto"/>
        </w:rPr>
      </w:pPr>
      <w:r>
        <w:rPr>
          <w:rFonts w:ascii="Arial" w:cs="Arial" w:eastAsia="Arial" w:hAnsi="Arial"/>
          <w:sz w:val="12"/>
          <w:szCs w:val="12"/>
          <w:color w:val="auto"/>
        </w:rPr>
        <w:t>Investments by any Borrower or Secured Guarantor in another Borrower or Secured Guarantor;</w:t>
      </w:r>
    </w:p>
    <w:p>
      <w:pPr>
        <w:spacing w:after="0" w:line="177" w:lineRule="exact"/>
        <w:rPr>
          <w:sz w:val="20"/>
          <w:szCs w:val="20"/>
          <w:color w:val="auto"/>
        </w:rPr>
      </w:pPr>
    </w:p>
    <w:p>
      <w:pPr>
        <w:sectPr>
          <w:pgSz w:w="11900" w:h="16838" w:orient="portrait"/>
          <w:cols w:equalWidth="0" w:num="2">
            <w:col w:w="2360" w:space="720"/>
            <w:col w:w="8140"/>
          </w:cols>
          <w:pgMar w:left="240" w:top="161"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(j)</w:t>
      </w:r>
    </w:p>
    <w:p>
      <w:pPr>
        <w:spacing w:after="0" w:line="20" w:lineRule="exact"/>
        <w:rPr>
          <w:sz w:val="20"/>
          <w:szCs w:val="20"/>
          <w:color w:val="auto"/>
        </w:rPr>
      </w:pPr>
      <w:r>
        <w:rPr>
          <w:sz w:val="20"/>
          <w:szCs w:val="20"/>
          <w:color w:val="auto"/>
        </w:rPr>
        <w:br w:type="column"/>
      </w:r>
    </w:p>
    <w:p>
      <w:pPr>
        <w:jc w:val="both"/>
        <w:ind w:firstLine="1429"/>
        <w:spacing w:after="0" w:line="296" w:lineRule="auto"/>
        <w:rPr>
          <w:sz w:val="20"/>
          <w:szCs w:val="20"/>
          <w:color w:val="auto"/>
        </w:rPr>
      </w:pPr>
      <w:r>
        <w:rPr>
          <w:rFonts w:ascii="Arial" w:cs="Arial" w:eastAsia="Arial" w:hAnsi="Arial"/>
          <w:sz w:val="12"/>
          <w:szCs w:val="12"/>
          <w:color w:val="auto"/>
        </w:rPr>
        <w:t>Investments of cash and cash equivalents in an Excluded Foreign Subsidiary (either directly or through an Excluded Domestic Holdco) but solely to the extent that the aggregate amount of such Investments with respect to all Excluded Foreign Subsidiaries does not, at any time, exceed $600,000 in the aggregate in any</w:t>
      </w:r>
    </w:p>
    <w:p>
      <w:pPr>
        <w:spacing w:after="0" w:line="1" w:lineRule="exact"/>
        <w:rPr>
          <w:sz w:val="20"/>
          <w:szCs w:val="20"/>
          <w:color w:val="auto"/>
        </w:rPr>
      </w:pPr>
    </w:p>
    <w:p>
      <w:pPr>
        <w:sectPr>
          <w:pgSz w:w="11900" w:h="16838" w:orient="portrait"/>
          <w:cols w:equalWidth="0" w:num="2">
            <w:col w:w="940" w:space="720"/>
            <w:col w:w="9560"/>
          </w:cols>
          <w:pgMar w:left="240" w:top="161" w:right="439" w:bottom="1440" w:gutter="0" w:footer="0" w:header="0"/>
          <w:type w:val="continuous"/>
        </w:sectPr>
      </w:pPr>
    </w:p>
    <w:p>
      <w:pPr>
        <w:jc w:val="both"/>
        <w:ind w:left="1660"/>
        <w:spacing w:after="0" w:line="242" w:lineRule="auto"/>
        <w:rPr>
          <w:sz w:val="20"/>
          <w:szCs w:val="20"/>
          <w:color w:val="auto"/>
        </w:rPr>
      </w:pPr>
      <w:r>
        <w:rPr>
          <w:rFonts w:ascii="Arial" w:cs="Arial" w:eastAsia="Arial" w:hAnsi="Arial"/>
          <w:sz w:val="14"/>
          <w:szCs w:val="14"/>
          <w:color w:val="auto"/>
        </w:rPr>
        <w:t xml:space="preserve">fiscal year;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shall the aggregate amount of Investments made in any Excluded Foreign Subsidiary exceed the amount necessary (as reasonably determined by the Borrowers) to fund the current and projected annual operating expenses of such Excluded Foreign Subsidiary (taking into account its revenue from other sources);</w:t>
      </w:r>
    </w:p>
    <w:p>
      <w:pPr>
        <w:sectPr>
          <w:pgSz w:w="11900" w:h="16838" w:orient="portrait"/>
          <w:cols w:equalWidth="0" w:num="1">
            <w:col w:w="11220"/>
          </w:cols>
          <w:pgMar w:left="240" w:top="161" w:right="439" w:bottom="1440" w:gutter="0" w:footer="0" w:header="0"/>
          <w:type w:val="continuous"/>
        </w:sectPr>
      </w:pPr>
    </w:p>
    <w:p>
      <w:pPr>
        <w:spacing w:after="0" w:line="13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Investments by any Excluded Foreign Subsidiary or Excluded Domestic Holdco in any other Excluded Foreign Subsidiary or Excluded Domestic</w:t>
      </w:r>
    </w:p>
    <w:p>
      <w:pPr>
        <w:spacing w:after="0" w:line="40" w:lineRule="exact"/>
        <w:rPr>
          <w:sz w:val="20"/>
          <w:szCs w:val="20"/>
          <w:color w:val="auto"/>
        </w:rPr>
      </w:pPr>
    </w:p>
    <w:p>
      <w:pPr>
        <w:sectPr>
          <w:pgSz w:w="11900" w:h="16838" w:orient="portrait"/>
          <w:cols w:equalWidth="0" w:num="2">
            <w:col w:w="2380" w:space="720"/>
            <w:col w:w="8120"/>
          </w:cols>
          <w:pgMar w:left="240" w:top="161" w:right="43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Holdco;</w:t>
      </w:r>
    </w:p>
    <w:p>
      <w:pPr>
        <w:sectPr>
          <w:pgSz w:w="11900" w:h="16838" w:orient="portrait"/>
          <w:cols w:equalWidth="0" w:num="1">
            <w:col w:w="11220"/>
          </w:cols>
          <w:pgMar w:left="240" w:top="161" w:right="439" w:bottom="1440" w:gutter="0" w:footer="0" w:header="0"/>
          <w:type w:val="continuous"/>
        </w:sectPr>
      </w:pPr>
    </w:p>
    <w:p>
      <w:pPr>
        <w:spacing w:after="0" w:line="142"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to the extent constituting an Investment, the entering into of any Permitted</w:t>
      </w:r>
    </w:p>
    <w:p>
      <w:pPr>
        <w:spacing w:after="0" w:line="41" w:lineRule="exact"/>
        <w:rPr>
          <w:sz w:val="20"/>
          <w:szCs w:val="20"/>
          <w:color w:val="auto"/>
        </w:rPr>
      </w:pPr>
    </w:p>
    <w:p>
      <w:pPr>
        <w:sectPr>
          <w:pgSz w:w="11900" w:h="16838" w:orient="portrait"/>
          <w:cols w:equalWidth="0" w:num="2">
            <w:col w:w="2100" w:space="720"/>
            <w:col w:w="8400"/>
          </w:cols>
          <w:pgMar w:left="240" w:top="161" w:right="439" w:bottom="1440" w:gutter="0" w:footer="0" w:header="0"/>
          <w:type w:val="continuous"/>
        </w:sectPr>
      </w:pPr>
    </w:p>
    <w:p>
      <w:pPr>
        <w:ind w:left="260"/>
        <w:spacing w:after="0"/>
        <w:rPr>
          <w:sz w:val="20"/>
          <w:szCs w:val="20"/>
          <w:color w:val="auto"/>
        </w:rPr>
      </w:pPr>
      <w:r>
        <w:rPr>
          <w:rFonts w:ascii="Arial" w:cs="Arial" w:eastAsia="Arial" w:hAnsi="Arial"/>
          <w:sz w:val="14"/>
          <w:szCs w:val="14"/>
          <w:color w:val="auto"/>
        </w:rPr>
        <w:t>License;</w:t>
      </w:r>
    </w:p>
    <w:p>
      <w:pPr>
        <w:spacing w:after="0" w:line="300"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220"/>
          </w:cols>
          <w:pgMar w:left="240" w:top="16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9"/>
          <w:szCs w:val="9"/>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61" w:right="439" w:bottom="1440" w:gutter="0" w:footer="0" w:header="0"/>
          <w:type w:val="continuous"/>
        </w:sectPr>
      </w:pPr>
    </w:p>
    <w:bookmarkStart w:id="79" w:name="page80"/>
    <w:bookmarkEnd w:id="79"/>
    <w:tbl>
      <w:tblPr>
        <w:tblLayout w:type="fixed"/>
        <w:tblInd w:w="22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(m)</w:t>
            </w:r>
          </w:p>
        </w:tc>
        <w:tc>
          <w:tcPr>
            <w:tcW w:w="8180" w:type="dxa"/>
            <w:vAlign w:val="bottom"/>
          </w:tcPr>
          <w:p>
            <w:pPr>
              <w:ind w:left="60"/>
              <w:spacing w:after="0"/>
              <w:rPr>
                <w:sz w:val="20"/>
                <w:szCs w:val="20"/>
                <w:color w:val="auto"/>
              </w:rPr>
            </w:pPr>
            <w:r>
              <w:rPr>
                <w:rFonts w:ascii="Arial" w:cs="Arial" w:eastAsia="Arial" w:hAnsi="Arial"/>
                <w:sz w:val="14"/>
                <w:szCs w:val="14"/>
                <w:color w:val="auto"/>
                <w:w w:val="90"/>
              </w:rPr>
              <w:t>in-licenses by Borrowers or their Subsidiaries of Intellectual Property (and rights thereto) and other technology solely in furtherance of preclinical</w:t>
            </w:r>
          </w:p>
        </w:tc>
      </w:tr>
      <w:tr>
        <w:trPr>
          <w:trHeight w:val="162"/>
        </w:trPr>
        <w:tc>
          <w:tcPr>
            <w:tcW w:w="11000" w:type="dxa"/>
            <w:vAlign w:val="bottom"/>
            <w:gridSpan w:val="2"/>
          </w:tcPr>
          <w:p>
            <w:pPr>
              <w:ind w:left="1440"/>
              <w:spacing w:after="0"/>
              <w:rPr>
                <w:sz w:val="20"/>
                <w:szCs w:val="20"/>
                <w:color w:val="auto"/>
              </w:rPr>
            </w:pPr>
            <w:r>
              <w:rPr>
                <w:rFonts w:ascii="Arial" w:cs="Arial" w:eastAsia="Arial" w:hAnsi="Arial"/>
                <w:sz w:val="14"/>
                <w:szCs w:val="14"/>
                <w:color w:val="auto"/>
                <w:w w:val="89"/>
              </w:rPr>
              <w:t>research and development in the areas of hematology, infectious diseases and immuno-oncology (it being understood that Borrower shall not be prohibited from maintaining</w:t>
            </w:r>
          </w:p>
        </w:tc>
      </w:tr>
      <w:tr>
        <w:trPr>
          <w:trHeight w:val="179"/>
        </w:trPr>
        <w:tc>
          <w:tcPr>
            <w:tcW w:w="11000" w:type="dxa"/>
            <w:vAlign w:val="bottom"/>
            <w:gridSpan w:val="2"/>
          </w:tcPr>
          <w:p>
            <w:pPr>
              <w:ind w:left="1440"/>
              <w:spacing w:after="0"/>
              <w:rPr>
                <w:sz w:val="20"/>
                <w:szCs w:val="20"/>
                <w:color w:val="auto"/>
              </w:rPr>
            </w:pPr>
            <w:r>
              <w:rPr>
                <w:rFonts w:ascii="Arial" w:cs="Arial" w:eastAsia="Arial" w:hAnsi="Arial"/>
                <w:sz w:val="14"/>
                <w:szCs w:val="14"/>
                <w:color w:val="auto"/>
                <w:w w:val="95"/>
              </w:rPr>
              <w:t>such an in-license if, after such in-license is entered into, the research and development undertaken in connection with such in-license becomes clinical in nature);</w:t>
            </w:r>
          </w:p>
        </w:tc>
      </w:tr>
      <w:tr>
        <w:trPr>
          <w:trHeight w:val="299"/>
        </w:trPr>
        <w:tc>
          <w:tcPr>
            <w:tcW w:w="2820" w:type="dxa"/>
            <w:vAlign w:val="bottom"/>
          </w:tcPr>
          <w:p>
            <w:pPr>
              <w:spacing w:after="0"/>
              <w:rPr>
                <w:sz w:val="20"/>
                <w:szCs w:val="20"/>
                <w:color w:val="auto"/>
              </w:rPr>
            </w:pPr>
            <w:r>
              <w:rPr>
                <w:rFonts w:ascii="Arial" w:cs="Arial" w:eastAsia="Arial" w:hAnsi="Arial"/>
                <w:sz w:val="14"/>
                <w:szCs w:val="14"/>
                <w:color w:val="auto"/>
              </w:rPr>
              <w:t>(n)</w:t>
            </w:r>
          </w:p>
        </w:tc>
        <w:tc>
          <w:tcPr>
            <w:tcW w:w="8180" w:type="dxa"/>
            <w:vAlign w:val="bottom"/>
          </w:tcPr>
          <w:p>
            <w:pPr>
              <w:ind w:left="60"/>
              <w:spacing w:after="0"/>
              <w:rPr>
                <w:sz w:val="20"/>
                <w:szCs w:val="20"/>
                <w:color w:val="auto"/>
              </w:rPr>
            </w:pPr>
            <w:r>
              <w:rPr>
                <w:rFonts w:ascii="Arial" w:cs="Arial" w:eastAsia="Arial" w:hAnsi="Arial"/>
                <w:sz w:val="14"/>
                <w:szCs w:val="14"/>
                <w:color w:val="auto"/>
                <w:w w:val="91"/>
              </w:rPr>
              <w:t>Investments consisting of extensions of credit in the nature of Accounts or notes receivable arising from the grant of trade credit in the Ordinary</w:t>
            </w:r>
          </w:p>
        </w:tc>
      </w:tr>
      <w:tr>
        <w:trPr>
          <w:trHeight w:val="179"/>
        </w:trPr>
        <w:tc>
          <w:tcPr>
            <w:tcW w:w="2820" w:type="dxa"/>
            <w:vAlign w:val="bottom"/>
          </w:tcPr>
          <w:p>
            <w:pPr>
              <w:ind w:left="1440"/>
              <w:spacing w:after="0"/>
              <w:rPr>
                <w:sz w:val="20"/>
                <w:szCs w:val="20"/>
                <w:color w:val="auto"/>
              </w:rPr>
            </w:pPr>
            <w:r>
              <w:rPr>
                <w:rFonts w:ascii="Arial" w:cs="Arial" w:eastAsia="Arial" w:hAnsi="Arial"/>
                <w:sz w:val="14"/>
                <w:szCs w:val="14"/>
                <w:color w:val="auto"/>
                <w:w w:val="89"/>
              </w:rPr>
              <w:t>Course of Business; and</w:t>
            </w:r>
          </w:p>
        </w:tc>
        <w:tc>
          <w:tcPr>
            <w:tcW w:w="8180" w:type="dxa"/>
            <w:vAlign w:val="bottom"/>
          </w:tcPr>
          <w:p>
            <w:pPr>
              <w:spacing w:after="0"/>
              <w:rPr>
                <w:sz w:val="15"/>
                <w:szCs w:val="15"/>
                <w:color w:val="auto"/>
              </w:rPr>
            </w:pPr>
          </w:p>
        </w:tc>
      </w:tr>
      <w:tr>
        <w:trPr>
          <w:trHeight w:val="299"/>
        </w:trPr>
        <w:tc>
          <w:tcPr>
            <w:tcW w:w="2820" w:type="dxa"/>
            <w:vAlign w:val="bottom"/>
          </w:tcPr>
          <w:p>
            <w:pPr>
              <w:ind w:left="1580"/>
              <w:spacing w:after="0"/>
              <w:rPr>
                <w:sz w:val="20"/>
                <w:szCs w:val="20"/>
                <w:color w:val="auto"/>
              </w:rPr>
            </w:pPr>
            <w:r>
              <w:rPr>
                <w:rFonts w:ascii="Arial" w:cs="Arial" w:eastAsia="Arial" w:hAnsi="Arial"/>
                <w:sz w:val="14"/>
                <w:szCs w:val="14"/>
                <w:color w:val="auto"/>
              </w:rPr>
              <w:t>(o)</w:t>
            </w:r>
          </w:p>
        </w:tc>
        <w:tc>
          <w:tcPr>
            <w:tcW w:w="8180" w:type="dxa"/>
            <w:vAlign w:val="bottom"/>
          </w:tcPr>
          <w:p>
            <w:pPr>
              <w:ind w:left="440"/>
              <w:spacing w:after="0"/>
              <w:rPr>
                <w:sz w:val="20"/>
                <w:szCs w:val="20"/>
                <w:color w:val="auto"/>
              </w:rPr>
            </w:pPr>
            <w:r>
              <w:rPr>
                <w:rFonts w:ascii="Arial" w:cs="Arial" w:eastAsia="Arial" w:hAnsi="Arial"/>
                <w:sz w:val="14"/>
                <w:szCs w:val="14"/>
                <w:color w:val="auto"/>
              </w:rPr>
              <w:t>other Investments in an amount not exceeding $500,000 in the aggregate. “</w:t>
            </w:r>
            <w:r>
              <w:rPr>
                <w:rFonts w:ascii="Arial" w:cs="Arial" w:eastAsia="Arial" w:hAnsi="Arial"/>
                <w:sz w:val="14"/>
                <w:szCs w:val="14"/>
                <w:b w:val="1"/>
                <w:bCs w:val="1"/>
                <w:color w:val="auto"/>
              </w:rPr>
              <w:t>Permitted License</w:t>
            </w:r>
            <w:r>
              <w:rPr>
                <w:rFonts w:ascii="Arial" w:cs="Arial" w:eastAsia="Arial" w:hAnsi="Arial"/>
                <w:sz w:val="14"/>
                <w:szCs w:val="14"/>
                <w:color w:val="auto"/>
              </w:rPr>
              <w:t>” means:</w:t>
            </w: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(a)</w:t>
            </w:r>
          </w:p>
        </w:tc>
        <w:tc>
          <w:tcPr>
            <w:tcW w:w="8180" w:type="dxa"/>
            <w:vAlign w:val="bottom"/>
          </w:tcPr>
          <w:p>
            <w:pPr>
              <w:ind w:left="40"/>
              <w:spacing w:after="0"/>
              <w:rPr>
                <w:sz w:val="20"/>
                <w:szCs w:val="20"/>
                <w:color w:val="auto"/>
              </w:rPr>
            </w:pPr>
            <w:r>
              <w:rPr>
                <w:rFonts w:ascii="Arial" w:cs="Arial" w:eastAsia="Arial" w:hAnsi="Arial"/>
                <w:sz w:val="14"/>
                <w:szCs w:val="14"/>
                <w:color w:val="auto"/>
                <w:w w:val="93"/>
              </w:rPr>
              <w:t>any license or sublicense of Intellectual Property rights (including licenses or sublicenses thereto) of a Credit Party to a Borrower or Secured</w:t>
            </w:r>
          </w:p>
        </w:tc>
      </w:tr>
      <w:tr>
        <w:trPr>
          <w:trHeight w:val="179"/>
        </w:trPr>
        <w:tc>
          <w:tcPr>
            <w:tcW w:w="2820" w:type="dxa"/>
            <w:vAlign w:val="bottom"/>
          </w:tcPr>
          <w:p>
            <w:pPr>
              <w:ind w:left="1440"/>
              <w:spacing w:after="0"/>
              <w:rPr>
                <w:sz w:val="20"/>
                <w:szCs w:val="20"/>
                <w:color w:val="auto"/>
              </w:rPr>
            </w:pPr>
            <w:r>
              <w:rPr>
                <w:rFonts w:ascii="Arial" w:cs="Arial" w:eastAsia="Arial" w:hAnsi="Arial"/>
                <w:sz w:val="14"/>
                <w:szCs w:val="14"/>
                <w:color w:val="auto"/>
              </w:rPr>
              <w:t>Guarantor;</w:t>
            </w:r>
          </w:p>
        </w:tc>
        <w:tc>
          <w:tcPr>
            <w:tcW w:w="8180" w:type="dxa"/>
            <w:vAlign w:val="bottom"/>
          </w:tcPr>
          <w:p>
            <w:pPr>
              <w:spacing w:after="0"/>
              <w:rPr>
                <w:sz w:val="15"/>
                <w:szCs w:val="15"/>
                <w:color w:val="auto"/>
              </w:rPr>
            </w:pPr>
          </w:p>
        </w:tc>
      </w:tr>
      <w:tr>
        <w:trPr>
          <w:trHeight w:val="311"/>
        </w:trPr>
        <w:tc>
          <w:tcPr>
            <w:tcW w:w="2820" w:type="dxa"/>
            <w:vAlign w:val="bottom"/>
          </w:tcPr>
          <w:p>
            <w:pPr>
              <w:spacing w:after="0"/>
              <w:rPr>
                <w:sz w:val="20"/>
                <w:szCs w:val="20"/>
                <w:color w:val="auto"/>
              </w:rPr>
            </w:pPr>
            <w:r>
              <w:rPr>
                <w:rFonts w:ascii="Arial" w:cs="Arial" w:eastAsia="Arial" w:hAnsi="Arial"/>
                <w:sz w:val="14"/>
                <w:szCs w:val="14"/>
                <w:color w:val="auto"/>
              </w:rPr>
              <w:t>(b)</w:t>
            </w:r>
          </w:p>
        </w:tc>
        <w:tc>
          <w:tcPr>
            <w:tcW w:w="8180" w:type="dxa"/>
            <w:vAlign w:val="bottom"/>
          </w:tcPr>
          <w:p>
            <w:pPr>
              <w:ind w:left="60"/>
              <w:spacing w:after="0"/>
              <w:rPr>
                <w:sz w:val="20"/>
                <w:szCs w:val="20"/>
                <w:color w:val="auto"/>
              </w:rPr>
            </w:pPr>
            <w:r>
              <w:rPr>
                <w:rFonts w:ascii="Arial" w:cs="Arial" w:eastAsia="Arial" w:hAnsi="Arial"/>
                <w:sz w:val="14"/>
                <w:szCs w:val="14"/>
                <w:color w:val="auto"/>
                <w:w w:val="89"/>
              </w:rPr>
              <w:t>any non-exclusive license or sublicense of Intellectual Property rights (including licenses or sublicenses thereto) of Borrower or its Subsidiaries so</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480" w:type="dxa"/>
            <w:vAlign w:val="bottom"/>
          </w:tcPr>
          <w:p>
            <w:pPr>
              <w:spacing w:after="0"/>
              <w:rPr>
                <w:sz w:val="13"/>
                <w:szCs w:val="13"/>
                <w:color w:val="auto"/>
              </w:rPr>
            </w:pPr>
          </w:p>
        </w:tc>
        <w:tc>
          <w:tcPr>
            <w:tcW w:w="10520" w:type="dxa"/>
            <w:vAlign w:val="bottom"/>
          </w:tcPr>
          <w:p>
            <w:pPr>
              <w:ind w:left="960"/>
              <w:spacing w:after="0" w:line="151" w:lineRule="exact"/>
              <w:rPr>
                <w:sz w:val="20"/>
                <w:szCs w:val="20"/>
                <w:color w:val="auto"/>
              </w:rPr>
            </w:pPr>
            <w:r>
              <w:rPr>
                <w:rFonts w:ascii="Arial" w:cs="Arial" w:eastAsia="Arial" w:hAnsi="Arial"/>
                <w:sz w:val="14"/>
                <w:szCs w:val="14"/>
                <w:color w:val="auto"/>
                <w:w w:val="90"/>
              </w:rPr>
              <w:t>long as all such licenses are granted to third parties or Subsidiaries in the Ordinary Course of Business, do not result in a legal transfer of title to the licensed property, and</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rPr>
              <w:t>(except in the case of non-exclusive licenses by a Credit Party to a Subsidiary thereof) have been granted in exchange for fair consideration;</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(c)</w:t>
            </w:r>
          </w:p>
        </w:tc>
        <w:tc>
          <w:tcPr>
            <w:tcW w:w="10520" w:type="dxa"/>
            <w:vAlign w:val="bottom"/>
          </w:tcPr>
          <w:p>
            <w:pPr>
              <w:ind w:left="2400"/>
              <w:spacing w:after="0"/>
              <w:rPr>
                <w:sz w:val="20"/>
                <w:szCs w:val="20"/>
                <w:color w:val="auto"/>
              </w:rPr>
            </w:pPr>
            <w:r>
              <w:rPr>
                <w:rFonts w:ascii="Arial" w:cs="Arial" w:eastAsia="Arial" w:hAnsi="Arial"/>
                <w:sz w:val="14"/>
                <w:szCs w:val="14"/>
                <w:color w:val="auto"/>
                <w:w w:val="93"/>
              </w:rPr>
              <w:t>any exclusive license or sublicense of Intellectual Property rights (including licenses or sublicenses thereto) of Borrower or its Subsidiaries to</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0"/>
              </w:rPr>
              <w:t>a third party so long as such licenses do not result in a legal transfer of title to the licensed property, are exclusive solely as to discrete geographical areas outside of North</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rPr>
              <w:t>America, and have been granted in exchange for fair consideration;</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(d)</w:t>
            </w:r>
          </w:p>
        </w:tc>
        <w:tc>
          <w:tcPr>
            <w:tcW w:w="10520" w:type="dxa"/>
            <w:vAlign w:val="bottom"/>
          </w:tcPr>
          <w:p>
            <w:pPr>
              <w:ind w:left="2400"/>
              <w:spacing w:after="0"/>
              <w:rPr>
                <w:sz w:val="20"/>
                <w:szCs w:val="20"/>
                <w:color w:val="auto"/>
              </w:rPr>
            </w:pPr>
            <w:r>
              <w:rPr>
                <w:rFonts w:ascii="Arial" w:cs="Arial" w:eastAsia="Arial" w:hAnsi="Arial"/>
                <w:sz w:val="14"/>
                <w:szCs w:val="14"/>
                <w:color w:val="auto"/>
                <w:w w:val="91"/>
              </w:rPr>
              <w:t>any exclusive license or sublicense of Intellectual Property rights (including licenses or sublicenses thereto) of Borrower or its Subsidiaries to a</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0"/>
              </w:rPr>
              <w:t>third party to the extent such Intellectual Property rights relate solely to preclinical Products (not, for the avoidance of doubt, clinical Products, Commercial Products or any</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5"/>
              </w:rPr>
              <w:t>other commercial Product) and so long as such licenses do not result in a legal transfer of title to the licensed property and have been granted in exchange for fair</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rPr>
              <w:t>consideration; and</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(e)</w:t>
            </w:r>
          </w:p>
        </w:tc>
        <w:tc>
          <w:tcPr>
            <w:tcW w:w="10520" w:type="dxa"/>
            <w:vAlign w:val="bottom"/>
          </w:tcPr>
          <w:p>
            <w:pPr>
              <w:ind w:left="2400"/>
              <w:spacing w:after="0"/>
              <w:rPr>
                <w:sz w:val="20"/>
                <w:szCs w:val="20"/>
                <w:color w:val="auto"/>
              </w:rPr>
            </w:pPr>
            <w:r>
              <w:rPr>
                <w:rFonts w:ascii="Arial" w:cs="Arial" w:eastAsia="Arial" w:hAnsi="Arial"/>
                <w:sz w:val="14"/>
                <w:szCs w:val="14"/>
                <w:color w:val="auto"/>
                <w:w w:val="89"/>
              </w:rPr>
              <w:t>to the extent not otherwise permitted pursuant to clauses (a)-(d) above, any exclusive license or sublicense of Intellectual Property rights (including</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2"/>
              </w:rPr>
              <w:t>licenses or sublicenses thereto) of Borrower or its Subsidiaries to a third party to the extent such Intellectual Property rights relate solely to clinical Products (not, for the</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89"/>
              </w:rPr>
              <w:t>avoidance of doubt, Commercial Products or any other commercial Product) and so long as such licenses do not result in a legal transfer of title to the licensed property and</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88"/>
              </w:rPr>
              <w:t xml:space="preserve">have been granted in exchange for fair consideration; </w:t>
            </w:r>
            <w:r>
              <w:rPr>
                <w:rFonts w:ascii="Arial" w:cs="Arial" w:eastAsia="Arial" w:hAnsi="Arial"/>
                <w:sz w:val="14"/>
                <w:szCs w:val="14"/>
                <w:i w:val="1"/>
                <w:iCs w:val="1"/>
                <w:color w:val="auto"/>
                <w:w w:val="88"/>
              </w:rPr>
              <w:t>provided</w:t>
            </w:r>
            <w:r>
              <w:rPr>
                <w:rFonts w:ascii="Arial" w:cs="Arial" w:eastAsia="Arial" w:hAnsi="Arial"/>
                <w:sz w:val="14"/>
                <w:szCs w:val="14"/>
                <w:color w:val="auto"/>
                <w:w w:val="88"/>
              </w:rPr>
              <w:t xml:space="preserve"> that, in each case, either (i)(x)Borrower has provided Agent copies of the proposed license documentation and</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89"/>
              </w:rPr>
              <w:t>such other information as Agent may reasonably request related to such license at least five (5) Business Days prior to Borrower’s entry into such license and (y) Agent has</w:t>
            </w: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w w:val="92"/>
              </w:rPr>
              <w:t>consented to Borrower’s (or its Subsidiary’s) entry into such license; or (ii) Borrower has prepaid the Term Loans in accordance with Section 2.1(a)(ii)(B)(iv) on the date</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10520" w:type="dxa"/>
            <w:vAlign w:val="bottom"/>
          </w:tcPr>
          <w:p>
            <w:pPr>
              <w:ind w:left="960"/>
              <w:spacing w:after="0"/>
              <w:rPr>
                <w:sz w:val="20"/>
                <w:szCs w:val="20"/>
                <w:color w:val="auto"/>
              </w:rPr>
            </w:pPr>
            <w:r>
              <w:rPr>
                <w:rFonts w:ascii="Arial" w:cs="Arial" w:eastAsia="Arial" w:hAnsi="Arial"/>
                <w:sz w:val="14"/>
                <w:szCs w:val="14"/>
                <w:color w:val="auto"/>
              </w:rPr>
              <w:t>Borrower or its Subsidiary enters into such license.</w:t>
            </w:r>
          </w:p>
        </w:tc>
        <w:tc>
          <w:tcPr>
            <w:tcW w:w="0" w:type="dxa"/>
            <w:vAlign w:val="bottom"/>
          </w:tcPr>
          <w:p>
            <w:pPr>
              <w:spacing w:after="0"/>
              <w:rPr>
                <w:sz w:val="1"/>
                <w:szCs w:val="1"/>
                <w:color w:val="auto"/>
              </w:rPr>
            </w:pPr>
          </w:p>
        </w:tc>
      </w:tr>
      <w:tr>
        <w:trPr>
          <w:trHeight w:val="315"/>
        </w:trPr>
        <w:tc>
          <w:tcPr>
            <w:tcW w:w="480" w:type="dxa"/>
            <w:vAlign w:val="bottom"/>
          </w:tcPr>
          <w:p>
            <w:pPr>
              <w:spacing w:after="0"/>
              <w:rPr>
                <w:sz w:val="24"/>
                <w:szCs w:val="24"/>
                <w:color w:val="auto"/>
              </w:rPr>
            </w:pPr>
          </w:p>
        </w:tc>
        <w:tc>
          <w:tcPr>
            <w:tcW w:w="10520" w:type="dxa"/>
            <w:vAlign w:val="bottom"/>
          </w:tcPr>
          <w:p>
            <w:pPr>
              <w:ind w:left="3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w:t>
            </w:r>
          </w:p>
        </w:tc>
        <w:tc>
          <w:tcPr>
            <w:tcW w:w="0" w:type="dxa"/>
            <w:vAlign w:val="bottom"/>
          </w:tcPr>
          <w:p>
            <w:pPr>
              <w:spacing w:after="0"/>
              <w:rPr>
                <w:sz w:val="1"/>
                <w:szCs w:val="1"/>
                <w:color w:val="auto"/>
              </w:rPr>
            </w:pPr>
          </w:p>
        </w:tc>
      </w:tr>
      <w:tr>
        <w:trPr>
          <w:trHeight w:val="299"/>
        </w:trPr>
        <w:tc>
          <w:tcPr>
            <w:tcW w:w="480" w:type="dxa"/>
            <w:vAlign w:val="bottom"/>
          </w:tcPr>
          <w:p>
            <w:pPr>
              <w:spacing w:after="0"/>
              <w:rPr>
                <w:sz w:val="20"/>
                <w:szCs w:val="20"/>
                <w:color w:val="auto"/>
              </w:rPr>
            </w:pPr>
            <w:r>
              <w:rPr>
                <w:rFonts w:ascii="Arial" w:cs="Arial" w:eastAsia="Arial" w:hAnsi="Arial"/>
                <w:sz w:val="14"/>
                <w:szCs w:val="14"/>
                <w:color w:val="auto"/>
              </w:rPr>
              <w:t>(a)</w:t>
            </w:r>
          </w:p>
        </w:tc>
        <w:tc>
          <w:tcPr>
            <w:tcW w:w="10520" w:type="dxa"/>
            <w:vAlign w:val="bottom"/>
          </w:tcPr>
          <w:p>
            <w:pPr>
              <w:ind w:left="2380"/>
              <w:spacing w:after="0"/>
              <w:rPr>
                <w:sz w:val="20"/>
                <w:szCs w:val="20"/>
                <w:color w:val="auto"/>
              </w:rPr>
            </w:pPr>
            <w:r>
              <w:rPr>
                <w:rFonts w:ascii="Arial" w:cs="Arial" w:eastAsia="Arial" w:hAnsi="Arial"/>
                <w:sz w:val="14"/>
                <w:szCs w:val="14"/>
                <w:color w:val="auto"/>
                <w:w w:val="95"/>
              </w:rPr>
              <w:t>deposits or pledges of cash to secure obligations under workmen’s compensation, social security or similar laws, or under unemployment</w:t>
            </w:r>
          </w:p>
        </w:tc>
        <w:tc>
          <w:tcPr>
            <w:tcW w:w="0" w:type="dxa"/>
            <w:vAlign w:val="bottom"/>
          </w:tcPr>
          <w:p>
            <w:pPr>
              <w:spacing w:after="0"/>
              <w:rPr>
                <w:sz w:val="1"/>
                <w:szCs w:val="1"/>
                <w:color w:val="auto"/>
              </w:rPr>
            </w:pPr>
          </w:p>
        </w:tc>
      </w:tr>
      <w:tr>
        <w:trPr>
          <w:trHeight w:val="179"/>
        </w:trPr>
        <w:tc>
          <w:tcPr>
            <w:tcW w:w="48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520" w:type="dxa"/>
            <w:vAlign w:val="bottom"/>
          </w:tcPr>
          <w:p>
            <w:pPr>
              <w:ind w:left="960"/>
              <w:spacing w:after="0"/>
              <w:rPr>
                <w:sz w:val="20"/>
                <w:szCs w:val="20"/>
                <w:color w:val="auto"/>
              </w:rPr>
            </w:pPr>
            <w:r>
              <w:rPr>
                <w:rFonts w:ascii="Arial" w:cs="Arial" w:eastAsia="Arial" w:hAnsi="Arial"/>
                <w:sz w:val="14"/>
                <w:szCs w:val="14"/>
                <w:color w:val="auto"/>
              </w:rPr>
              <w:t>insurance (but excluding Liens</w:t>
            </w:r>
          </w:p>
        </w:tc>
        <w:tc>
          <w:tcPr>
            <w:tcW w:w="0" w:type="dxa"/>
            <w:vAlign w:val="bottom"/>
          </w:tcPr>
          <w:p>
            <w:pPr>
              <w:spacing w:after="0"/>
              <w:rPr>
                <w:sz w:val="1"/>
                <w:szCs w:val="1"/>
                <w:color w:val="auto"/>
              </w:rPr>
            </w:pPr>
          </w:p>
        </w:tc>
      </w:tr>
      <w:tr>
        <w:trPr>
          <w:trHeight w:val="162"/>
        </w:trPr>
        <w:tc>
          <w:tcPr>
            <w:tcW w:w="480" w:type="dxa"/>
            <w:vAlign w:val="bottom"/>
            <w:vMerge w:val="continue"/>
          </w:tcPr>
          <w:p>
            <w:pPr>
              <w:spacing w:after="0"/>
              <w:rPr>
                <w:sz w:val="14"/>
                <w:szCs w:val="14"/>
                <w:color w:val="auto"/>
              </w:rPr>
            </w:pPr>
          </w:p>
        </w:tc>
        <w:tc>
          <w:tcPr>
            <w:tcW w:w="10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480" w:type="dxa"/>
            <w:vAlign w:val="bottom"/>
          </w:tcPr>
          <w:p>
            <w:pPr>
              <w:spacing w:after="0"/>
              <w:rPr>
                <w:sz w:val="24"/>
                <w:szCs w:val="24"/>
                <w:color w:val="auto"/>
              </w:rPr>
            </w:pPr>
          </w:p>
        </w:tc>
        <w:tc>
          <w:tcPr>
            <w:tcW w:w="10520" w:type="dxa"/>
            <w:vAlign w:val="bottom"/>
          </w:tcPr>
          <w:p>
            <w:pPr>
              <w:ind w:left="96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80" w:name="page81"/>
    <w:bookmarkEnd w:id="80"/>
    <w:p>
      <w:pPr>
        <w:ind w:left="260"/>
        <w:spacing w:after="0"/>
        <w:rPr>
          <w:sz w:val="20"/>
          <w:szCs w:val="20"/>
          <w:color w:val="auto"/>
        </w:rPr>
      </w:pPr>
      <w:r>
        <w:rPr>
          <w:rFonts w:ascii="Arial" w:cs="Arial" w:eastAsia="Arial" w:hAnsi="Arial"/>
          <w:sz w:val="12"/>
          <w:szCs w:val="12"/>
          <w:color w:val="auto"/>
        </w:rPr>
        <w:t>arising under ERISA or, with respect to any Pension Plan or Multiemployer Plan, the Code) pertaining to a Borrower’s or its Subsidiary’s employees, if any;</w:t>
      </w:r>
    </w:p>
    <w:p>
      <w:pPr>
        <w:sectPr>
          <w:pgSz w:w="11900" w:h="16838" w:orient="portrait"/>
          <w:cols w:equalWidth="0" w:num="1">
            <w:col w:w="11220"/>
          </w:cols>
          <w:pgMar w:left="240" w:top="165" w:right="439" w:bottom="1440" w:gutter="0" w:footer="0" w:header="0"/>
        </w:sectPr>
      </w:pPr>
    </w:p>
    <w:p>
      <w:pPr>
        <w:spacing w:after="0" w:line="17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20" w:firstLine="1429"/>
        <w:spacing w:after="0" w:line="307" w:lineRule="auto"/>
        <w:rPr>
          <w:sz w:val="20"/>
          <w:szCs w:val="20"/>
          <w:color w:val="auto"/>
        </w:rPr>
      </w:pPr>
      <w:r>
        <w:rPr>
          <w:rFonts w:ascii="Arial" w:cs="Arial" w:eastAsia="Arial" w:hAnsi="Arial"/>
          <w:sz w:val="13"/>
          <w:szCs w:val="13"/>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95"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ind w:right="20" w:firstLine="1429"/>
        <w:spacing w:after="0" w:line="268" w:lineRule="auto"/>
        <w:rPr>
          <w:sz w:val="20"/>
          <w:szCs w:val="20"/>
          <w:color w:val="auto"/>
        </w:rPr>
      </w:pPr>
      <w:r>
        <w:rPr>
          <w:rFonts w:ascii="Arial" w:cs="Arial" w:eastAsia="Arial" w:hAnsi="Arial"/>
          <w:sz w:val="14"/>
          <w:szCs w:val="14"/>
          <w:color w:val="auto"/>
        </w:rPr>
        <w:t>carrier’s, warehousemen’s, mechanic’s, workmen’s, materialmen’s or other like Liens on Collateral arising in the Ordinary Course of Business with respect to obligations which are not due, or which are being contested pursuant to a Permitted Contest;</w:t>
      </w:r>
    </w:p>
    <w:p>
      <w:pPr>
        <w:spacing w:after="0" w:line="118"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Liens for taxes or other governmental charges not at the time delinquent or thereafter payable without penalty or the subject of a Permitted Contest;</w:t>
      </w:r>
    </w:p>
    <w:p>
      <w:pPr>
        <w:spacing w:after="0" w:line="177" w:lineRule="exact"/>
        <w:rPr>
          <w:sz w:val="20"/>
          <w:szCs w:val="20"/>
          <w:color w:val="auto"/>
        </w:rPr>
      </w:pPr>
    </w:p>
    <w:p>
      <w:pPr>
        <w:sectPr>
          <w:pgSz w:w="11900" w:h="16838" w:orient="portrait"/>
          <w:cols w:equalWidth="0" w:num="2">
            <w:col w:w="2360" w:space="720"/>
            <w:col w:w="814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right="60" w:firstLine="1422"/>
        <w:spacing w:after="0" w:line="255" w:lineRule="auto"/>
        <w:rPr>
          <w:sz w:val="20"/>
          <w:szCs w:val="20"/>
          <w:color w:val="auto"/>
        </w:rPr>
      </w:pPr>
      <w:r>
        <w:rPr>
          <w:rFonts w:ascii="Arial" w:cs="Arial" w:eastAsia="Arial" w:hAnsi="Arial"/>
          <w:sz w:val="14"/>
          <w:szCs w:val="14"/>
          <w:color w:val="auto"/>
        </w:rPr>
        <w:t>attachments, appeal bonds, judgments and other similar Liens on Collateral for sums not exceeding $250,000 in the aggregate arising in connection with court proceedings; provided, however, that the execution or other enforcement of such Liens is effectively stayed and the claims secured thereby are the subject of a Permitted Contest;</w:t>
      </w:r>
    </w:p>
    <w:p>
      <w:pPr>
        <w:spacing w:after="0" w:line="126"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jc w:val="both"/>
        <w:ind w:firstLine="1429"/>
        <w:spacing w:after="0" w:line="273" w:lineRule="auto"/>
        <w:rPr>
          <w:sz w:val="20"/>
          <w:szCs w:val="20"/>
          <w:color w:val="auto"/>
        </w:rPr>
      </w:pPr>
      <w:r>
        <w:rPr>
          <w:rFonts w:ascii="Arial" w:cs="Arial" w:eastAsia="Arial" w:hAnsi="Arial"/>
          <w:sz w:val="13"/>
          <w:szCs w:val="13"/>
          <w:color w:val="auto"/>
        </w:rPr>
        <w:t>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w:t>
      </w:r>
    </w:p>
    <w:p>
      <w:pPr>
        <w:spacing w:after="0" w:line="1"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jc w:val="both"/>
        <w:ind w:left="1660"/>
        <w:spacing w:after="0" w:line="270" w:lineRule="auto"/>
        <w:rPr>
          <w:sz w:val="20"/>
          <w:szCs w:val="20"/>
          <w:color w:val="auto"/>
        </w:rPr>
      </w:pPr>
      <w:r>
        <w:rPr>
          <w:rFonts w:ascii="Arial" w:cs="Arial" w:eastAsia="Arial" w:hAnsi="Arial"/>
          <w:sz w:val="13"/>
          <w:szCs w:val="13"/>
          <w:color w:val="auto"/>
        </w:rPr>
        <w:t>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ectPr>
          <w:pgSz w:w="11900" w:h="16838" w:orient="portrait"/>
          <w:cols w:equalWidth="0" w:num="1">
            <w:col w:w="11220"/>
          </w:cols>
          <w:pgMar w:left="240" w:top="165" w:right="439" w:bottom="1440" w:gutter="0" w:footer="0" w:header="0"/>
          <w:type w:val="continuous"/>
        </w:sectPr>
      </w:pPr>
    </w:p>
    <w:p>
      <w:pPr>
        <w:spacing w:after="0" w:line="119" w:lineRule="exact"/>
        <w:rPr>
          <w:sz w:val="20"/>
          <w:szCs w:val="20"/>
          <w:color w:val="auto"/>
        </w:rPr>
      </w:pPr>
    </w:p>
    <w:p>
      <w:pPr>
        <w:ind w:left="196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Liens and encumbrances in favor of the Agent under the Financing Documents;</w:t>
      </w:r>
    </w:p>
    <w:p>
      <w:pPr>
        <w:spacing w:after="0" w:line="177" w:lineRule="exact"/>
        <w:rPr>
          <w:sz w:val="20"/>
          <w:szCs w:val="20"/>
          <w:color w:val="auto"/>
        </w:rPr>
      </w:pPr>
    </w:p>
    <w:p>
      <w:pPr>
        <w:sectPr>
          <w:pgSz w:w="11900" w:h="16838" w:orient="portrait"/>
          <w:cols w:equalWidth="0" w:num="2">
            <w:col w:w="2120" w:space="700"/>
            <w:col w:w="840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Liens existing on the Closing Date and set forth on Schedule 5.2 (including any Permitted Refinancings thereof);</w:t>
      </w:r>
    </w:p>
    <w:p>
      <w:pPr>
        <w:spacing w:after="0" w:line="177" w:lineRule="exact"/>
        <w:rPr>
          <w:sz w:val="20"/>
          <w:szCs w:val="20"/>
          <w:color w:val="auto"/>
        </w:rPr>
      </w:pPr>
    </w:p>
    <w:p>
      <w:pPr>
        <w:sectPr>
          <w:pgSz w:w="11900" w:h="16838" w:orient="portrait"/>
          <w:cols w:equalWidth="0" w:num="2">
            <w:col w:w="2380" w:space="720"/>
            <w:col w:w="812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ind w:right="20" w:firstLine="1429"/>
        <w:spacing w:after="0" w:line="268" w:lineRule="auto"/>
        <w:rPr>
          <w:sz w:val="20"/>
          <w:szCs w:val="20"/>
          <w:color w:val="auto"/>
        </w:rPr>
      </w:pPr>
      <w:r>
        <w:rPr>
          <w:rFonts w:ascii="Arial" w:cs="Arial" w:eastAsia="Arial" w:hAnsi="Arial"/>
          <w:sz w:val="14"/>
          <w:szCs w:val="14"/>
          <w:color w:val="auto"/>
        </w:rPr>
        <w:t>any Lien on any equipment securing Debt permitted under subpart (c) of the definition of Permitted Debt, provided, however, that such Lien attaches concurrently with or within twenty (20) days after the acquisition thereof;</w:t>
      </w:r>
    </w:p>
    <w:p>
      <w:pPr>
        <w:spacing w:after="0" w:line="118"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Liens for Taxes or that are the subject of a Permitted Contest or statutory Liens for Taxes that are not yet due;</w:t>
      </w:r>
    </w:p>
    <w:p>
      <w:pPr>
        <w:spacing w:after="0" w:line="177" w:lineRule="exact"/>
        <w:rPr>
          <w:sz w:val="20"/>
          <w:szCs w:val="20"/>
          <w:color w:val="auto"/>
        </w:rPr>
      </w:pPr>
    </w:p>
    <w:p>
      <w:pPr>
        <w:sectPr>
          <w:pgSz w:w="11900" w:h="16838" w:orient="portrait"/>
          <w:cols w:equalWidth="0" w:num="2">
            <w:col w:w="2360" w:space="720"/>
            <w:col w:w="814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precautionary financing statements in connection with operating leases or consigned goods in the Ordinary Course of Business;</w:t>
      </w:r>
    </w:p>
    <w:p>
      <w:pPr>
        <w:spacing w:after="0" w:line="177" w:lineRule="exact"/>
        <w:rPr>
          <w:sz w:val="20"/>
          <w:szCs w:val="20"/>
          <w:color w:val="auto"/>
        </w:rPr>
      </w:pPr>
    </w:p>
    <w:p>
      <w:pPr>
        <w:sectPr>
          <w:pgSz w:w="11900" w:h="16838" w:orient="portrait"/>
          <w:cols w:equalWidth="0" w:num="2">
            <w:col w:w="2360" w:space="720"/>
            <w:col w:w="814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ind w:right="20" w:firstLine="1429"/>
        <w:spacing w:after="0" w:line="268" w:lineRule="auto"/>
        <w:rPr>
          <w:sz w:val="20"/>
          <w:szCs w:val="20"/>
          <w:color w:val="auto"/>
        </w:rPr>
      </w:pPr>
      <w:r>
        <w:rPr>
          <w:rFonts w:ascii="Arial" w:cs="Arial" w:eastAsia="Arial" w:hAnsi="Arial"/>
          <w:sz w:val="14"/>
          <w:szCs w:val="14"/>
          <w:color w:val="auto"/>
        </w:rPr>
        <w:t>Liens in favor of Wells Fargo in respect of the Wells Fargo Cash Collateral Account and amounts therein solely to secure obligations of Borrower in respect of credit cards provided by Wells Fargo to Borrower;</w:t>
      </w:r>
    </w:p>
    <w:p>
      <w:pPr>
        <w:spacing w:after="0" w:line="118" w:lineRule="exact"/>
        <w:rPr>
          <w:sz w:val="20"/>
          <w:szCs w:val="20"/>
          <w:color w:val="auto"/>
        </w:rPr>
      </w:pPr>
    </w:p>
    <w:p>
      <w:pPr>
        <w:sectPr>
          <w:pgSz w:w="11900" w:h="16838" w:orient="portrait"/>
          <w:cols w:equalWidth="0" w:num="2">
            <w:col w:w="940" w:space="720"/>
            <w:col w:w="9560"/>
          </w:cols>
          <w:pgMar w:left="240" w:top="165" w:right="43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during the Wells Fargo LC Period, Liens on the Wells Fargo LC Cash Collateral Account and the cash and cash equivalents deposited therein, in an</w:t>
      </w:r>
    </w:p>
    <w:p>
      <w:pPr>
        <w:spacing w:after="0" w:line="37" w:lineRule="exact"/>
        <w:rPr>
          <w:sz w:val="20"/>
          <w:szCs w:val="20"/>
          <w:color w:val="auto"/>
        </w:rPr>
      </w:pPr>
    </w:p>
    <w:p>
      <w:pPr>
        <w:sectPr>
          <w:pgSz w:w="11900" w:h="16838" w:orient="portrait"/>
          <w:cols w:equalWidth="0" w:num="2">
            <w:col w:w="2380" w:space="720"/>
            <w:col w:w="8120"/>
          </w:cols>
          <w:pgMar w:left="240" w:top="165" w:right="439" w:bottom="1440" w:gutter="0" w:footer="0" w:header="0"/>
          <w:type w:val="continuous"/>
        </w:sectPr>
      </w:pPr>
    </w:p>
    <w:p>
      <w:pPr>
        <w:ind w:left="1660"/>
        <w:spacing w:after="0"/>
        <w:rPr>
          <w:sz w:val="20"/>
          <w:szCs w:val="20"/>
          <w:color w:val="auto"/>
        </w:rPr>
      </w:pPr>
      <w:r>
        <w:rPr>
          <w:rFonts w:ascii="Arial" w:cs="Arial" w:eastAsia="Arial" w:hAnsi="Arial"/>
          <w:sz w:val="14"/>
          <w:szCs w:val="14"/>
          <w:color w:val="auto"/>
        </w:rPr>
        <w:t>aggregate amount not to exceed</w:t>
      </w: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19</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65" w:right="439" w:bottom="1440" w:gutter="0" w:footer="0" w:header="0"/>
          <w:type w:val="continuous"/>
        </w:sectPr>
      </w:pPr>
    </w:p>
    <w:bookmarkStart w:id="81" w:name="page82"/>
    <w:bookmarkEnd w:id="81"/>
    <w:p>
      <w:pPr>
        <w:ind w:left="260"/>
        <w:spacing w:after="0"/>
        <w:rPr>
          <w:sz w:val="20"/>
          <w:szCs w:val="20"/>
          <w:color w:val="auto"/>
        </w:rPr>
      </w:pPr>
      <w:r>
        <w:rPr>
          <w:rFonts w:ascii="Arial" w:cs="Arial" w:eastAsia="Arial" w:hAnsi="Arial"/>
          <w:sz w:val="14"/>
          <w:szCs w:val="14"/>
          <w:color w:val="auto"/>
        </w:rPr>
        <w:t>$3,500,000, securing Borrower’s obligations under the Wells Fargo Standby Letter of Credit Agreement and the Wells Fargo Letters of Credit;</w:t>
      </w:r>
    </w:p>
    <w:p>
      <w:pPr>
        <w:spacing w:after="0" w:line="135" w:lineRule="exact"/>
        <w:rPr>
          <w:sz w:val="20"/>
          <w:szCs w:val="20"/>
          <w:color w:val="auto"/>
        </w:rPr>
      </w:pPr>
    </w:p>
    <w:p>
      <w:pPr>
        <w:ind w:left="2820" w:hanging="858"/>
        <w:spacing w:after="0"/>
        <w:tabs>
          <w:tab w:leader="none" w:pos="28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the extent constituting the granting of a Lien, the making of a Permitted Asset</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Disposition.</w:t>
      </w:r>
    </w:p>
    <w:p>
      <w:pPr>
        <w:spacing w:after="0" w:line="129" w:lineRule="exact"/>
        <w:rPr>
          <w:sz w:val="20"/>
          <w:szCs w:val="20"/>
          <w:color w:val="auto"/>
        </w:rPr>
      </w:pPr>
    </w:p>
    <w:p>
      <w:pPr>
        <w:jc w:val="both"/>
        <w:ind w:left="140" w:right="20" w:firstLine="837"/>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Modifications</w:t>
      </w:r>
      <w:r>
        <w:rPr>
          <w:rFonts w:ascii="Arial" w:cs="Arial" w:eastAsia="Arial" w:hAnsi="Arial"/>
          <w:sz w:val="13"/>
          <w:szCs w:val="13"/>
          <w:color w:val="auto"/>
        </w:rPr>
        <w:t>” means (a) such amendments or other modifications to a Borrower’s or Subsidiary’s Organizational Documents as are required under this Agreement or by applicable Law and fully disclosed to Agent within thirty (30) days after such amendments or modifications have become effective, and (b) such amendments or modifications to a Borrower’s or Subsidiary’s Organizational Documents (other than those involving a reorganization of a Borrower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109" w:lineRule="exact"/>
        <w:rPr>
          <w:sz w:val="20"/>
          <w:szCs w:val="20"/>
          <w:color w:val="auto"/>
        </w:rPr>
      </w:pPr>
    </w:p>
    <w:p>
      <w:pPr>
        <w:jc w:val="both"/>
        <w:ind w:left="140" w:firstLine="837"/>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Refinancing</w:t>
      </w:r>
      <w:r>
        <w:rPr>
          <w:rFonts w:ascii="Arial" w:cs="Arial" w:eastAsia="Arial" w:hAnsi="Arial"/>
          <w:sz w:val="13"/>
          <w:szCs w:val="13"/>
          <w:color w:val="auto"/>
        </w:rPr>
        <w:t>” means Debt constituting a refinancing or extension of Debt permitted under clauses (c) or (d) of the definition of Permitted Debt and that (a) has an aggregate outstanding principal amount not greater than the aggregate principal amount of the Debt being refinanced or extended, (b) has a weighted average maturity (measured as of the date of such refinancing or extension) and maturity no shorter than that of the Debt being refinanced or extended, (c) is not entered into as part of a sale leaseback transaction, (d) is not secured by a Lien on any assets other than the collateral securing the Debt being refinanced or extended, (e) the obligors of which are the same as the obligors of the Debt being refinanced or extended and (f) is otherwise on terms no less favorable to Credit Parties and their Subsidiaries, taken as a whole, than those of the Debt being refinanced or extended.</w:t>
      </w:r>
    </w:p>
    <w:p>
      <w:pPr>
        <w:spacing w:after="0" w:line="11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Products</w:t>
      </w:r>
      <w:r>
        <w:rPr>
          <w:rFonts w:ascii="Arial" w:cs="Arial" w:eastAsia="Arial" w:hAnsi="Arial"/>
          <w:sz w:val="14"/>
          <w:szCs w:val="14"/>
          <w:color w:val="auto"/>
        </w:rPr>
        <w:t>” means, from time to time, any products currently manufactured, sold, developed, tested or marketed by any Borrower or any of its Subsidiaries.</w:t>
      </w:r>
    </w:p>
    <w:p>
      <w:pPr>
        <w:spacing w:after="0" w:line="154" w:lineRule="exact"/>
        <w:rPr>
          <w:sz w:val="20"/>
          <w:szCs w:val="20"/>
          <w:color w:val="auto"/>
        </w:rPr>
      </w:pPr>
    </w:p>
    <w:p>
      <w:pPr>
        <w:jc w:val="both"/>
        <w:ind w:left="140" w:firstLine="836"/>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 Rata Share</w:t>
      </w:r>
      <w:r>
        <w:rPr>
          <w:rFonts w:ascii="Arial" w:cs="Arial" w:eastAsia="Arial" w:hAnsi="Arial"/>
          <w:sz w:val="14"/>
          <w:szCs w:val="14"/>
          <w:color w:val="auto"/>
        </w:rPr>
        <w:t xml:space="preserve">” means (a) with respect to a Lender’s obligation to make advances in respect of a Term Loan and such Lender’s right to receive payments of principal and interest with respect to the Term Loans, the Term Loan Commitment Percentage of such Lender, and (b) for all other purposes (including, without limitation, the indemnification obligations arising under Section 11.6) with respect to any Lender, the percentage obtained by </w:t>
      </w:r>
      <w:r>
        <w:rPr>
          <w:rFonts w:ascii="Arial" w:cs="Arial" w:eastAsia="Arial" w:hAnsi="Arial"/>
          <w:sz w:val="14"/>
          <w:szCs w:val="14"/>
          <w:i w:val="1"/>
          <w:iCs w:val="1"/>
          <w:color w:val="auto"/>
        </w:rPr>
        <w:t>dividing</w:t>
      </w:r>
      <w:r>
        <w:rPr>
          <w:rFonts w:ascii="Arial" w:cs="Arial" w:eastAsia="Arial" w:hAnsi="Arial"/>
          <w:sz w:val="14"/>
          <w:szCs w:val="14"/>
          <w:color w:val="auto"/>
        </w:rPr>
        <w:t xml:space="preserve"> (i) the Term Loan Commitment Amount of such Lender (or, in the event the Term Loan Commitment shall have been terminated, such Lender’s then outstanding principal advances of such Lender under the Term Loan), </w:t>
      </w:r>
      <w:r>
        <w:rPr>
          <w:rFonts w:ascii="Arial" w:cs="Arial" w:eastAsia="Arial" w:hAnsi="Arial"/>
          <w:sz w:val="14"/>
          <w:szCs w:val="14"/>
          <w:i w:val="1"/>
          <w:iCs w:val="1"/>
          <w:color w:val="auto"/>
        </w:rPr>
        <w:t>by</w:t>
      </w:r>
      <w:r>
        <w:rPr>
          <w:rFonts w:ascii="Arial" w:cs="Arial" w:eastAsia="Arial" w:hAnsi="Arial"/>
          <w:sz w:val="14"/>
          <w:szCs w:val="14"/>
          <w:color w:val="auto"/>
        </w:rPr>
        <w:t xml:space="preserve"> (ii) the sum of the Term Loan Commitment (or, in the event the Term Loan Commitment shall have been terminated, the then outstanding principal advances of such Lenders under the Term Loan) of all Lenders.</w:t>
      </w:r>
    </w:p>
    <w:p>
      <w:pPr>
        <w:spacing w:after="0" w:line="126"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Recall</w:t>
      </w:r>
      <w:r>
        <w:rPr>
          <w:rFonts w:ascii="Arial" w:cs="Arial" w:eastAsia="Arial" w:hAnsi="Arial"/>
          <w:sz w:val="14"/>
          <w:szCs w:val="14"/>
          <w:color w:val="auto"/>
        </w:rPr>
        <w:t>” means a Person’s removal or Correction of a marketed product that the FDA considers to be in violation of the laws it administers and against which the FDA would initiate legal action, e.g., seizure.</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Register</w:t>
      </w:r>
      <w:r>
        <w:rPr>
          <w:rFonts w:ascii="Arial" w:cs="Arial" w:eastAsia="Arial" w:hAnsi="Arial"/>
          <w:sz w:val="14"/>
          <w:szCs w:val="14"/>
          <w:color w:val="auto"/>
        </w:rPr>
        <w:t>” has the meaning set forth in Section 11.17(a)(iii).</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Registered Intellectual Property</w:t>
      </w:r>
      <w:r>
        <w:rPr>
          <w:rFonts w:ascii="Arial" w:cs="Arial" w:eastAsia="Arial" w:hAnsi="Arial"/>
          <w:sz w:val="13"/>
          <w:szCs w:val="13"/>
          <w:color w:val="auto"/>
        </w:rPr>
        <w:t>” means any patent, registered trademark or servicemark, registered copyright, registered mask work, or any pending application for any of the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foregoing.</w:t>
      </w:r>
    </w:p>
    <w:p>
      <w:pPr>
        <w:spacing w:after="0" w:line="30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20</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82" w:name="page83"/>
    <w:bookmarkEnd w:id="82"/>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Regulatory Reporting Event</w:t>
      </w:r>
      <w:r>
        <w:rPr>
          <w:rFonts w:ascii="Arial" w:cs="Arial" w:eastAsia="Arial" w:hAnsi="Arial"/>
          <w:sz w:val="14"/>
          <w:szCs w:val="14"/>
          <w:color w:val="auto"/>
        </w:rPr>
        <w:t>” has the meaning set forth in Section 4.17.</w:t>
      </w:r>
    </w:p>
    <w:p>
      <w:pPr>
        <w:spacing w:after="0" w:line="154" w:lineRule="exact"/>
        <w:rPr>
          <w:sz w:val="20"/>
          <w:szCs w:val="20"/>
          <w:color w:val="auto"/>
        </w:rPr>
      </w:pPr>
    </w:p>
    <w:p>
      <w:pPr>
        <w:jc w:val="both"/>
        <w:ind w:left="140" w:right="20" w:firstLine="837"/>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Regulatory Required Permit</w:t>
      </w:r>
      <w:r>
        <w:rPr>
          <w:rFonts w:ascii="Arial" w:cs="Arial" w:eastAsia="Arial" w:hAnsi="Arial"/>
          <w:sz w:val="14"/>
          <w:szCs w:val="14"/>
          <w:color w:val="auto"/>
        </w:rPr>
        <w:t>” means any and all licenses, approvals and permits issued by the FDA, or any other applicable Governmental Authority, including without limitation Drug Applications, necessary for the testing, manufacture, marketing or sale of any Product by any applicable Borrower(s) and its Subsidiaries as such activities are being conducted by such Borrower and its Subsidiaries with respect to such Product at such time and any drug listings and drug establishment registrations under 21</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U.S.C. Section 510 as may be required under applicable Laws, and those issued by State governments for the conduct of Borrower’s or any Subsidiary’s business.</w:t>
      </w:r>
    </w:p>
    <w:p>
      <w:pPr>
        <w:spacing w:after="0" w:line="138"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Lenders</w:t>
      </w:r>
      <w:r>
        <w:rPr>
          <w:rFonts w:ascii="Arial" w:cs="Arial" w:eastAsia="Arial" w:hAnsi="Arial"/>
          <w:sz w:val="14"/>
          <w:szCs w:val="14"/>
          <w:color w:val="auto"/>
        </w:rPr>
        <w:t>” means at any time Lenders holding (a) fifty percent (50%) or more of the sum of the Term Loan Commitment (taken as a whole), or (b) if the Term Loan Commitment has been terminated, fifty percent (50%) or more of the then aggregate outstanding principal balance of the Loans</w:t>
      </w:r>
      <w:r>
        <w:rPr>
          <w:rFonts w:ascii="Arial" w:cs="Arial" w:eastAsia="Arial" w:hAnsi="Arial"/>
          <w:sz w:val="14"/>
          <w:szCs w:val="14"/>
          <w:i w:val="1"/>
          <w:iCs w:val="1"/>
          <w:color w:val="auto"/>
        </w:rPr>
        <w:t>.</w:t>
      </w:r>
    </w:p>
    <w:p>
      <w:pPr>
        <w:spacing w:after="0" w:line="11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Officer</w:t>
      </w:r>
      <w:r>
        <w:rPr>
          <w:rFonts w:ascii="Arial" w:cs="Arial" w:eastAsia="Arial" w:hAnsi="Arial"/>
          <w:sz w:val="14"/>
          <w:szCs w:val="14"/>
          <w:color w:val="auto"/>
        </w:rPr>
        <w:t>” means any of the Chief Executive Officer, Chief Operating Officer, Chief Financial Officer, Treasurer, Comptroller, Vice President of Finance, or any other officer of the applicable Borrower reasonably acceptable to Agent.</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w:t>
      </w:r>
      <w:r>
        <w:rPr>
          <w:rFonts w:ascii="Arial" w:cs="Arial" w:eastAsia="Arial" w:hAnsi="Arial"/>
          <w:sz w:val="14"/>
          <w:szCs w:val="14"/>
          <w:color w:val="auto"/>
        </w:rPr>
        <w:t>” means the United States Securities and Exchange Commission.</w:t>
      </w:r>
    </w:p>
    <w:p>
      <w:pPr>
        <w:spacing w:after="0" w:line="154" w:lineRule="exact"/>
        <w:rPr>
          <w:sz w:val="20"/>
          <w:szCs w:val="20"/>
          <w:color w:val="auto"/>
        </w:rPr>
      </w:pPr>
    </w:p>
    <w:p>
      <w:pPr>
        <w:jc w:val="both"/>
        <w:ind w:left="140" w:right="20" w:firstLine="836"/>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Secured Guarantor</w:t>
      </w:r>
      <w:r>
        <w:rPr>
          <w:rFonts w:ascii="Arial" w:cs="Arial" w:eastAsia="Arial" w:hAnsi="Arial"/>
          <w:sz w:val="14"/>
          <w:szCs w:val="14"/>
          <w:color w:val="auto"/>
        </w:rPr>
        <w:t>” means any Credit Party that has executed or delivered, or shall in the future execute or deliver to Agent, any Guarantee of all or any portion of the Obligations, the obligations under which are secured by all or substantially all of its property of the type described in Schedule 9.1 hereto (other than Excluded Property).</w:t>
      </w:r>
    </w:p>
    <w:p>
      <w:pPr>
        <w:spacing w:after="0" w:line="110"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Account</w:t>
      </w:r>
      <w:r>
        <w:rPr>
          <w:rFonts w:ascii="Arial" w:cs="Arial" w:eastAsia="Arial" w:hAnsi="Arial"/>
          <w:sz w:val="14"/>
          <w:szCs w:val="14"/>
          <w:color w:val="auto"/>
        </w:rPr>
        <w:t>” means a “securities account” (as defined in Article 9 of the UCC), an investment account, or other account in which investment property or securities are held or invested for credit to or for the benefit of any Borrower.</w:t>
      </w:r>
    </w:p>
    <w:p>
      <w:pPr>
        <w:spacing w:after="0" w:line="110" w:lineRule="exact"/>
        <w:rPr>
          <w:sz w:val="20"/>
          <w:szCs w:val="20"/>
          <w:color w:val="auto"/>
        </w:rPr>
      </w:pPr>
    </w:p>
    <w:p>
      <w:pPr>
        <w:jc w:val="both"/>
        <w:ind w:left="140" w:right="20" w:firstLine="837"/>
        <w:spacing w:after="0" w:line="31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 Account Control Agreement</w:t>
      </w:r>
      <w:r>
        <w:rPr>
          <w:rFonts w:ascii="Arial" w:cs="Arial" w:eastAsia="Arial" w:hAnsi="Arial"/>
          <w:sz w:val="13"/>
          <w:szCs w:val="13"/>
          <w:color w:val="auto"/>
        </w:rPr>
        <w:t>” means an agreement, in form and substance reasonably satisfactory to Agent, among Agent, any applicable Borrower and each securities intermediary in which such Borrower maintains a Securities Account pursuant to which Agent shall obtain “control” (as defined in Article 9 of the UCC) over such Securities Account.</w:t>
      </w:r>
    </w:p>
    <w:p>
      <w:pPr>
        <w:spacing w:after="0" w:line="87"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Security Document</w:t>
      </w:r>
      <w:r>
        <w:rPr>
          <w:rFonts w:ascii="Arial" w:cs="Arial" w:eastAsia="Arial" w:hAnsi="Arial"/>
          <w:sz w:val="14"/>
          <w:szCs w:val="14"/>
          <w:color w:val="auto"/>
        </w:rPr>
        <w:t>” means this Agreement, the Intellectual Property Security Agreement and any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 in accordance with the terms hereof.</w:t>
      </w:r>
    </w:p>
    <w:p>
      <w:pPr>
        <w:spacing w:after="0" w:line="126"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Separation Obligations</w:t>
      </w:r>
      <w:r>
        <w:rPr>
          <w:rFonts w:ascii="Arial" w:cs="Arial" w:eastAsia="Arial" w:hAnsi="Arial"/>
          <w:sz w:val="14"/>
          <w:szCs w:val="14"/>
          <w:color w:val="auto"/>
        </w:rPr>
        <w:t>” means indemnification obligations of the Borrower and/or its Subsidiaries in favor of Emergent and/or its subsidiaries in connection with the Emergent Spinoff Transaction under the Emergent Spinoff Documents.</w:t>
      </w:r>
    </w:p>
    <w:p>
      <w:pPr>
        <w:spacing w:after="0" w:line="11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Solvent</w:t>
      </w:r>
      <w:r>
        <w:rPr>
          <w:rFonts w:ascii="Arial" w:cs="Arial" w:eastAsia="Arial" w:hAnsi="Arial"/>
          <w:sz w:val="14"/>
          <w:szCs w:val="14"/>
          <w:color w:val="auto"/>
        </w:rPr>
        <w:t>” 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w:t>
      </w:r>
    </w:p>
    <w:p>
      <w:pPr>
        <w:spacing w:after="0" w:line="287"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83" w:name="page84"/>
    <w:bookmarkEnd w:id="83"/>
    <w:p>
      <w:pPr>
        <w:jc w:val="both"/>
        <w:ind w:left="140"/>
        <w:spacing w:after="0" w:line="268" w:lineRule="auto"/>
        <w:rPr>
          <w:sz w:val="20"/>
          <w:szCs w:val="20"/>
          <w:color w:val="auto"/>
        </w:rPr>
      </w:pPr>
      <w:r>
        <w:rPr>
          <w:rFonts w:ascii="Arial" w:cs="Arial" w:eastAsia="Arial" w:hAnsi="Arial"/>
          <w:sz w:val="14"/>
          <w:szCs w:val="14"/>
          <w:color w:val="auto"/>
        </w:rPr>
        <w:t>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Springing IP Event</w:t>
      </w:r>
      <w:r>
        <w:rPr>
          <w:rFonts w:ascii="Arial" w:cs="Arial" w:eastAsia="Arial" w:hAnsi="Arial"/>
          <w:sz w:val="13"/>
          <w:szCs w:val="13"/>
          <w:color w:val="auto"/>
        </w:rPr>
        <w:t>” means that, on any date, the Borrowers have allowed, as of the close of business on any day, the aggregate Borrower Unrestricted Cash to be less than</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$25,000,000.</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Stated Rate</w:t>
      </w:r>
      <w:r>
        <w:rPr>
          <w:rFonts w:ascii="Arial" w:cs="Arial" w:eastAsia="Arial" w:hAnsi="Arial"/>
          <w:sz w:val="14"/>
          <w:szCs w:val="14"/>
          <w:color w:val="auto"/>
        </w:rPr>
        <w:t>” has the meaning set forth in Section 2.7.</w:t>
      </w:r>
    </w:p>
    <w:p>
      <w:pPr>
        <w:spacing w:after="0" w:line="154" w:lineRule="exact"/>
        <w:rPr>
          <w:sz w:val="20"/>
          <w:szCs w:val="20"/>
          <w:color w:val="auto"/>
        </w:rPr>
      </w:pPr>
    </w:p>
    <w:p>
      <w:pPr>
        <w:jc w:val="both"/>
        <w:ind w:left="140" w:right="20" w:firstLine="836"/>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Subordinated Debt</w:t>
      </w:r>
      <w:r>
        <w:rPr>
          <w:rFonts w:ascii="Arial" w:cs="Arial" w:eastAsia="Arial" w:hAnsi="Arial"/>
          <w:sz w:val="14"/>
          <w:szCs w:val="14"/>
          <w:color w:val="auto"/>
        </w:rPr>
        <w:t>” means any Debt of Borrowers incurred pursuant to the terms of the Subordinated Debt Documents and with the prior written consent of Agent, all of which documents must be in form and substance acceptable to Agent in its sole discretion. As of the Closing Date, there is no Subordinated Debt.</w:t>
      </w:r>
    </w:p>
    <w:p>
      <w:pPr>
        <w:spacing w:after="0" w:line="11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Subordinated Debt Documents</w:t>
      </w:r>
      <w:r>
        <w:rPr>
          <w:rFonts w:ascii="Arial" w:cs="Arial" w:eastAsia="Arial" w:hAnsi="Arial"/>
          <w:sz w:val="14"/>
          <w:szCs w:val="14"/>
          <w:color w:val="auto"/>
        </w:rPr>
        <w:t>” means any documents evidencing and/or securing Debt governed by a Subordination Agreement, all of which documents must be in form and substance acceptable to Agent in its sole discretion. As of the Closing Date, there are no Subordinated Debt Documents.</w:t>
      </w:r>
    </w:p>
    <w:p>
      <w:pPr>
        <w:spacing w:after="0" w:line="110" w:lineRule="exact"/>
        <w:rPr>
          <w:sz w:val="20"/>
          <w:szCs w:val="20"/>
          <w:color w:val="auto"/>
        </w:rPr>
      </w:pPr>
    </w:p>
    <w:p>
      <w:pPr>
        <w:jc w:val="both"/>
        <w:ind w:left="140" w:right="20" w:firstLine="89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Subordination Agreement</w:t>
      </w:r>
      <w:r>
        <w:rPr>
          <w:rFonts w:ascii="Arial" w:cs="Arial" w:eastAsia="Arial" w:hAnsi="Arial"/>
          <w:sz w:val="14"/>
          <w:szCs w:val="14"/>
          <w:color w:val="auto"/>
        </w:rPr>
        <w:t>” means any agreement between Agent and another creditor of Borrowers, as the same may be amended, supplemented, restated or otherwise modified from time to time in accordance with the terms thereof, pursuant to which the Debt owing from any Borrower(s) and/or the Liens securing such Debt granted by any Borrower(s)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126" w:lineRule="exact"/>
        <w:rPr>
          <w:sz w:val="20"/>
          <w:szCs w:val="20"/>
          <w:color w:val="auto"/>
        </w:rPr>
      </w:pPr>
    </w:p>
    <w:p>
      <w:pPr>
        <w:jc w:val="both"/>
        <w:ind w:left="140" w:firstLine="837"/>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with respect to any Person, (a) any corporation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capital stock whether by proxy, agreement, operation of law or otherwise, and (b) any partnership or limited liability company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Borrower.</w:t>
      </w:r>
    </w:p>
    <w:p>
      <w:pPr>
        <w:spacing w:after="0" w:line="129" w:lineRule="exact"/>
        <w:rPr>
          <w:sz w:val="20"/>
          <w:szCs w:val="20"/>
          <w:color w:val="auto"/>
        </w:rPr>
      </w:pPr>
    </w:p>
    <w:p>
      <w:pPr>
        <w:jc w:val="both"/>
        <w:ind w:left="140" w:right="20" w:firstLine="89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Swap Contract</w:t>
      </w:r>
      <w:r>
        <w:rPr>
          <w:rFonts w:ascii="Arial" w:cs="Arial" w:eastAsia="Arial" w:hAnsi="Arial"/>
          <w:sz w:val="14"/>
          <w:szCs w:val="14"/>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Taxes</w:t>
      </w:r>
      <w:r>
        <w:rPr>
          <w:rFonts w:ascii="Arial" w:cs="Arial" w:eastAsia="Arial" w:hAnsi="Arial"/>
          <w:sz w:val="14"/>
          <w:szCs w:val="14"/>
          <w:color w:val="auto"/>
        </w:rPr>
        <w:t>” has the meaning set forth in Section 2.8.</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Termination Date</w:t>
      </w:r>
      <w:r>
        <w:rPr>
          <w:rFonts w:ascii="Arial" w:cs="Arial" w:eastAsia="Arial" w:hAnsi="Arial"/>
          <w:sz w:val="14"/>
          <w:szCs w:val="14"/>
          <w:color w:val="auto"/>
        </w:rPr>
        <w:t>” means the earlier to occur of (a) the Maturity Date, (b) any date on which Agent accelerates the maturity of the Loans pursuant to Section 10.2, or (c) the termination date stated in any notice of termination of this Agreement provided by Borrowers in accordance with Section 2.12.</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84" w:name="page85"/>
    <w:bookmarkEnd w:id="84"/>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w:t>
      </w:r>
      <w:r>
        <w:rPr>
          <w:rFonts w:ascii="Arial" w:cs="Arial" w:eastAsia="Arial" w:hAnsi="Arial"/>
          <w:sz w:val="14"/>
          <w:szCs w:val="14"/>
          <w:color w:val="auto"/>
        </w:rPr>
        <w:t>” has the meaning set forth in Section 2.1(a)(i).</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Commitment</w:t>
      </w:r>
      <w:r>
        <w:rPr>
          <w:rFonts w:ascii="Arial" w:cs="Arial" w:eastAsia="Arial" w:hAnsi="Arial"/>
          <w:sz w:val="13"/>
          <w:szCs w:val="13"/>
          <w:color w:val="auto"/>
        </w:rPr>
        <w:t>” means the sum of each Lender’s Term Loan Commitment Amount, which is equal to $20,000,000.00 in the aggregate for all such Lender’s as of the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Closing Date.</w:t>
      </w:r>
    </w:p>
    <w:p>
      <w:pPr>
        <w:spacing w:after="0" w:line="138" w:lineRule="exact"/>
        <w:rPr>
          <w:sz w:val="20"/>
          <w:szCs w:val="20"/>
          <w:color w:val="auto"/>
        </w:rPr>
      </w:pPr>
    </w:p>
    <w:p>
      <w:pPr>
        <w:jc w:val="both"/>
        <w:ind w:left="140" w:right="20" w:firstLine="837"/>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 Loan Commitment Amount</w:t>
      </w:r>
      <w:r>
        <w:rPr>
          <w:rFonts w:ascii="Arial" w:cs="Arial" w:eastAsia="Arial" w:hAnsi="Arial"/>
          <w:sz w:val="14"/>
          <w:szCs w:val="14"/>
          <w:color w:val="auto"/>
        </w:rPr>
        <w:t>” means, (a) as to any Lender that is a Lender on the Closing Date, the dollar amount set forth opposite such Lender’s name on the Commitment Annex under the column “Term Loan Commitment Amount”,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 and (b) as to any Lender that becomes a Lender after the Closing Date, the amount of the “Term Loan Commitment Amount(s)” of other Lender(s) assigned to such new Lender pursuant to the terms of the effective assignment agreement(s) pursuant to which such new Lender shall become a Lender, as such amount may be adjusted from time to time by any amounts assigned (with respect to such Lender’s portion of Term Loans outstanding and its commitment to make advances in respect of the Term Loan) pursuant to the terms of any and all effective assignment agreements to which such Lender is a party.</w:t>
      </w:r>
    </w:p>
    <w:p>
      <w:pPr>
        <w:spacing w:after="0" w:line="129" w:lineRule="exact"/>
        <w:rPr>
          <w:sz w:val="20"/>
          <w:szCs w:val="20"/>
          <w:color w:val="auto"/>
        </w:rPr>
      </w:pPr>
    </w:p>
    <w:p>
      <w:pPr>
        <w:jc w:val="both"/>
        <w:ind w:left="140" w:right="20" w:firstLine="837"/>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Term Loan Commitment Percentage</w:t>
      </w:r>
      <w:r>
        <w:rPr>
          <w:rFonts w:ascii="Arial" w:cs="Arial" w:eastAsia="Arial" w:hAnsi="Arial"/>
          <w:sz w:val="13"/>
          <w:szCs w:val="13"/>
          <w:color w:val="auto"/>
        </w:rPr>
        <w:t xml:space="preserve">” means, as to any Lender, (a) on the Closing Date, the percentage set forth opposite such Lender’s name on the Commitment Annex under the column “Term Loan Commitment Percentage” (if such Lender’s name is not so set forth thereon, then, on the Closing Date, such percentage for such Lender shall be deemed to be zero), and (b) on any date following the Closing Date, the percentage equal to the Term Loan Commitment Amount of such Lender on such date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Term Loan Commitment on such date.</w:t>
      </w:r>
    </w:p>
    <w:p>
      <w:pPr>
        <w:spacing w:after="0" w:line="103"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 Payor</w:t>
      </w:r>
      <w:r>
        <w:rPr>
          <w:rFonts w:ascii="Arial" w:cs="Arial" w:eastAsia="Arial" w:hAnsi="Arial"/>
          <w:sz w:val="14"/>
          <w:szCs w:val="14"/>
          <w:color w:val="auto"/>
        </w:rPr>
        <w:t>” means Medicare, Medicaid, TRICARE, and other state or federal health care program, Blue Cross and/or Blue Shield, private insurers, managed care plans and any other Person or entity which presently or in the future maintains Third Party Payor Programs.</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 Payor Programs</w:t>
      </w:r>
      <w:r>
        <w:rPr>
          <w:rFonts w:ascii="Arial" w:cs="Arial" w:eastAsia="Arial" w:hAnsi="Arial"/>
          <w:sz w:val="14"/>
          <w:szCs w:val="14"/>
          <w:color w:val="auto"/>
        </w:rPr>
        <w:t>” means all payment and reimbursement programs, sponsored by a Third Party Payor, in which a Borrower participates.</w:t>
      </w:r>
    </w:p>
    <w:p>
      <w:pPr>
        <w:spacing w:after="0" w:line="154"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TRICARE</w:t>
      </w:r>
      <w:r>
        <w:rPr>
          <w:rFonts w:ascii="Arial" w:cs="Arial" w:eastAsia="Arial" w:hAnsi="Arial"/>
          <w:sz w:val="14"/>
          <w:szCs w:val="14"/>
          <w:color w:val="auto"/>
        </w:rPr>
        <w:t>” means the program administered pursuant to 10 U.S.C. Section 1071 et. seq), Sections 1320a-7 and 1320a-7a of Title 42 of the United States Code and the regulations promulgated pursuant to such statutes.</w:t>
      </w:r>
    </w:p>
    <w:p>
      <w:pPr>
        <w:spacing w:after="0" w:line="11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UCC</w:t>
      </w:r>
      <w:r>
        <w:rPr>
          <w:rFonts w:ascii="Arial" w:cs="Arial" w:eastAsia="Arial" w:hAnsi="Arial"/>
          <w:sz w:val="14"/>
          <w:szCs w:val="14"/>
          <w:color w:val="auto"/>
        </w:rPr>
        <w:t>” means the Uniform Commercial Code of the State of New York or of any other state the laws of which are required to be applied in connection with the perfection of security interests in any Collateral.</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United States</w:t>
      </w:r>
      <w:r>
        <w:rPr>
          <w:rFonts w:ascii="Arial" w:cs="Arial" w:eastAsia="Arial" w:hAnsi="Arial"/>
          <w:sz w:val="14"/>
          <w:szCs w:val="14"/>
          <w:color w:val="auto"/>
        </w:rPr>
        <w:t>” means the United States of America.</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Venus Escrow Agreement</w:t>
      </w:r>
      <w:r>
        <w:rPr>
          <w:rFonts w:ascii="Arial" w:cs="Arial" w:eastAsia="Arial" w:hAnsi="Arial"/>
          <w:sz w:val="14"/>
          <w:szCs w:val="14"/>
          <w:color w:val="auto"/>
        </w:rPr>
        <w:t>” means the “Escrow Agreement”, as defined in the Venus Purchase Agreement.</w:t>
      </w:r>
    </w:p>
    <w:p>
      <w:pPr>
        <w:spacing w:after="0" w:line="154"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Venus Purchase Agreement</w:t>
      </w:r>
      <w:r>
        <w:rPr>
          <w:rFonts w:ascii="Arial" w:cs="Arial" w:eastAsia="Arial" w:hAnsi="Arial"/>
          <w:sz w:val="14"/>
          <w:szCs w:val="14"/>
          <w:color w:val="auto"/>
        </w:rPr>
        <w:t>” means that certain LLC Purchase Agreement, dated as of August 31, 2017, by and among Aptevo Therapeutics, Aptevo BioTherapeutics, Saol International Limited, a Bermuda company, and Venus BioTherapeutics Sub LLC, a Delaware limited liability company.</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85" w:name="page86"/>
    <w:bookmarkEnd w:id="85"/>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Venus Purchase Documents</w:t>
      </w:r>
      <w:r>
        <w:rPr>
          <w:rFonts w:ascii="Arial" w:cs="Arial" w:eastAsia="Arial" w:hAnsi="Arial"/>
          <w:sz w:val="14"/>
          <w:szCs w:val="14"/>
          <w:color w:val="auto"/>
        </w:rPr>
        <w:t>” means the Venus Purchase Agreement, the Venus Escrow Agreement and each other material agreement and/or instrument executed by Borrower in connection therewith.</w:t>
      </w:r>
    </w:p>
    <w:p>
      <w:pPr>
        <w:spacing w:after="0" w:line="11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Cash Collateral Account</w:t>
      </w:r>
      <w:r>
        <w:rPr>
          <w:rFonts w:ascii="Arial" w:cs="Arial" w:eastAsia="Arial" w:hAnsi="Arial"/>
          <w:sz w:val="14"/>
          <w:szCs w:val="14"/>
          <w:color w:val="auto"/>
        </w:rPr>
        <w:t xml:space="preserve">” means that certain Deposit Account #4059551978 of Borrower at Wells Fargo established and maintained for the sole purpose of providing cash collateral in favor of Wells Fargo for obligations of Borrower in respect of certain commercial credit credits provided to Borrower by Wells Fargo;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amount on deposit in such Deposit Account shall not at any time exceed $400,000.</w:t>
      </w:r>
    </w:p>
    <w:p>
      <w:pPr>
        <w:spacing w:after="0" w:line="120"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LC Cash Collateral Account</w:t>
      </w:r>
      <w:r>
        <w:rPr>
          <w:rFonts w:ascii="Arial" w:cs="Arial" w:eastAsia="Arial" w:hAnsi="Arial"/>
          <w:sz w:val="14"/>
          <w:szCs w:val="14"/>
          <w:color w:val="auto"/>
        </w:rPr>
        <w:t>” means one or more certificates of deposit of Borrower maintained at Wells Fargo (including without limitation certificate of deposit number 1139862385) that are segregated from and not commingled with any other funds of Borrower or its Subsidiaries, the aggregate balance of which shall not at any time exceed 105% of the face value of the Wells Fargo Letters of Credit then outstanding, and which shall constitute the sole security for the obligations of Borrower under the Wells Fargo Standby Letter of Credit Agreement and the Wells Fargo Letters of Credit.</w:t>
      </w:r>
    </w:p>
    <w:p>
      <w:pPr>
        <w:spacing w:after="0" w:line="126"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LC Period</w:t>
      </w:r>
      <w:r>
        <w:rPr>
          <w:rFonts w:ascii="Arial" w:cs="Arial" w:eastAsia="Arial" w:hAnsi="Arial"/>
          <w:sz w:val="14"/>
          <w:szCs w:val="14"/>
          <w:color w:val="auto"/>
        </w:rPr>
        <w:t>” means the period commencing on the February 23, 2018and terminating on the date Borrower receives all or substantially all of its anticipated value added tax refunds from the Italian government, the Wells Fargo Letters of Credit have expired or been terminated and the Borrower’s obligations under the Wells Fargo Standby Letter of Credit Agreement have terminated.</w:t>
      </w:r>
    </w:p>
    <w:p>
      <w:pPr>
        <w:spacing w:after="0" w:line="120"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Letters of Credit</w:t>
      </w:r>
      <w:r>
        <w:rPr>
          <w:rFonts w:ascii="Arial" w:cs="Arial" w:eastAsia="Arial" w:hAnsi="Arial"/>
          <w:sz w:val="14"/>
          <w:szCs w:val="14"/>
          <w:color w:val="auto"/>
        </w:rPr>
        <w:t xml:space="preserve">” means those certain letters of credit issued during the Wells Fargo LC Period by Wells Fargo for the account of Borrowers pursuant to the Wells Fargo Standby Letter of Credit Agreement, but solely to the extent required by the beneficiary thereof in order for Borrowers to receive value added tax refunds from the Italian government;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however, that the aggregate face value of all such letters of credit may not exceed $3,500,000 at any time outstanding.</w:t>
      </w:r>
    </w:p>
    <w:p>
      <w:pPr>
        <w:spacing w:after="0" w:line="12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Wells Fargo Standby Letter of Credit Agreement</w:t>
      </w:r>
      <w:r>
        <w:rPr>
          <w:rFonts w:ascii="Arial" w:cs="Arial" w:eastAsia="Arial" w:hAnsi="Arial"/>
          <w:sz w:val="14"/>
          <w:szCs w:val="14"/>
          <w:color w:val="auto"/>
        </w:rPr>
        <w:t>” means that certain Standby Letter of Credit Agreement, dated as of February 23, 2018, pursuant to which Wells Fargo has agreed to issue letters of credit for the account of Borrower and Borrower has agreed to reimburse Wells Fargo for amounts drawn under such letters of credit, as amended, supplemented or otherwise modified from time to time in accordance with the terms hereof and thereof.</w:t>
      </w:r>
    </w:p>
    <w:p>
      <w:pPr>
        <w:spacing w:after="0" w:line="120" w:lineRule="exact"/>
        <w:rPr>
          <w:sz w:val="20"/>
          <w:szCs w:val="20"/>
          <w:color w:val="auto"/>
        </w:rPr>
      </w:pPr>
    </w:p>
    <w:p>
      <w:pPr>
        <w:jc w:val="both"/>
        <w:ind w:left="140" w:firstLine="837"/>
        <w:spacing w:after="0" w:line="267" w:lineRule="auto"/>
        <w:rPr>
          <w:sz w:val="20"/>
          <w:szCs w:val="20"/>
          <w:color w:val="auto"/>
        </w:rPr>
      </w:pPr>
      <w:r>
        <w:rPr>
          <w:rFonts w:ascii="Arial" w:cs="Arial" w:eastAsia="Arial" w:hAnsi="Arial"/>
          <w:sz w:val="13"/>
          <w:szCs w:val="13"/>
          <w:b w:val="1"/>
          <w:bCs w:val="1"/>
          <w:color w:val="auto"/>
        </w:rPr>
        <w:t xml:space="preserve">Section 1.2 </w:t>
      </w:r>
      <w:r>
        <w:rPr>
          <w:rFonts w:ascii="Arial" w:cs="Arial" w:eastAsia="Arial" w:hAnsi="Arial"/>
          <w:sz w:val="13"/>
          <w:szCs w:val="13"/>
          <w:u w:val="single" w:color="auto"/>
          <w:color w:val="auto"/>
        </w:rPr>
        <w:t>Accounting Terms and Determinations</w:t>
      </w:r>
      <w:r>
        <w:rPr>
          <w:rFonts w:ascii="Arial" w:cs="Arial" w:eastAsia="Arial" w:hAnsi="Arial"/>
          <w:sz w:val="13"/>
          <w:szCs w:val="13"/>
          <w:color w:val="auto"/>
        </w:rPr>
        <w:t>. Unless otherwise specified herein, all accounting terms used herein shall be interpreted, all accounting determinations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Borrower and its Consolidated Subsidiaries delivered to Agent on or prior to the Closing Date. If at any time any change in GAAP would affect the 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Any obligations of a Person under a lease (whether existing now or entered into in the future) that is not (or would not be) a capital lease obligation under GAAP as in effect prior to giving effect to FASB</w:t>
      </w:r>
    </w:p>
    <w:p>
      <w:pPr>
        <w:spacing w:after="0" w:line="283"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86" w:name="page87"/>
    <w:bookmarkEnd w:id="86"/>
    <w:p>
      <w:pPr>
        <w:jc w:val="both"/>
        <w:ind w:left="140" w:right="20"/>
        <w:spacing w:after="0" w:line="250" w:lineRule="auto"/>
        <w:rPr>
          <w:sz w:val="20"/>
          <w:szCs w:val="20"/>
          <w:color w:val="auto"/>
        </w:rPr>
      </w:pPr>
      <w:r>
        <w:rPr>
          <w:rFonts w:ascii="Arial" w:cs="Arial" w:eastAsia="Arial" w:hAnsi="Arial"/>
          <w:sz w:val="14"/>
          <w:szCs w:val="14"/>
          <w:color w:val="auto"/>
        </w:rPr>
        <w:t>Accounting Standards Update No. 2016-02, Leases, shall not be treated as a capital lease obligation solely as a result of the adoption of changes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p>
    <w:p>
      <w:pPr>
        <w:spacing w:after="0" w:line="127" w:lineRule="exact"/>
        <w:rPr>
          <w:sz w:val="20"/>
          <w:szCs w:val="20"/>
          <w:color w:val="auto"/>
        </w:rPr>
      </w:pPr>
    </w:p>
    <w:p>
      <w:pPr>
        <w:jc w:val="both"/>
        <w:ind w:left="140" w:firstLine="837"/>
        <w:spacing w:after="0" w:line="265" w:lineRule="auto"/>
        <w:rPr>
          <w:sz w:val="20"/>
          <w:szCs w:val="20"/>
          <w:color w:val="auto"/>
        </w:rPr>
      </w:pPr>
      <w:r>
        <w:rPr>
          <w:rFonts w:ascii="Arial" w:cs="Arial" w:eastAsia="Arial" w:hAnsi="Arial"/>
          <w:sz w:val="13"/>
          <w:szCs w:val="13"/>
          <w:b w:val="1"/>
          <w:bCs w:val="1"/>
          <w:color w:val="auto"/>
        </w:rPr>
        <w:t xml:space="preserve">Section 1.3 </w:t>
      </w:r>
      <w:r>
        <w:rPr>
          <w:rFonts w:ascii="Arial" w:cs="Arial" w:eastAsia="Arial" w:hAnsi="Arial"/>
          <w:sz w:val="13"/>
          <w:szCs w:val="13"/>
          <w:u w:val="single" w:color="auto"/>
          <w:color w:val="auto"/>
        </w:rPr>
        <w:t>Other Definitional and Interpretive Provisions</w:t>
      </w:r>
      <w:r>
        <w:rPr>
          <w:rFonts w:ascii="Arial" w:cs="Arial" w:eastAsia="Arial" w:hAnsi="Arial"/>
          <w:sz w:val="13"/>
          <w:szCs w:val="13"/>
          <w:color w:val="auto"/>
        </w:rPr>
        <w:t>. References in this Agreement to “Articles”, “Sections”, “Annexes”, “Exhibits”, or “Schedules” shall be to Articles, Sections,</w:t>
      </w:r>
      <w:r>
        <w:rPr>
          <w:rFonts w:ascii="Arial" w:cs="Arial" w:eastAsia="Arial" w:hAnsi="Arial"/>
          <w:sz w:val="13"/>
          <w:szCs w:val="13"/>
          <w:b w:val="1"/>
          <w:bCs w:val="1"/>
          <w:color w:val="auto"/>
        </w:rPr>
        <w:t xml:space="preserve"> </w:t>
      </w:r>
      <w:r>
        <w:rPr>
          <w:rFonts w:ascii="Arial" w:cs="Arial" w:eastAsia="Arial" w:hAnsi="Arial"/>
          <w:sz w:val="13"/>
          <w:szCs w:val="13"/>
          <w:color w:val="auto"/>
        </w:rPr>
        <w:t>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References to any statute or act shall include all related current regulations and all amendments to such statutes, acts and regulations,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References to any agreement, instrument or document shall include all amendments thereto, to the extent permitted herby. As used in this Agreement, the meaning of the term “material” or the phrase “in all material respects” is intended to refer to an act, omission, violation or condition which reflects or would reasonably be expected to result in a Material Adverse Effect. References to capitalized terms that are not defined herein, but are defined in the UCC, shall have the meanings given them in the UCC. All references herein to times of day shall be references to daylight or standard time, as applicable.</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2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0" w:type="dxa"/>
            <w:vAlign w:val="bottom"/>
          </w:tcPr>
          <w:p>
            <w:pPr>
              <w:ind w:left="840"/>
              <w:spacing w:after="0"/>
              <w:rPr>
                <w:sz w:val="20"/>
                <w:szCs w:val="20"/>
                <w:color w:val="auto"/>
              </w:rPr>
            </w:pPr>
            <w:r>
              <w:rPr>
                <w:rFonts w:ascii="Arial" w:cs="Arial" w:eastAsia="Arial" w:hAnsi="Arial"/>
                <w:sz w:val="14"/>
                <w:szCs w:val="14"/>
                <w:b w:val="1"/>
                <w:bCs w:val="1"/>
                <w:color w:val="auto"/>
              </w:rPr>
              <w:t xml:space="preserve">ARTICLE 2 </w:t>
            </w:r>
            <w:r>
              <w:rPr>
                <w:rFonts w:ascii="Arial" w:cs="Arial" w:eastAsia="Arial" w:hAnsi="Arial"/>
                <w:sz w:val="14"/>
                <w:szCs w:val="14"/>
                <w:color w:val="auto"/>
              </w:rPr>
              <w:t>- LOANS</w:t>
            </w:r>
          </w:p>
        </w:tc>
      </w:tr>
      <w:tr>
        <w:trPr>
          <w:trHeight w:val="283"/>
        </w:trPr>
        <w:tc>
          <w:tcPr>
            <w:tcW w:w="2600" w:type="dxa"/>
            <w:vAlign w:val="bottom"/>
          </w:tcPr>
          <w:p>
            <w:pPr>
              <w:ind w:left="780"/>
              <w:spacing w:after="0"/>
              <w:rPr>
                <w:sz w:val="20"/>
                <w:szCs w:val="20"/>
                <w:color w:val="auto"/>
              </w:rPr>
            </w:pPr>
            <w:r>
              <w:rPr>
                <w:rFonts w:ascii="Arial" w:cs="Arial" w:eastAsia="Arial" w:hAnsi="Arial"/>
                <w:sz w:val="14"/>
                <w:szCs w:val="14"/>
                <w:b w:val="1"/>
                <w:bCs w:val="1"/>
                <w:color w:val="auto"/>
              </w:rPr>
              <w:t>Section 2.1</w:t>
            </w:r>
          </w:p>
        </w:tc>
        <w:tc>
          <w:tcPr>
            <w:tcW w:w="2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rPr>
              <w:t>Loans.</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85"/>
        </w:trPr>
        <w:tc>
          <w:tcPr>
            <w:tcW w:w="2600" w:type="dxa"/>
            <w:vAlign w:val="bottom"/>
          </w:tcPr>
          <w:p>
            <w:pPr>
              <w:ind w:left="1740"/>
              <w:spacing w:after="0"/>
              <w:rPr>
                <w:sz w:val="20"/>
                <w:szCs w:val="20"/>
                <w:color w:val="auto"/>
              </w:rPr>
            </w:pPr>
            <w:r>
              <w:rPr>
                <w:rFonts w:ascii="Arial" w:cs="Arial" w:eastAsia="Arial" w:hAnsi="Arial"/>
                <w:sz w:val="14"/>
                <w:szCs w:val="14"/>
                <w:color w:val="auto"/>
              </w:rPr>
              <w:t>(a)</w:t>
            </w:r>
          </w:p>
        </w:tc>
        <w:tc>
          <w:tcPr>
            <w:tcW w:w="8400" w:type="dxa"/>
            <w:vAlign w:val="bottom"/>
            <w:gridSpan w:val="5"/>
          </w:tcPr>
          <w:p>
            <w:pPr>
              <w:spacing w:after="0"/>
              <w:rPr>
                <w:sz w:val="20"/>
                <w:szCs w:val="20"/>
                <w:color w:val="auto"/>
              </w:rPr>
            </w:pPr>
            <w:r>
              <w:rPr>
                <w:rFonts w:ascii="Arial" w:cs="Arial" w:eastAsia="Arial" w:hAnsi="Arial"/>
                <w:sz w:val="14"/>
                <w:szCs w:val="14"/>
                <w:color w:val="auto"/>
              </w:rPr>
              <w:t>Term Loans.</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85"/>
        </w:trPr>
        <w:tc>
          <w:tcPr>
            <w:tcW w:w="2600" w:type="dxa"/>
            <w:vAlign w:val="bottom"/>
          </w:tcPr>
          <w:p>
            <w:pPr>
              <w:spacing w:after="0"/>
              <w:rPr>
                <w:sz w:val="20"/>
                <w:szCs w:val="20"/>
                <w:color w:val="auto"/>
              </w:rPr>
            </w:pPr>
            <w:r>
              <w:rPr>
                <w:rFonts w:ascii="Arial" w:cs="Arial" w:eastAsia="Arial" w:hAnsi="Arial"/>
                <w:sz w:val="14"/>
                <w:szCs w:val="14"/>
                <w:color w:val="auto"/>
              </w:rPr>
              <w:t>(i)</w:t>
            </w:r>
          </w:p>
        </w:tc>
        <w:tc>
          <w:tcPr>
            <w:tcW w:w="280" w:type="dxa"/>
            <w:vAlign w:val="bottom"/>
          </w:tcPr>
          <w:p>
            <w:pPr>
              <w:spacing w:after="0"/>
              <w:rPr>
                <w:sz w:val="24"/>
                <w:szCs w:val="24"/>
                <w:color w:val="auto"/>
              </w:rPr>
            </w:pPr>
          </w:p>
        </w:tc>
        <w:tc>
          <w:tcPr>
            <w:tcW w:w="8120" w:type="dxa"/>
            <w:vAlign w:val="bottom"/>
            <w:gridSpan w:val="4"/>
          </w:tcPr>
          <w:p>
            <w:pPr>
              <w:spacing w:after="0"/>
              <w:rPr>
                <w:sz w:val="20"/>
                <w:szCs w:val="20"/>
                <w:color w:val="auto"/>
              </w:rPr>
            </w:pPr>
            <w:r>
              <w:rPr>
                <w:rFonts w:ascii="Arial" w:cs="Arial" w:eastAsia="Arial" w:hAnsi="Arial"/>
                <w:sz w:val="14"/>
                <w:szCs w:val="14"/>
                <w:color w:val="auto"/>
                <w:w w:val="86"/>
              </w:rPr>
              <w:t>Term Loan Amounts. On the terms and subject to the conditions set forth herein and in the other Financing Documents, each Lender with a Term Loan</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1660" w:right="120"/>
        <w:spacing w:after="0" w:line="272" w:lineRule="auto"/>
        <w:rPr>
          <w:sz w:val="20"/>
          <w:szCs w:val="20"/>
          <w:color w:val="auto"/>
        </w:rPr>
      </w:pPr>
      <w:r>
        <w:rPr>
          <w:rFonts w:ascii="Arial" w:cs="Arial" w:eastAsia="Arial" w:hAnsi="Arial"/>
          <w:sz w:val="13"/>
          <w:szCs w:val="13"/>
          <w:color w:val="auto"/>
        </w:rPr>
        <w:t>Commitment severally hereby agrees to make to Borrowers a term loan on the Closing Date in an original aggregate principal amount equal to the Term Loan Commitment (the “</w:t>
      </w:r>
      <w:r>
        <w:rPr>
          <w:rFonts w:ascii="Arial" w:cs="Arial" w:eastAsia="Arial" w:hAnsi="Arial"/>
          <w:sz w:val="13"/>
          <w:szCs w:val="13"/>
          <w:b w:val="1"/>
          <w:bCs w:val="1"/>
          <w:color w:val="auto"/>
        </w:rPr>
        <w:t>Term Loan</w:t>
      </w:r>
      <w:r>
        <w:rPr>
          <w:rFonts w:ascii="Arial" w:cs="Arial" w:eastAsia="Arial" w:hAnsi="Arial"/>
          <w:sz w:val="13"/>
          <w:szCs w:val="13"/>
          <w:color w:val="auto"/>
        </w:rPr>
        <w:t>”). Each such Lender’s obligation to fund the Term Loan shall be limited to such Lender’s Term Loan Commitment Percentage, and no Lender shall have any obligation to fund any portion of any Term Loan required to be funded by any other Lender, but not so funded. No Borrower shall have any right to reborrow any portion of the Term Loan that is repaid or prepaid from time to time. The Term Loan shall be deemed to be funded in one advance on the Closing Date by rolling over the outstanding principal amount of the Term Loans under (and as defined in) the Original Credit Agreement.</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1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87" w:name="page88"/>
    <w:bookmarkEnd w:id="87"/>
    <w:tbl>
      <w:tblPr>
        <w:tblLayout w:type="fixed"/>
        <w:tblInd w:w="400" w:type="dxa"/>
        <w:tblCellMar>
          <w:top w:w="0" w:type="dxa"/>
          <w:left w:w="0" w:type="dxa"/>
          <w:bottom w:w="0" w:type="dxa"/>
          <w:right w:w="0" w:type="dxa"/>
        </w:tblCellMar>
      </w:tblPr>
      <w:tr>
        <w:trPr>
          <w:trHeight w:val="161"/>
        </w:trPr>
        <w:tc>
          <w:tcPr>
            <w:tcW w:w="2680" w:type="dxa"/>
            <w:vAlign w:val="bottom"/>
          </w:tcPr>
          <w:p>
            <w:pPr>
              <w:ind w:left="2320"/>
              <w:spacing w:after="0"/>
              <w:rPr>
                <w:sz w:val="20"/>
                <w:szCs w:val="20"/>
                <w:color w:val="auto"/>
              </w:rPr>
            </w:pPr>
            <w:r>
              <w:rPr>
                <w:rFonts w:ascii="Arial" w:cs="Arial" w:eastAsia="Arial" w:hAnsi="Arial"/>
                <w:sz w:val="14"/>
                <w:szCs w:val="14"/>
                <w:color w:val="auto"/>
              </w:rPr>
              <w:t>(ii)</w:t>
            </w:r>
          </w:p>
        </w:tc>
        <w:tc>
          <w:tcPr>
            <w:tcW w:w="480" w:type="dxa"/>
            <w:vAlign w:val="bottom"/>
          </w:tcPr>
          <w:p>
            <w:pPr>
              <w:spacing w:after="0"/>
              <w:rPr>
                <w:sz w:val="14"/>
                <w:szCs w:val="14"/>
                <w:color w:val="auto"/>
              </w:rPr>
            </w:pPr>
          </w:p>
        </w:tc>
        <w:tc>
          <w:tcPr>
            <w:tcW w:w="7780" w:type="dxa"/>
            <w:vAlign w:val="bottom"/>
            <w:gridSpan w:val="3"/>
          </w:tcPr>
          <w:p>
            <w:pPr>
              <w:jc w:val="right"/>
              <w:ind w:right="3840"/>
              <w:spacing w:after="0"/>
              <w:rPr>
                <w:sz w:val="20"/>
                <w:szCs w:val="20"/>
                <w:color w:val="auto"/>
              </w:rPr>
            </w:pPr>
            <w:r>
              <w:rPr>
                <w:rFonts w:ascii="Arial" w:cs="Arial" w:eastAsia="Arial" w:hAnsi="Arial"/>
                <w:sz w:val="14"/>
                <w:szCs w:val="14"/>
                <w:color w:val="auto"/>
                <w:w w:val="85"/>
              </w:rPr>
              <w:t>Scheduled Repayments; Mandatory Prepayments; Optional Prepayments.</w:t>
            </w:r>
          </w:p>
        </w:tc>
      </w:tr>
      <w:tr>
        <w:trPr>
          <w:trHeight w:val="20"/>
        </w:trPr>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85"/>
        </w:trPr>
        <w:tc>
          <w:tcPr>
            <w:tcW w:w="2680" w:type="dxa"/>
            <w:vAlign w:val="bottom"/>
          </w:tcPr>
          <w:p>
            <w:pPr>
              <w:spacing w:after="0"/>
              <w:rPr>
                <w:sz w:val="20"/>
                <w:szCs w:val="20"/>
                <w:color w:val="auto"/>
              </w:rPr>
            </w:pPr>
            <w:r>
              <w:rPr>
                <w:rFonts w:ascii="Arial" w:cs="Arial" w:eastAsia="Arial" w:hAnsi="Arial"/>
                <w:sz w:val="14"/>
                <w:szCs w:val="14"/>
                <w:color w:val="auto"/>
              </w:rPr>
              <w:t>(A)</w:t>
            </w:r>
          </w:p>
        </w:tc>
        <w:tc>
          <w:tcPr>
            <w:tcW w:w="8260" w:type="dxa"/>
            <w:vAlign w:val="bottom"/>
            <w:gridSpan w:val="4"/>
          </w:tcPr>
          <w:p>
            <w:pPr>
              <w:jc w:val="right"/>
              <w:spacing w:after="0"/>
              <w:rPr>
                <w:sz w:val="20"/>
                <w:szCs w:val="20"/>
                <w:color w:val="auto"/>
              </w:rPr>
            </w:pPr>
            <w:r>
              <w:rPr>
                <w:rFonts w:ascii="Arial" w:cs="Arial" w:eastAsia="Arial" w:hAnsi="Arial"/>
                <w:sz w:val="14"/>
                <w:szCs w:val="14"/>
                <w:color w:val="auto"/>
                <w:w w:val="94"/>
              </w:rPr>
              <w:t>There shall become due and payable, and Borrowers shall repay each Term Loan through, scheduled payments as set forth on Schedule 2.1</w:t>
            </w:r>
          </w:p>
        </w:tc>
      </w:tr>
      <w:tr>
        <w:trPr>
          <w:trHeight w:val="20"/>
        </w:trPr>
        <w:tc>
          <w:tcPr>
            <w:tcW w:w="10200" w:type="dxa"/>
            <w:vAlign w:val="bottom"/>
            <w:gridSpan w:val="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58"/>
        </w:trPr>
        <w:tc>
          <w:tcPr>
            <w:tcW w:w="10940" w:type="dxa"/>
            <w:vAlign w:val="bottom"/>
            <w:gridSpan w:val="5"/>
          </w:tcPr>
          <w:p>
            <w:pPr>
              <w:jc w:val="right"/>
              <w:spacing w:after="0" w:line="159" w:lineRule="exact"/>
              <w:rPr>
                <w:sz w:val="20"/>
                <w:szCs w:val="20"/>
                <w:color w:val="auto"/>
              </w:rPr>
            </w:pPr>
            <w:r>
              <w:rPr>
                <w:rFonts w:ascii="Arial" w:cs="Arial" w:eastAsia="Arial" w:hAnsi="Arial"/>
                <w:sz w:val="14"/>
                <w:szCs w:val="14"/>
                <w:color w:val="auto"/>
              </w:rPr>
              <w:t>attached hereto. Notwithstanding the payment schedule set forth above, the outstanding principal amount of each Term Loan shall become immediately due and payable in</w:t>
            </w:r>
          </w:p>
        </w:tc>
      </w:tr>
      <w:tr>
        <w:trPr>
          <w:trHeight w:val="179"/>
        </w:trPr>
        <w:tc>
          <w:tcPr>
            <w:tcW w:w="10940" w:type="dxa"/>
            <w:vAlign w:val="bottom"/>
            <w:gridSpan w:val="5"/>
          </w:tcPr>
          <w:p>
            <w:pPr>
              <w:ind w:left="1440"/>
              <w:spacing w:after="0"/>
              <w:rPr>
                <w:sz w:val="20"/>
                <w:szCs w:val="20"/>
                <w:color w:val="auto"/>
              </w:rPr>
            </w:pPr>
            <w:r>
              <w:rPr>
                <w:rFonts w:ascii="Arial" w:cs="Arial" w:eastAsia="Arial" w:hAnsi="Arial"/>
                <w:sz w:val="14"/>
                <w:szCs w:val="14"/>
                <w:color w:val="auto"/>
              </w:rPr>
              <w:t>full on the Termination Date.</w:t>
            </w:r>
          </w:p>
        </w:tc>
      </w:tr>
      <w:tr>
        <w:trPr>
          <w:trHeight w:val="315"/>
        </w:trPr>
        <w:tc>
          <w:tcPr>
            <w:tcW w:w="2680" w:type="dxa"/>
            <w:vAlign w:val="bottom"/>
          </w:tcPr>
          <w:p>
            <w:pPr>
              <w:spacing w:after="0"/>
              <w:rPr>
                <w:sz w:val="20"/>
                <w:szCs w:val="20"/>
                <w:color w:val="auto"/>
              </w:rPr>
            </w:pPr>
            <w:r>
              <w:rPr>
                <w:rFonts w:ascii="Arial" w:cs="Arial" w:eastAsia="Arial" w:hAnsi="Arial"/>
                <w:sz w:val="14"/>
                <w:szCs w:val="14"/>
                <w:color w:val="auto"/>
              </w:rPr>
              <w:t>(B)</w:t>
            </w:r>
          </w:p>
        </w:tc>
        <w:tc>
          <w:tcPr>
            <w:tcW w:w="8260" w:type="dxa"/>
            <w:vAlign w:val="bottom"/>
            <w:gridSpan w:val="4"/>
          </w:tcPr>
          <w:p>
            <w:pPr>
              <w:jc w:val="right"/>
              <w:ind w:right="740"/>
              <w:spacing w:after="0"/>
              <w:rPr>
                <w:sz w:val="20"/>
                <w:szCs w:val="20"/>
                <w:color w:val="auto"/>
              </w:rPr>
            </w:pPr>
            <w:r>
              <w:rPr>
                <w:rFonts w:ascii="Arial" w:cs="Arial" w:eastAsia="Arial" w:hAnsi="Arial"/>
                <w:sz w:val="14"/>
                <w:szCs w:val="14"/>
                <w:color w:val="auto"/>
                <w:w w:val="90"/>
              </w:rPr>
              <w:t>There shall become due and payable and Borrowers shall prepay the Term Loans in the following amounts and at the following times:</w:t>
            </w:r>
          </w:p>
        </w:tc>
      </w:tr>
      <w:tr>
        <w:trPr>
          <w:trHeight w:val="299"/>
        </w:trPr>
        <w:tc>
          <w:tcPr>
            <w:tcW w:w="2680" w:type="dxa"/>
            <w:vAlign w:val="bottom"/>
          </w:tcPr>
          <w:p>
            <w:pPr>
              <w:ind w:left="860"/>
              <w:spacing w:after="0"/>
              <w:rPr>
                <w:sz w:val="20"/>
                <w:szCs w:val="20"/>
                <w:color w:val="auto"/>
              </w:rPr>
            </w:pPr>
            <w:r>
              <w:rPr>
                <w:rFonts w:ascii="Arial" w:cs="Arial" w:eastAsia="Arial" w:hAnsi="Arial"/>
                <w:sz w:val="15"/>
                <w:szCs w:val="15"/>
                <w:color w:val="auto"/>
              </w:rPr>
              <w:t>(i)</w:t>
            </w:r>
          </w:p>
        </w:tc>
        <w:tc>
          <w:tcPr>
            <w:tcW w:w="480" w:type="dxa"/>
            <w:vAlign w:val="bottom"/>
          </w:tcPr>
          <w:p>
            <w:pPr>
              <w:spacing w:after="0"/>
              <w:rPr>
                <w:sz w:val="24"/>
                <w:szCs w:val="24"/>
                <w:color w:val="auto"/>
              </w:rPr>
            </w:pPr>
          </w:p>
        </w:tc>
        <w:tc>
          <w:tcPr>
            <w:tcW w:w="7780" w:type="dxa"/>
            <w:vAlign w:val="bottom"/>
            <w:gridSpan w:val="3"/>
          </w:tcPr>
          <w:p>
            <w:pPr>
              <w:jc w:val="right"/>
              <w:spacing w:after="0"/>
              <w:rPr>
                <w:sz w:val="20"/>
                <w:szCs w:val="20"/>
                <w:color w:val="auto"/>
              </w:rPr>
            </w:pPr>
            <w:r>
              <w:rPr>
                <w:rFonts w:ascii="Arial" w:cs="Arial" w:eastAsia="Arial" w:hAnsi="Arial"/>
                <w:sz w:val="14"/>
                <w:szCs w:val="14"/>
                <w:color w:val="auto"/>
                <w:w w:val="91"/>
              </w:rPr>
              <w:t>Unless Agent shall otherwise consent in writing, on the date on which any Credit Party (or Agent as loss payee or assignee) receives any</w:t>
            </w:r>
          </w:p>
        </w:tc>
      </w:tr>
      <w:tr>
        <w:trPr>
          <w:trHeight w:val="162"/>
        </w:trPr>
        <w:tc>
          <w:tcPr>
            <w:tcW w:w="10940" w:type="dxa"/>
            <w:vAlign w:val="bottom"/>
            <w:gridSpan w:val="5"/>
          </w:tcPr>
          <w:p>
            <w:pPr>
              <w:jc w:val="right"/>
              <w:spacing w:after="0"/>
              <w:rPr>
                <w:sz w:val="20"/>
                <w:szCs w:val="20"/>
                <w:color w:val="auto"/>
              </w:rPr>
            </w:pPr>
            <w:r>
              <w:rPr>
                <w:rFonts w:ascii="Arial" w:cs="Arial" w:eastAsia="Arial" w:hAnsi="Arial"/>
                <w:sz w:val="14"/>
                <w:szCs w:val="14"/>
                <w:color w:val="auto"/>
              </w:rPr>
              <w:t>casualty proceeds in excess of $250,000 with respect to assets upon which Agent maintained a Lien, an amount equal to one hundred percent (100%) of such proceeds</w:t>
            </w:r>
          </w:p>
        </w:tc>
      </w:tr>
      <w:tr>
        <w:trPr>
          <w:trHeight w:val="162"/>
        </w:trPr>
        <w:tc>
          <w:tcPr>
            <w:tcW w:w="10940" w:type="dxa"/>
            <w:vAlign w:val="bottom"/>
            <w:gridSpan w:val="5"/>
          </w:tcPr>
          <w:p>
            <w:pPr>
              <w:jc w:val="right"/>
              <w:spacing w:after="0"/>
              <w:rPr>
                <w:sz w:val="20"/>
                <w:szCs w:val="20"/>
                <w:color w:val="auto"/>
              </w:rPr>
            </w:pPr>
            <w:r>
              <w:rPr>
                <w:rFonts w:ascii="Arial" w:cs="Arial" w:eastAsia="Arial" w:hAnsi="Arial"/>
                <w:sz w:val="14"/>
                <w:szCs w:val="14"/>
                <w:color w:val="auto"/>
              </w:rPr>
              <w:t>(net of out-of-pocket expenses and repayment of secured debt permitted under clause (c) of the definition of Permitted Debt and encumbering the property that suffered</w:t>
            </w:r>
          </w:p>
        </w:tc>
      </w:tr>
      <w:tr>
        <w:trPr>
          <w:trHeight w:val="179"/>
        </w:trPr>
        <w:tc>
          <w:tcPr>
            <w:tcW w:w="10940" w:type="dxa"/>
            <w:vAlign w:val="bottom"/>
            <w:gridSpan w:val="5"/>
          </w:tcPr>
          <w:p>
            <w:pPr>
              <w:ind w:left="2300"/>
              <w:spacing w:after="0"/>
              <w:rPr>
                <w:sz w:val="20"/>
                <w:szCs w:val="20"/>
                <w:color w:val="auto"/>
              </w:rPr>
            </w:pPr>
            <w:r>
              <w:rPr>
                <w:rFonts w:ascii="Arial" w:cs="Arial" w:eastAsia="Arial" w:hAnsi="Arial"/>
                <w:sz w:val="14"/>
                <w:szCs w:val="14"/>
                <w:color w:val="auto"/>
              </w:rPr>
              <w:t>such casualty), or such lesser portion of such proceeds as Agent shall elect to apply to the Obligations;</w:t>
            </w:r>
          </w:p>
        </w:tc>
      </w:tr>
      <w:tr>
        <w:trPr>
          <w:trHeight w:val="299"/>
        </w:trPr>
        <w:tc>
          <w:tcPr>
            <w:tcW w:w="2680" w:type="dxa"/>
            <w:vAlign w:val="bottom"/>
          </w:tcPr>
          <w:p>
            <w:pPr>
              <w:ind w:left="860"/>
              <w:spacing w:after="0"/>
              <w:rPr>
                <w:sz w:val="20"/>
                <w:szCs w:val="20"/>
                <w:color w:val="auto"/>
              </w:rPr>
            </w:pPr>
            <w:r>
              <w:rPr>
                <w:rFonts w:ascii="Arial" w:cs="Arial" w:eastAsia="Arial" w:hAnsi="Arial"/>
                <w:sz w:val="15"/>
                <w:szCs w:val="15"/>
                <w:color w:val="auto"/>
              </w:rPr>
              <w:t>(ii)</w:t>
            </w:r>
          </w:p>
        </w:tc>
        <w:tc>
          <w:tcPr>
            <w:tcW w:w="480" w:type="dxa"/>
            <w:vAlign w:val="bottom"/>
          </w:tcPr>
          <w:p>
            <w:pPr>
              <w:spacing w:after="0"/>
              <w:rPr>
                <w:sz w:val="24"/>
                <w:szCs w:val="24"/>
                <w:color w:val="auto"/>
              </w:rPr>
            </w:pPr>
          </w:p>
        </w:tc>
        <w:tc>
          <w:tcPr>
            <w:tcW w:w="7780" w:type="dxa"/>
            <w:vAlign w:val="bottom"/>
            <w:gridSpan w:val="3"/>
          </w:tcPr>
          <w:p>
            <w:pPr>
              <w:jc w:val="right"/>
              <w:spacing w:after="0"/>
              <w:rPr>
                <w:sz w:val="20"/>
                <w:szCs w:val="20"/>
                <w:color w:val="auto"/>
              </w:rPr>
            </w:pPr>
            <w:r>
              <w:rPr>
                <w:rFonts w:ascii="Arial" w:cs="Arial" w:eastAsia="Arial" w:hAnsi="Arial"/>
                <w:sz w:val="14"/>
                <w:szCs w:val="14"/>
                <w:color w:val="auto"/>
                <w:w w:val="87"/>
              </w:rPr>
              <w:t>an amount equal to any interest that is deemed to be in excess of the Maximum Lawful Rate (as defined below) and is required to be applied to</w:t>
            </w:r>
          </w:p>
        </w:tc>
      </w:tr>
      <w:tr>
        <w:trPr>
          <w:trHeight w:val="179"/>
        </w:trPr>
        <w:tc>
          <w:tcPr>
            <w:tcW w:w="10940" w:type="dxa"/>
            <w:vAlign w:val="bottom"/>
            <w:gridSpan w:val="5"/>
          </w:tcPr>
          <w:p>
            <w:pPr>
              <w:ind w:left="2300"/>
              <w:spacing w:after="0"/>
              <w:rPr>
                <w:sz w:val="20"/>
                <w:szCs w:val="20"/>
                <w:color w:val="auto"/>
              </w:rPr>
            </w:pPr>
            <w:r>
              <w:rPr>
                <w:rFonts w:ascii="Arial" w:cs="Arial" w:eastAsia="Arial" w:hAnsi="Arial"/>
                <w:sz w:val="14"/>
                <w:szCs w:val="14"/>
                <w:color w:val="auto"/>
              </w:rPr>
              <w:t>the reduction of the principal balance of the Loans by any Lender as provided for in Section 2.7;</w:t>
            </w:r>
          </w:p>
        </w:tc>
      </w:tr>
      <w:tr>
        <w:trPr>
          <w:trHeight w:val="308"/>
        </w:trPr>
        <w:tc>
          <w:tcPr>
            <w:tcW w:w="2680" w:type="dxa"/>
            <w:vAlign w:val="bottom"/>
          </w:tcPr>
          <w:p>
            <w:pPr>
              <w:ind w:left="860"/>
              <w:spacing w:after="0"/>
              <w:rPr>
                <w:sz w:val="20"/>
                <w:szCs w:val="20"/>
                <w:color w:val="auto"/>
              </w:rPr>
            </w:pPr>
            <w:r>
              <w:rPr>
                <w:rFonts w:ascii="Arial" w:cs="Arial" w:eastAsia="Arial" w:hAnsi="Arial"/>
                <w:sz w:val="15"/>
                <w:szCs w:val="15"/>
                <w:color w:val="auto"/>
              </w:rPr>
              <w:t>(iii)</w:t>
            </w:r>
          </w:p>
        </w:tc>
        <w:tc>
          <w:tcPr>
            <w:tcW w:w="480" w:type="dxa"/>
            <w:vAlign w:val="bottom"/>
          </w:tcPr>
          <w:p>
            <w:pPr>
              <w:spacing w:after="0"/>
              <w:rPr>
                <w:sz w:val="24"/>
                <w:szCs w:val="24"/>
                <w:color w:val="auto"/>
              </w:rPr>
            </w:pPr>
          </w:p>
        </w:tc>
        <w:tc>
          <w:tcPr>
            <w:tcW w:w="7780" w:type="dxa"/>
            <w:vAlign w:val="bottom"/>
            <w:gridSpan w:val="3"/>
          </w:tcPr>
          <w:p>
            <w:pPr>
              <w:jc w:val="right"/>
              <w:ind w:right="380"/>
              <w:spacing w:after="0"/>
              <w:rPr>
                <w:sz w:val="20"/>
                <w:szCs w:val="20"/>
                <w:color w:val="auto"/>
              </w:rPr>
            </w:pPr>
            <w:r>
              <w:rPr>
                <w:rFonts w:ascii="Arial" w:cs="Arial" w:eastAsia="Arial" w:hAnsi="Arial"/>
                <w:sz w:val="14"/>
                <w:szCs w:val="14"/>
                <w:color w:val="auto"/>
                <w:w w:val="89"/>
              </w:rPr>
              <w:t>unless Agent shall otherwise consent in writing, upon receipt by any Credit Party of the proceeds of any Asset Disposition in excess of</w:t>
            </w:r>
          </w:p>
        </w:tc>
      </w:tr>
      <w:tr>
        <w:trPr>
          <w:trHeight w:val="179"/>
        </w:trPr>
        <w:tc>
          <w:tcPr>
            <w:tcW w:w="10940" w:type="dxa"/>
            <w:vAlign w:val="bottom"/>
            <w:gridSpan w:val="5"/>
          </w:tcPr>
          <w:p>
            <w:pPr>
              <w:jc w:val="right"/>
              <w:ind w:right="20"/>
              <w:spacing w:after="0"/>
              <w:rPr>
                <w:sz w:val="20"/>
                <w:szCs w:val="20"/>
                <w:color w:val="auto"/>
              </w:rPr>
            </w:pPr>
            <w:r>
              <w:rPr>
                <w:rFonts w:ascii="Arial" w:cs="Arial" w:eastAsia="Arial" w:hAnsi="Arial"/>
                <w:sz w:val="14"/>
                <w:szCs w:val="14"/>
                <w:color w:val="auto"/>
              </w:rPr>
              <w:t>$250,000 in any fiscal year that is not made in the Ordinary Course of Business, an amount equal to one hundred percent (100%) of the net cash proceeds</w:t>
            </w:r>
          </w:p>
        </w:tc>
      </w:tr>
    </w:tbl>
    <w:p>
      <w:pPr>
        <w:spacing w:after="0" w:line="1" w:lineRule="exact"/>
        <w:rPr>
          <w:sz w:val="20"/>
          <w:szCs w:val="20"/>
          <w:color w:val="auto"/>
        </w:rPr>
      </w:pPr>
    </w:p>
    <w:p>
      <w:pPr>
        <w:sectPr>
          <w:pgSz w:w="11900" w:h="16838" w:orient="portrait"/>
          <w:cols w:equalWidth="0" w:num="1">
            <w:col w:w="11340"/>
          </w:cols>
          <w:pgMar w:left="240" w:top="112" w:right="319" w:bottom="1440" w:gutter="0" w:footer="0" w:header="0"/>
        </w:sectPr>
      </w:pPr>
    </w:p>
    <w:p>
      <w:pPr>
        <w:ind w:left="2720" w:right="20"/>
        <w:spacing w:after="0" w:line="243" w:lineRule="auto"/>
        <w:rPr>
          <w:sz w:val="20"/>
          <w:szCs w:val="20"/>
          <w:color w:val="auto"/>
        </w:rPr>
      </w:pPr>
      <w:r>
        <w:rPr>
          <w:rFonts w:ascii="Arial" w:cs="Arial" w:eastAsia="Arial" w:hAnsi="Arial"/>
          <w:sz w:val="14"/>
          <w:szCs w:val="14"/>
          <w:color w:val="auto"/>
        </w:rPr>
        <w:t>of such asset disposition (net of out-of-pocket expenses and repayment of secured debt permitted under clause (c) of the definition of Permitted Debt and encumbering such asset), or such lesser portion as Agent shall elect to apply to the Obligations;</w:t>
      </w:r>
    </w:p>
    <w:p>
      <w:pPr>
        <w:sectPr>
          <w:pgSz w:w="11900" w:h="16838" w:orient="portrait"/>
          <w:cols w:equalWidth="0" w:num="1">
            <w:col w:w="11340"/>
          </w:cols>
          <w:pgMar w:left="240" w:top="112" w:right="319" w:bottom="1440" w:gutter="0" w:footer="0" w:header="0"/>
          <w:type w:val="continuous"/>
        </w:sectPr>
      </w:pPr>
    </w:p>
    <w:p>
      <w:pPr>
        <w:spacing w:after="0" w:line="133"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ind w:firstLine="1292"/>
        <w:spacing w:after="0" w:line="296" w:lineRule="auto"/>
        <w:rPr>
          <w:sz w:val="20"/>
          <w:szCs w:val="20"/>
          <w:color w:val="auto"/>
        </w:rPr>
      </w:pPr>
      <w:r>
        <w:rPr>
          <w:rFonts w:ascii="Arial" w:cs="Arial" w:eastAsia="Arial" w:hAnsi="Arial"/>
          <w:sz w:val="12"/>
          <w:szCs w:val="12"/>
          <w:color w:val="auto"/>
        </w:rPr>
        <w:t xml:space="preserve">if Borrower or any of its Subsidiaries enters into any Permitted License pursuant to clause (e)(ii) of the definition thereof, Borrower shall prepay the Term Loans in an amount equal to the greater of (x) fifty (50%) of the aggregate upfront consideration received by Borrower in connection with its entering into such license and (y) thirty-five percent (35%) of the aggregate outstanding principal balance of the Term Loans on the date Borrower enters into such license;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no event shall the prepayment required to be made by Borrower pursuant to this Section 2.1(a)(ii)(B)(iv) with respect to any single Permitted License exceed (x) an amount equal to fifty percent (50%) of the aggregate outstanding principal balance of the Term Loans on the date Borrower enters into such Permitted License or (y) the aggregate upfront consideration recorded by Borrower in connection with entering into such Permitted License;</w:t>
      </w:r>
    </w:p>
    <w:p>
      <w:pPr>
        <w:spacing w:after="0" w:line="105" w:lineRule="exact"/>
        <w:rPr>
          <w:sz w:val="20"/>
          <w:szCs w:val="20"/>
          <w:color w:val="auto"/>
        </w:rPr>
      </w:pPr>
    </w:p>
    <w:p>
      <w:pPr>
        <w:sectPr>
          <w:pgSz w:w="11900" w:h="16838" w:orient="portrait"/>
          <w:cols w:equalWidth="0" w:num="2">
            <w:col w:w="1980" w:space="720"/>
            <w:col w:w="8640"/>
          </w:cols>
          <w:pgMar w:left="240" w:top="112" w:right="319" w:bottom="1440" w:gutter="0" w:footer="0" w:header="0"/>
          <w:type w:val="continuous"/>
        </w:sectPr>
      </w:pPr>
    </w:p>
    <w:p>
      <w:pPr>
        <w:jc w:val="both"/>
        <w:ind w:left="1860" w:right="20" w:firstLine="708"/>
        <w:spacing w:after="0" w:line="255" w:lineRule="auto"/>
        <w:rPr>
          <w:sz w:val="20"/>
          <w:szCs w:val="20"/>
          <w:color w:val="auto"/>
        </w:rPr>
      </w:pPr>
      <w:r>
        <w:rPr>
          <w:rFonts w:ascii="Arial" w:cs="Arial" w:eastAsia="Arial" w:hAnsi="Arial"/>
          <w:sz w:val="14"/>
          <w:szCs w:val="14"/>
          <w:color w:val="auto"/>
        </w:rPr>
        <w:t>Notwithstanding clause (B)(i) and (B)(iii) above, respectively, the foregoing and so long as no Event of Default then exists: (1) any such casualty proceeds may be used by Borrowers within two hundred seventy (270) days from the receipt of such proceeds to replace or repair any assets in respect of which such proceeds were paid so long as prior to the receipt of such proceeds, Borrowers have delivered to Agent a reinvestment plan</w:t>
      </w:r>
    </w:p>
    <w:p>
      <w:pPr>
        <w:sectPr>
          <w:pgSz w:w="11900" w:h="16838" w:orient="portrait"/>
          <w:cols w:equalWidth="0" w:num="1">
            <w:col w:w="11340"/>
          </w:cols>
          <w:pgMar w:left="240" w:top="112" w:right="319" w:bottom="1440" w:gutter="0" w:footer="0" w:header="0"/>
          <w:type w:val="continuous"/>
        </w:sectPr>
      </w:pPr>
    </w:p>
    <w:p>
      <w:pPr>
        <w:spacing w:after="0" w:line="289"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type w:val="continuous"/>
        </w:sectPr>
      </w:pPr>
    </w:p>
    <w:bookmarkStart w:id="88" w:name="page89"/>
    <w:bookmarkEnd w:id="88"/>
    <w:p>
      <w:pPr>
        <w:ind w:left="1860" w:right="20"/>
        <w:spacing w:after="0" w:line="268" w:lineRule="auto"/>
        <w:rPr>
          <w:sz w:val="20"/>
          <w:szCs w:val="20"/>
          <w:color w:val="auto"/>
        </w:rPr>
      </w:pPr>
      <w:r>
        <w:rPr>
          <w:rFonts w:ascii="Arial" w:cs="Arial" w:eastAsia="Arial" w:hAnsi="Arial"/>
          <w:sz w:val="14"/>
          <w:szCs w:val="14"/>
          <w:color w:val="auto"/>
        </w:rPr>
        <w:t>detailing such replacement or repair; and (2) proceeds of asset dispositions that are not made in the Ordinary Course of Business may be used by Borrowers within two hundred seventy (270) days from the receipt of such proceeds to purchase new or replacement assets of comparable value; and</w:t>
      </w:r>
    </w:p>
    <w:p>
      <w:pPr>
        <w:spacing w:after="0" w:line="118" w:lineRule="exact"/>
        <w:rPr>
          <w:sz w:val="20"/>
          <w:szCs w:val="20"/>
          <w:color w:val="auto"/>
        </w:rPr>
      </w:pPr>
    </w:p>
    <w:p>
      <w:pPr>
        <w:ind w:left="400"/>
        <w:spacing w:after="0"/>
        <w:tabs>
          <w:tab w:leader="none" w:pos="324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Borrowers may from time to time, with at least five (5) Business Days prior delivery to Agent of an appropriately completed Payment</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280" w:type="dxa"/>
            <w:vAlign w:val="bottom"/>
            <w:gridSpan w:val="5"/>
          </w:tcPr>
          <w:p>
            <w:pPr>
              <w:ind w:left="800"/>
              <w:spacing w:after="0"/>
              <w:rPr>
                <w:sz w:val="20"/>
                <w:szCs w:val="20"/>
                <w:color w:val="auto"/>
              </w:rPr>
            </w:pPr>
            <w:r>
              <w:rPr>
                <w:rFonts w:ascii="Arial" w:cs="Arial" w:eastAsia="Arial" w:hAnsi="Arial"/>
                <w:sz w:val="14"/>
                <w:szCs w:val="14"/>
                <w:color w:val="auto"/>
                <w:w w:val="90"/>
              </w:rPr>
              <w:t xml:space="preserve">Notification, prepay the Term Loan in whole or in part; </w:t>
            </w:r>
            <w:r>
              <w:rPr>
                <w:rFonts w:ascii="Arial" w:cs="Arial" w:eastAsia="Arial" w:hAnsi="Arial"/>
                <w:sz w:val="14"/>
                <w:szCs w:val="14"/>
                <w:i w:val="1"/>
                <w:iCs w:val="1"/>
                <w:color w:val="auto"/>
                <w:w w:val="90"/>
              </w:rPr>
              <w:t>provided, however</w:t>
            </w:r>
            <w:r>
              <w:rPr>
                <w:rFonts w:ascii="Arial" w:cs="Arial" w:eastAsia="Arial" w:hAnsi="Arial"/>
                <w:sz w:val="14"/>
                <w:szCs w:val="14"/>
                <w:color w:val="auto"/>
                <w:w w:val="90"/>
              </w:rPr>
              <w:t>, that each such prepayment (other than a prepayment in whole) shall be in an amount equal to</w:t>
            </w:r>
          </w:p>
        </w:tc>
      </w:tr>
      <w:tr>
        <w:trPr>
          <w:trHeight w:val="179"/>
        </w:trPr>
        <w:tc>
          <w:tcPr>
            <w:tcW w:w="820" w:type="dxa"/>
            <w:vAlign w:val="bottom"/>
          </w:tcPr>
          <w:p>
            <w:pPr>
              <w:spacing w:after="0"/>
              <w:rPr>
                <w:sz w:val="15"/>
                <w:szCs w:val="15"/>
                <w:color w:val="auto"/>
              </w:rPr>
            </w:pPr>
          </w:p>
        </w:tc>
        <w:tc>
          <w:tcPr>
            <w:tcW w:w="10280" w:type="dxa"/>
            <w:vAlign w:val="bottom"/>
            <w:gridSpan w:val="5"/>
          </w:tcPr>
          <w:p>
            <w:pPr>
              <w:ind w:left="800"/>
              <w:spacing w:after="0"/>
              <w:rPr>
                <w:sz w:val="20"/>
                <w:szCs w:val="20"/>
                <w:color w:val="auto"/>
              </w:rPr>
            </w:pPr>
            <w:r>
              <w:rPr>
                <w:rFonts w:ascii="Arial" w:cs="Arial" w:eastAsia="Arial" w:hAnsi="Arial"/>
                <w:sz w:val="14"/>
                <w:szCs w:val="14"/>
                <w:color w:val="auto"/>
              </w:rPr>
              <w:t>$1,000,000 or a higher integral multiple of $1,000,000 and shall be accompanied by any applicable fees, as set forth in Section 2.2 or any Fee Letter.</w:t>
            </w:r>
          </w:p>
        </w:tc>
      </w:tr>
      <w:tr>
        <w:trPr>
          <w:trHeight w:val="283"/>
        </w:trPr>
        <w:tc>
          <w:tcPr>
            <w:tcW w:w="820" w:type="dxa"/>
            <w:vAlign w:val="bottom"/>
          </w:tcPr>
          <w:p>
            <w:pPr>
              <w:spacing w:after="0"/>
              <w:rPr>
                <w:sz w:val="20"/>
                <w:szCs w:val="20"/>
                <w:color w:val="auto"/>
              </w:rPr>
            </w:pPr>
            <w:r>
              <w:rPr>
                <w:rFonts w:ascii="Arial" w:cs="Arial" w:eastAsia="Arial" w:hAnsi="Arial"/>
                <w:sz w:val="14"/>
                <w:szCs w:val="14"/>
                <w:color w:val="auto"/>
              </w:rPr>
              <w:t>(iii)</w:t>
            </w:r>
          </w:p>
        </w:tc>
        <w:tc>
          <w:tcPr>
            <w:tcW w:w="2060" w:type="dxa"/>
            <w:vAlign w:val="bottom"/>
          </w:tcPr>
          <w:p>
            <w:pPr>
              <w:spacing w:after="0"/>
              <w:rPr>
                <w:sz w:val="24"/>
                <w:szCs w:val="24"/>
                <w:color w:val="auto"/>
              </w:rPr>
            </w:pPr>
          </w:p>
        </w:tc>
        <w:tc>
          <w:tcPr>
            <w:tcW w:w="8220" w:type="dxa"/>
            <w:vAlign w:val="bottom"/>
            <w:gridSpan w:val="4"/>
          </w:tcPr>
          <w:p>
            <w:pPr>
              <w:jc w:val="right"/>
              <w:ind w:right="100"/>
              <w:spacing w:after="0"/>
              <w:rPr>
                <w:sz w:val="20"/>
                <w:szCs w:val="20"/>
                <w:color w:val="auto"/>
              </w:rPr>
            </w:pPr>
            <w:r>
              <w:rPr>
                <w:rFonts w:ascii="Arial" w:cs="Arial" w:eastAsia="Arial" w:hAnsi="Arial"/>
                <w:sz w:val="14"/>
                <w:szCs w:val="14"/>
                <w:color w:val="auto"/>
                <w:w w:val="89"/>
              </w:rPr>
              <w:t>All Prepayments. Except as this Agreement may specifically provide otherwise, all prepayments of the Term Loan shall be applied by Agent to the</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10280" w:type="dxa"/>
            <w:vAlign w:val="bottom"/>
            <w:gridSpan w:val="5"/>
          </w:tcPr>
          <w:p>
            <w:pPr>
              <w:jc w:val="right"/>
              <w:ind w:right="100"/>
              <w:spacing w:after="0" w:line="143" w:lineRule="exact"/>
              <w:rPr>
                <w:sz w:val="20"/>
                <w:szCs w:val="20"/>
                <w:color w:val="auto"/>
              </w:rPr>
            </w:pPr>
            <w:r>
              <w:rPr>
                <w:rFonts w:ascii="Arial" w:cs="Arial" w:eastAsia="Arial" w:hAnsi="Arial"/>
                <w:sz w:val="14"/>
                <w:szCs w:val="14"/>
                <w:color w:val="auto"/>
                <w:w w:val="98"/>
              </w:rPr>
              <w:t>Obligations in inverse order of maturity. The monthly payments required under Schedule 2.1 shall continue in the same amount (for so long as the Term Loan and/or (if</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1660" w:right="120"/>
        <w:spacing w:after="0" w:line="268" w:lineRule="auto"/>
        <w:rPr>
          <w:sz w:val="20"/>
          <w:szCs w:val="20"/>
          <w:color w:val="auto"/>
        </w:rPr>
      </w:pPr>
      <w:r>
        <w:rPr>
          <w:rFonts w:ascii="Arial" w:cs="Arial" w:eastAsia="Arial" w:hAnsi="Arial"/>
          <w:sz w:val="13"/>
          <w:szCs w:val="13"/>
          <w:color w:val="auto"/>
        </w:rPr>
        <w:t xml:space="preserve">applicable) any advance thereunder shall remain outstanding) notwithstanding any partial prepayment, whether mandatory or optional, of the Term Loan. Notwithstanding anything to the contrary contained in the foregoing, in the event that there have been multiple advances under the Term Loan each of which such advances has a separate amortization schedule of principal payments under </w:t>
      </w:r>
      <w:r>
        <w:rPr>
          <w:rFonts w:ascii="Arial" w:cs="Arial" w:eastAsia="Arial" w:hAnsi="Arial"/>
          <w:sz w:val="13"/>
          <w:szCs w:val="13"/>
          <w:u w:val="single" w:color="auto"/>
          <w:color w:val="auto"/>
        </w:rPr>
        <w:t>Schedule 2.1</w:t>
      </w:r>
      <w:r>
        <w:rPr>
          <w:rFonts w:ascii="Arial" w:cs="Arial" w:eastAsia="Arial" w:hAnsi="Arial"/>
          <w:sz w:val="13"/>
          <w:szCs w:val="13"/>
          <w:color w:val="auto"/>
        </w:rPr>
        <w:t xml:space="preserve"> attached hereto, each prepayment of the Term Loan shall be applied by Agent to reduce and prepay the principal balance of the earliest-made advance then outstanding in the inverse order of maturity of the scheduled payments with respect to such advance until such earliest-made advance is paid in full (and to the extent the total amount of any such partial prepayment shall exceed the outstanding principal balance of such earliest-made advance, the remainder of such prepayment shall be applied successively to the remaining advances under the Term Loan in the direct order of the respective advance dates in the manner provided for in this sentence).</w:t>
      </w:r>
    </w:p>
    <w:p>
      <w:pPr>
        <w:spacing w:after="0" w:line="10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680" w:type="dxa"/>
            <w:vAlign w:val="bottom"/>
          </w:tcPr>
          <w:p>
            <w:pPr>
              <w:ind w:left="2320"/>
              <w:spacing w:after="0"/>
              <w:rPr>
                <w:sz w:val="20"/>
                <w:szCs w:val="20"/>
                <w:color w:val="auto"/>
              </w:rPr>
            </w:pPr>
            <w:r>
              <w:rPr>
                <w:rFonts w:ascii="Arial" w:cs="Arial" w:eastAsia="Arial" w:hAnsi="Arial"/>
                <w:sz w:val="14"/>
                <w:szCs w:val="14"/>
                <w:color w:val="auto"/>
              </w:rPr>
              <w:t>(iv)</w:t>
            </w:r>
          </w:p>
        </w:tc>
        <w:tc>
          <w:tcPr>
            <w:tcW w:w="480" w:type="dxa"/>
            <w:vAlign w:val="bottom"/>
          </w:tcPr>
          <w:p>
            <w:pPr>
              <w:spacing w:after="0"/>
              <w:rPr>
                <w:sz w:val="14"/>
                <w:szCs w:val="14"/>
                <w:color w:val="auto"/>
              </w:rPr>
            </w:pPr>
          </w:p>
        </w:tc>
        <w:tc>
          <w:tcPr>
            <w:tcW w:w="7760" w:type="dxa"/>
            <w:vAlign w:val="bottom"/>
            <w:gridSpan w:val="2"/>
          </w:tcPr>
          <w:p>
            <w:pPr>
              <w:spacing w:after="0"/>
              <w:rPr>
                <w:sz w:val="20"/>
                <w:szCs w:val="20"/>
                <w:color w:val="auto"/>
              </w:rPr>
            </w:pPr>
            <w:r>
              <w:rPr>
                <w:rFonts w:ascii="Arial" w:cs="Arial" w:eastAsia="Arial" w:hAnsi="Arial"/>
                <w:sz w:val="14"/>
                <w:szCs w:val="14"/>
                <w:color w:val="auto"/>
              </w:rPr>
              <w:t>LIBOR Rate.</w:t>
            </w:r>
          </w:p>
        </w:tc>
      </w:tr>
      <w:tr>
        <w:trPr>
          <w:trHeight w:val="20"/>
        </w:trPr>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308"/>
        </w:trPr>
        <w:tc>
          <w:tcPr>
            <w:tcW w:w="2680" w:type="dxa"/>
            <w:vAlign w:val="bottom"/>
          </w:tcPr>
          <w:p>
            <w:pPr>
              <w:spacing w:after="0"/>
              <w:rPr>
                <w:sz w:val="20"/>
                <w:szCs w:val="20"/>
                <w:color w:val="auto"/>
              </w:rPr>
            </w:pPr>
            <w:r>
              <w:rPr>
                <w:rFonts w:ascii="Arial" w:cs="Arial" w:eastAsia="Arial" w:hAnsi="Arial"/>
                <w:sz w:val="14"/>
                <w:szCs w:val="14"/>
                <w:color w:val="auto"/>
              </w:rPr>
              <w:t>(A)</w:t>
            </w:r>
          </w:p>
        </w:tc>
        <w:tc>
          <w:tcPr>
            <w:tcW w:w="8240" w:type="dxa"/>
            <w:vAlign w:val="bottom"/>
            <w:gridSpan w:val="3"/>
          </w:tcPr>
          <w:p>
            <w:pPr>
              <w:ind w:left="180"/>
              <w:spacing w:after="0"/>
              <w:rPr>
                <w:sz w:val="20"/>
                <w:szCs w:val="20"/>
                <w:color w:val="auto"/>
              </w:rPr>
            </w:pPr>
            <w:r>
              <w:rPr>
                <w:rFonts w:ascii="Arial" w:cs="Arial" w:eastAsia="Arial" w:hAnsi="Arial"/>
                <w:sz w:val="14"/>
                <w:szCs w:val="14"/>
                <w:color w:val="auto"/>
              </w:rPr>
              <w:t xml:space="preserve">Except as provided in subsection (C) below, the Term Loan shall accrue interest at the LIBOR Rate </w:t>
            </w:r>
            <w:r>
              <w:rPr>
                <w:rFonts w:ascii="Arial" w:cs="Arial" w:eastAsia="Arial" w:hAnsi="Arial"/>
                <w:sz w:val="14"/>
                <w:szCs w:val="14"/>
                <w:i w:val="1"/>
                <w:iCs w:val="1"/>
                <w:color w:val="auto"/>
              </w:rPr>
              <w:t>plus</w:t>
            </w:r>
            <w:r>
              <w:rPr>
                <w:rFonts w:ascii="Arial" w:cs="Arial" w:eastAsia="Arial" w:hAnsi="Arial"/>
                <w:sz w:val="14"/>
                <w:szCs w:val="14"/>
                <w:color w:val="auto"/>
              </w:rPr>
              <w:t xml:space="preserve"> the Applicable Margin.</w:t>
            </w:r>
          </w:p>
        </w:tc>
      </w:tr>
      <w:tr>
        <w:trPr>
          <w:trHeight w:val="311"/>
        </w:trPr>
        <w:tc>
          <w:tcPr>
            <w:tcW w:w="2680" w:type="dxa"/>
            <w:vAlign w:val="bottom"/>
          </w:tcPr>
          <w:p>
            <w:pPr>
              <w:spacing w:after="0"/>
              <w:rPr>
                <w:sz w:val="20"/>
                <w:szCs w:val="20"/>
                <w:color w:val="auto"/>
              </w:rPr>
            </w:pPr>
            <w:r>
              <w:rPr>
                <w:rFonts w:ascii="Arial" w:cs="Arial" w:eastAsia="Arial" w:hAnsi="Arial"/>
                <w:sz w:val="14"/>
                <w:szCs w:val="14"/>
                <w:color w:val="auto"/>
              </w:rPr>
              <w:t>(B)</w:t>
            </w:r>
          </w:p>
        </w:tc>
        <w:tc>
          <w:tcPr>
            <w:tcW w:w="8240" w:type="dxa"/>
            <w:vAlign w:val="bottom"/>
            <w:gridSpan w:val="3"/>
          </w:tcPr>
          <w:p>
            <w:pPr>
              <w:ind w:left="180"/>
              <w:spacing w:after="0"/>
              <w:rPr>
                <w:sz w:val="20"/>
                <w:szCs w:val="20"/>
                <w:color w:val="auto"/>
              </w:rPr>
            </w:pPr>
            <w:r>
              <w:rPr>
                <w:rFonts w:ascii="Arial" w:cs="Arial" w:eastAsia="Arial" w:hAnsi="Arial"/>
                <w:sz w:val="14"/>
                <w:szCs w:val="14"/>
                <w:color w:val="auto"/>
                <w:w w:val="91"/>
              </w:rPr>
              <w:t>The LIBOR Rate may be adjusted by Agent with respect to any Lender on a prospective basis to take into account any additional or increased</w:t>
            </w:r>
          </w:p>
        </w:tc>
      </w:tr>
    </w:tbl>
    <w:p>
      <w:pPr>
        <w:jc w:val="both"/>
        <w:ind w:left="1840"/>
        <w:spacing w:after="0" w:line="260" w:lineRule="auto"/>
        <w:rPr>
          <w:sz w:val="20"/>
          <w:szCs w:val="20"/>
          <w:color w:val="auto"/>
        </w:rPr>
      </w:pPr>
      <w:r>
        <w:rPr>
          <w:rFonts w:ascii="Arial" w:cs="Arial" w:eastAsia="Arial" w:hAnsi="Arial"/>
          <w:sz w:val="13"/>
          <w:szCs w:val="13"/>
          <w:color w:val="auto"/>
        </w:rPr>
        <w:t xml:space="preserve">costs to such Lender of maintaining or obtaining any eurodollar deposits or increased costs, in each case, due to changes in applicable Law occurring subsequent to the commencement of the then applicable Interest Period, including changes in tax laws (except changes in Taxes or taxes excluded from the definition of Taxes in Section 2.8 hereof) and changes in the reserve requirements imposed by the Board of Governors of the Federal Reserve System (or any successor), which additional or increased costs would increase the cost of funding loans bearing interest based upon the LIBOR Rate;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 In any such event, the affected Lender shall give Borrowers and Agent notice of such a determination and adjustment and Agent promptly shall transmit</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27</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89" w:name="page90"/>
    <w:bookmarkEnd w:id="89"/>
    <w:p>
      <w:pPr>
        <w:jc w:val="both"/>
        <w:ind w:left="1860" w:right="20"/>
        <w:spacing w:after="0" w:line="255" w:lineRule="auto"/>
        <w:rPr>
          <w:sz w:val="20"/>
          <w:szCs w:val="20"/>
          <w:color w:val="auto"/>
        </w:rPr>
      </w:pPr>
      <w:r>
        <w:rPr>
          <w:rFonts w:ascii="Arial" w:cs="Arial" w:eastAsia="Arial" w:hAnsi="Arial"/>
          <w:sz w:val="14"/>
          <w:szCs w:val="14"/>
          <w:color w:val="auto"/>
        </w:rPr>
        <w:t>the notice to each other Lender and, upon its receipt of the notice from the affected Lender, Borrowers may, by notice to such affected Lender (I) require such Lender to furnish to Borrowers a statement setting forth the basis for adjusting such LIBOR Rate and the method for determining the amount of such adjustment, or (II) repay the Loans bearing interest based upon the LIBOR Rate with respect to which such adjustment is made.</w:t>
      </w:r>
    </w:p>
    <w:p>
      <w:pPr>
        <w:sectPr>
          <w:pgSz w:w="11900" w:h="16838" w:orient="portrait"/>
          <w:cols w:equalWidth="0" w:num="1">
            <w:col w:w="11340"/>
          </w:cols>
          <w:pgMar w:left="240" w:top="165" w:right="319" w:bottom="1440" w:gutter="0" w:footer="0" w:header="0"/>
        </w:sectPr>
      </w:pPr>
    </w:p>
    <w:p>
      <w:pPr>
        <w:spacing w:after="0" w:line="12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In the event that any change in market conditions or any law, regulation, treaty, or directive, or any change therein or in the interpretation  of</w:t>
      </w:r>
    </w:p>
    <w:p>
      <w:pPr>
        <w:spacing w:after="0" w:line="29" w:lineRule="exact"/>
        <w:rPr>
          <w:sz w:val="20"/>
          <w:szCs w:val="20"/>
          <w:color w:val="auto"/>
        </w:rPr>
      </w:pPr>
    </w:p>
    <w:p>
      <w:pPr>
        <w:sectPr>
          <w:pgSz w:w="11900" w:h="16838" w:orient="portrait"/>
          <w:cols w:equalWidth="0" w:num="2">
            <w:col w:w="2540" w:space="720"/>
            <w:col w:w="8080"/>
          </w:cols>
          <w:pgMar w:left="240" w:top="165" w:right="319" w:bottom="1440" w:gutter="0" w:footer="0" w:header="0"/>
          <w:type w:val="continuous"/>
        </w:sectPr>
      </w:pPr>
    </w:p>
    <w:p>
      <w:pPr>
        <w:jc w:val="both"/>
        <w:ind w:left="1840"/>
        <w:spacing w:after="0" w:line="280" w:lineRule="auto"/>
        <w:rPr>
          <w:sz w:val="20"/>
          <w:szCs w:val="20"/>
          <w:color w:val="auto"/>
        </w:rPr>
      </w:pPr>
      <w:r>
        <w:rPr>
          <w:rFonts w:ascii="Arial" w:cs="Arial" w:eastAsia="Arial" w:hAnsi="Arial"/>
          <w:sz w:val="12"/>
          <w:szCs w:val="12"/>
          <w:color w:val="auto"/>
        </w:rPr>
        <w:t>application thereof, shall at any time after the date hereof, in the reasonable opinion of any Lender, make it unlawful or impractical for such Lender to maintain Loans bearing interest based upon the LIBOR Rate or to continue such maintaining, or to determine or charge interest rates at the LIBOR Rate, such Lender shall give notice of such changed circumstances to Agent and Borrowers and Agent promptly shall transmit the notice to each other Lender, (I) in the case of the pro rata share of the Term Loan held by such Lender and then outstanding, the date specified in such Lender’s notice shall be deemed to be the last day of the Interest Period of such portion of the Term</w:t>
      </w:r>
    </w:p>
    <w:tbl>
      <w:tblPr>
        <w:tblLayout w:type="fixed"/>
        <w:tblInd w:w="220" w:type="dxa"/>
        <w:tblCellMar>
          <w:top w:w="0" w:type="dxa"/>
          <w:left w:w="0" w:type="dxa"/>
          <w:bottom w:w="0" w:type="dxa"/>
          <w:right w:w="0" w:type="dxa"/>
        </w:tblCellMar>
      </w:tblPr>
      <w:tr>
        <w:trPr>
          <w:trHeight w:val="151"/>
        </w:trPr>
        <w:tc>
          <w:tcPr>
            <w:tcW w:w="1520" w:type="dxa"/>
            <w:vAlign w:val="bottom"/>
          </w:tcPr>
          <w:p>
            <w:pPr>
              <w:spacing w:after="0"/>
              <w:rPr>
                <w:sz w:val="13"/>
                <w:szCs w:val="13"/>
                <w:color w:val="auto"/>
              </w:rPr>
            </w:pPr>
          </w:p>
        </w:tc>
        <w:tc>
          <w:tcPr>
            <w:tcW w:w="9600" w:type="dxa"/>
            <w:vAlign w:val="bottom"/>
            <w:gridSpan w:val="4"/>
          </w:tcPr>
          <w:p>
            <w:pPr>
              <w:ind w:left="100"/>
              <w:spacing w:after="0" w:line="151" w:lineRule="exact"/>
              <w:rPr>
                <w:sz w:val="20"/>
                <w:szCs w:val="20"/>
                <w:color w:val="auto"/>
              </w:rPr>
            </w:pPr>
            <w:r>
              <w:rPr>
                <w:rFonts w:ascii="Arial" w:cs="Arial" w:eastAsia="Arial" w:hAnsi="Arial"/>
                <w:sz w:val="14"/>
                <w:szCs w:val="14"/>
                <w:color w:val="auto"/>
                <w:w w:val="90"/>
              </w:rPr>
              <w:t xml:space="preserve">Loan, and interest upon such portion thereafter shall accrue interest at the Base Rate </w:t>
            </w:r>
            <w:r>
              <w:rPr>
                <w:rFonts w:ascii="Arial" w:cs="Arial" w:eastAsia="Arial" w:hAnsi="Arial"/>
                <w:sz w:val="14"/>
                <w:szCs w:val="14"/>
                <w:i w:val="1"/>
                <w:iCs w:val="1"/>
                <w:color w:val="auto"/>
                <w:w w:val="90"/>
              </w:rPr>
              <w:t>plus</w:t>
            </w:r>
            <w:r>
              <w:rPr>
                <w:rFonts w:ascii="Arial" w:cs="Arial" w:eastAsia="Arial" w:hAnsi="Arial"/>
                <w:sz w:val="14"/>
                <w:szCs w:val="14"/>
                <w:color w:val="auto"/>
                <w:w w:val="90"/>
              </w:rPr>
              <w:t xml:space="preserve"> the Applicable Margin, and (II) such portion of the Term Loan shall continue to</w:t>
            </w:r>
          </w:p>
        </w:tc>
      </w:tr>
      <w:tr>
        <w:trPr>
          <w:trHeight w:val="162"/>
        </w:trPr>
        <w:tc>
          <w:tcPr>
            <w:tcW w:w="1520" w:type="dxa"/>
            <w:vAlign w:val="bottom"/>
          </w:tcPr>
          <w:p>
            <w:pPr>
              <w:spacing w:after="0"/>
              <w:rPr>
                <w:sz w:val="14"/>
                <w:szCs w:val="14"/>
                <w:color w:val="auto"/>
              </w:rPr>
            </w:pPr>
          </w:p>
        </w:tc>
        <w:tc>
          <w:tcPr>
            <w:tcW w:w="9600" w:type="dxa"/>
            <w:vAlign w:val="bottom"/>
            <w:gridSpan w:val="4"/>
          </w:tcPr>
          <w:p>
            <w:pPr>
              <w:ind w:left="100"/>
              <w:spacing w:after="0"/>
              <w:rPr>
                <w:sz w:val="20"/>
                <w:szCs w:val="20"/>
                <w:color w:val="auto"/>
              </w:rPr>
            </w:pPr>
            <w:r>
              <w:rPr>
                <w:rFonts w:ascii="Arial" w:cs="Arial" w:eastAsia="Arial" w:hAnsi="Arial"/>
                <w:sz w:val="14"/>
                <w:szCs w:val="14"/>
                <w:color w:val="auto"/>
                <w:w w:val="90"/>
              </w:rPr>
              <w:t xml:space="preserve">accrue interest at the Base Rate </w:t>
            </w:r>
            <w:r>
              <w:rPr>
                <w:rFonts w:ascii="Arial" w:cs="Arial" w:eastAsia="Arial" w:hAnsi="Arial"/>
                <w:sz w:val="14"/>
                <w:szCs w:val="14"/>
                <w:i w:val="1"/>
                <w:iCs w:val="1"/>
                <w:color w:val="auto"/>
                <w:w w:val="90"/>
              </w:rPr>
              <w:t>plus</w:t>
            </w:r>
            <w:r>
              <w:rPr>
                <w:rFonts w:ascii="Arial" w:cs="Arial" w:eastAsia="Arial" w:hAnsi="Arial"/>
                <w:sz w:val="14"/>
                <w:szCs w:val="14"/>
                <w:color w:val="auto"/>
                <w:w w:val="90"/>
              </w:rPr>
              <w:t xml:space="preserve"> the Applicable Margin until such Lender determines that it would no longer be unlawful or impractical to maintain such Term Loan at</w:t>
            </w:r>
          </w:p>
        </w:tc>
      </w:tr>
      <w:tr>
        <w:trPr>
          <w:trHeight w:val="179"/>
        </w:trPr>
        <w:tc>
          <w:tcPr>
            <w:tcW w:w="1520" w:type="dxa"/>
            <w:vAlign w:val="bottom"/>
          </w:tcPr>
          <w:p>
            <w:pPr>
              <w:spacing w:after="0"/>
              <w:rPr>
                <w:sz w:val="15"/>
                <w:szCs w:val="15"/>
                <w:color w:val="auto"/>
              </w:rPr>
            </w:pPr>
          </w:p>
        </w:tc>
        <w:tc>
          <w:tcPr>
            <w:tcW w:w="9600" w:type="dxa"/>
            <w:vAlign w:val="bottom"/>
            <w:gridSpan w:val="4"/>
          </w:tcPr>
          <w:p>
            <w:pPr>
              <w:ind w:left="100"/>
              <w:spacing w:after="0"/>
              <w:rPr>
                <w:sz w:val="20"/>
                <w:szCs w:val="20"/>
                <w:color w:val="auto"/>
              </w:rPr>
            </w:pPr>
            <w:r>
              <w:rPr>
                <w:rFonts w:ascii="Arial" w:cs="Arial" w:eastAsia="Arial" w:hAnsi="Arial"/>
                <w:sz w:val="14"/>
                <w:szCs w:val="14"/>
                <w:color w:val="auto"/>
              </w:rPr>
              <w:t>the LIBOR Rate.</w:t>
            </w:r>
          </w:p>
        </w:tc>
      </w:tr>
      <w:tr>
        <w:trPr>
          <w:trHeight w:val="299"/>
        </w:trPr>
        <w:tc>
          <w:tcPr>
            <w:tcW w:w="1520" w:type="dxa"/>
            <w:vAlign w:val="bottom"/>
          </w:tcPr>
          <w:p>
            <w:pPr>
              <w:ind w:left="180"/>
              <w:spacing w:after="0"/>
              <w:rPr>
                <w:sz w:val="20"/>
                <w:szCs w:val="20"/>
                <w:color w:val="auto"/>
              </w:rPr>
            </w:pPr>
            <w:r>
              <w:rPr>
                <w:rFonts w:ascii="Arial" w:cs="Arial" w:eastAsia="Arial" w:hAnsi="Arial"/>
                <w:sz w:val="14"/>
                <w:szCs w:val="14"/>
                <w:color w:val="auto"/>
              </w:rPr>
              <w:t>(D)</w:t>
            </w:r>
          </w:p>
        </w:tc>
        <w:tc>
          <w:tcPr>
            <w:tcW w:w="1360" w:type="dxa"/>
            <w:vAlign w:val="bottom"/>
          </w:tcPr>
          <w:p>
            <w:pPr>
              <w:spacing w:after="0"/>
              <w:rPr>
                <w:sz w:val="24"/>
                <w:szCs w:val="24"/>
                <w:color w:val="auto"/>
              </w:rPr>
            </w:pPr>
          </w:p>
        </w:tc>
        <w:tc>
          <w:tcPr>
            <w:tcW w:w="8240" w:type="dxa"/>
            <w:vAlign w:val="bottom"/>
            <w:gridSpan w:val="3"/>
          </w:tcPr>
          <w:p>
            <w:pPr>
              <w:ind w:left="160"/>
              <w:spacing w:after="0"/>
              <w:rPr>
                <w:sz w:val="20"/>
                <w:szCs w:val="20"/>
                <w:color w:val="auto"/>
              </w:rPr>
            </w:pPr>
            <w:r>
              <w:rPr>
                <w:rFonts w:ascii="Arial" w:cs="Arial" w:eastAsia="Arial" w:hAnsi="Arial"/>
                <w:sz w:val="14"/>
                <w:szCs w:val="14"/>
                <w:color w:val="auto"/>
                <w:w w:val="89"/>
              </w:rPr>
              <w:t>Anything to the contrary contained herein notwithstanding, neither Agent nor any Lender is required actually to acquire eurodollar deposits to fund</w:t>
            </w:r>
          </w:p>
        </w:tc>
      </w:tr>
      <w:tr>
        <w:trPr>
          <w:trHeight w:val="179"/>
        </w:trPr>
        <w:tc>
          <w:tcPr>
            <w:tcW w:w="1520" w:type="dxa"/>
            <w:vAlign w:val="bottom"/>
          </w:tcPr>
          <w:p>
            <w:pPr>
              <w:spacing w:after="0"/>
              <w:rPr>
                <w:sz w:val="15"/>
                <w:szCs w:val="15"/>
                <w:color w:val="auto"/>
              </w:rPr>
            </w:pPr>
          </w:p>
        </w:tc>
        <w:tc>
          <w:tcPr>
            <w:tcW w:w="9600" w:type="dxa"/>
            <w:vAlign w:val="bottom"/>
            <w:gridSpan w:val="4"/>
          </w:tcPr>
          <w:p>
            <w:pPr>
              <w:ind w:left="100"/>
              <w:spacing w:after="0"/>
              <w:rPr>
                <w:sz w:val="20"/>
                <w:szCs w:val="20"/>
                <w:color w:val="auto"/>
              </w:rPr>
            </w:pPr>
            <w:r>
              <w:rPr>
                <w:rFonts w:ascii="Arial" w:cs="Arial" w:eastAsia="Arial" w:hAnsi="Arial"/>
                <w:sz w:val="14"/>
                <w:szCs w:val="14"/>
                <w:color w:val="auto"/>
              </w:rPr>
              <w:t>or otherwise match fund any Obligation as to which interest accrues based on the LIBOR Rate.</w:t>
            </w:r>
          </w:p>
        </w:tc>
      </w:tr>
      <w:tr>
        <w:trPr>
          <w:trHeight w:val="283"/>
        </w:trPr>
        <w:tc>
          <w:tcPr>
            <w:tcW w:w="1520" w:type="dxa"/>
            <w:vAlign w:val="bottom"/>
          </w:tcPr>
          <w:p>
            <w:pPr>
              <w:ind w:left="780"/>
              <w:spacing w:after="0"/>
              <w:rPr>
                <w:sz w:val="20"/>
                <w:szCs w:val="20"/>
                <w:color w:val="auto"/>
              </w:rPr>
            </w:pPr>
            <w:r>
              <w:rPr>
                <w:rFonts w:ascii="Arial" w:cs="Arial" w:eastAsia="Arial" w:hAnsi="Arial"/>
                <w:sz w:val="14"/>
                <w:szCs w:val="14"/>
                <w:b w:val="1"/>
                <w:bCs w:val="1"/>
                <w:color w:val="auto"/>
                <w:w w:val="97"/>
              </w:rPr>
              <w:t>Section 2.2</w:t>
            </w:r>
          </w:p>
        </w:tc>
        <w:tc>
          <w:tcPr>
            <w:tcW w:w="9600" w:type="dxa"/>
            <w:vAlign w:val="bottom"/>
            <w:gridSpan w:val="4"/>
          </w:tcPr>
          <w:p>
            <w:pPr>
              <w:ind w:left="1360"/>
              <w:spacing w:after="0"/>
              <w:rPr>
                <w:sz w:val="20"/>
                <w:szCs w:val="20"/>
                <w:color w:val="auto"/>
              </w:rPr>
            </w:pPr>
            <w:r>
              <w:rPr>
                <w:rFonts w:ascii="Arial" w:cs="Arial" w:eastAsia="Arial" w:hAnsi="Arial"/>
                <w:sz w:val="14"/>
                <w:szCs w:val="14"/>
                <w:color w:val="auto"/>
              </w:rPr>
              <w:t>Interest, Interest Calculations and Certain Fees.</w:t>
            </w:r>
          </w:p>
        </w:tc>
      </w:tr>
      <w:tr>
        <w:trPr>
          <w:trHeight w:val="20"/>
        </w:trPr>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85"/>
        </w:trPr>
        <w:tc>
          <w:tcPr>
            <w:tcW w:w="1520" w:type="dxa"/>
            <w:vAlign w:val="bottom"/>
          </w:tcPr>
          <w:p>
            <w:pPr>
              <w:spacing w:after="0"/>
              <w:rPr>
                <w:sz w:val="20"/>
                <w:szCs w:val="20"/>
                <w:color w:val="auto"/>
              </w:rPr>
            </w:pPr>
            <w:r>
              <w:rPr>
                <w:rFonts w:ascii="Arial" w:cs="Arial" w:eastAsia="Arial" w:hAnsi="Arial"/>
                <w:sz w:val="14"/>
                <w:szCs w:val="14"/>
                <w:color w:val="auto"/>
              </w:rPr>
              <w:t>(a)</w:t>
            </w:r>
          </w:p>
        </w:tc>
        <w:tc>
          <w:tcPr>
            <w:tcW w:w="136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4"/>
                <w:szCs w:val="14"/>
                <w:color w:val="auto"/>
                <w:w w:val="89"/>
              </w:rPr>
              <w:t>Interest. From and following the Closing Date, except as expressly set forth in this Agreement, Loans and the other Obligations shall bear interest at</w:t>
            </w:r>
          </w:p>
        </w:tc>
      </w:tr>
      <w:tr>
        <w:trPr>
          <w:trHeight w:val="20"/>
        </w:trPr>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1660" w:right="120"/>
        <w:spacing w:after="0" w:line="276" w:lineRule="auto"/>
        <w:rPr>
          <w:sz w:val="20"/>
          <w:szCs w:val="20"/>
          <w:color w:val="auto"/>
        </w:rPr>
      </w:pPr>
      <w:r>
        <w:rPr>
          <w:rFonts w:ascii="Arial" w:cs="Arial" w:eastAsia="Arial" w:hAnsi="Arial"/>
          <w:sz w:val="13"/>
          <w:szCs w:val="13"/>
          <w:color w:val="auto"/>
        </w:rPr>
        <w:t xml:space="preserve">the sum of the LIBOR Rate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Applicable Margin. Interest on the Loans shall be paid monthly in arrears on the first (1st) day of each month and on the maturity of such Loans, whether by acceleration or otherwise. Interest on all other Obligations shall be payable upon demand. The Borrowers hereby agree that all accrued and unpaid interest due and owing to the Lenders under (and as defined in) the Original Credit Agreement as of the Closing Date shall be paid in cash by the Borrowers to the Agent, for the benefit of such Lenders, on the first (1st) day of the first calendar month following the Closing Date.</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00" w:type="dxa"/>
            <w:vAlign w:val="bottom"/>
          </w:tcPr>
          <w:p>
            <w:pPr>
              <w:ind w:left="1740"/>
              <w:spacing w:after="0"/>
              <w:rPr>
                <w:sz w:val="20"/>
                <w:szCs w:val="20"/>
                <w:color w:val="auto"/>
              </w:rPr>
            </w:pPr>
            <w:r>
              <w:rPr>
                <w:rFonts w:ascii="Arial" w:cs="Arial" w:eastAsia="Arial" w:hAnsi="Arial"/>
                <w:sz w:val="14"/>
                <w:szCs w:val="14"/>
                <w:color w:val="auto"/>
              </w:rPr>
              <w:t>(b)</w:t>
            </w:r>
          </w:p>
        </w:tc>
        <w:tc>
          <w:tcPr>
            <w:tcW w:w="8340" w:type="dxa"/>
            <w:vAlign w:val="bottom"/>
            <w:gridSpan w:val="5"/>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85"/>
        </w:trPr>
        <w:tc>
          <w:tcPr>
            <w:tcW w:w="2600" w:type="dxa"/>
            <w:vAlign w:val="bottom"/>
          </w:tcPr>
          <w:p>
            <w:pPr>
              <w:spacing w:after="0"/>
              <w:rPr>
                <w:sz w:val="20"/>
                <w:szCs w:val="20"/>
                <w:color w:val="auto"/>
              </w:rPr>
            </w:pPr>
            <w:r>
              <w:rPr>
                <w:rFonts w:ascii="Arial" w:cs="Arial" w:eastAsia="Arial" w:hAnsi="Arial"/>
                <w:sz w:val="14"/>
                <w:szCs w:val="14"/>
                <w:color w:val="auto"/>
              </w:rPr>
              <w:t>(c)</w:t>
            </w:r>
          </w:p>
        </w:tc>
        <w:tc>
          <w:tcPr>
            <w:tcW w:w="28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14"/>
                <w:szCs w:val="14"/>
                <w:color w:val="auto"/>
              </w:rPr>
              <w:t>Fee Letter. In addition to the other fees set forth herein, the Borrowers agree to pay Agent the fees set forth in the Fee Letter.</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95"/>
        </w:trPr>
        <w:tc>
          <w:tcPr>
            <w:tcW w:w="2600" w:type="dxa"/>
            <w:vAlign w:val="bottom"/>
          </w:tcPr>
          <w:p>
            <w:pPr>
              <w:ind w:left="1740"/>
              <w:spacing w:after="0"/>
              <w:rPr>
                <w:sz w:val="20"/>
                <w:szCs w:val="20"/>
                <w:color w:val="auto"/>
              </w:rPr>
            </w:pPr>
            <w:r>
              <w:rPr>
                <w:rFonts w:ascii="Arial" w:cs="Arial" w:eastAsia="Arial" w:hAnsi="Arial"/>
                <w:sz w:val="14"/>
                <w:szCs w:val="14"/>
                <w:color w:val="auto"/>
              </w:rPr>
              <w:t>(d)</w:t>
            </w:r>
          </w:p>
        </w:tc>
        <w:tc>
          <w:tcPr>
            <w:tcW w:w="8340" w:type="dxa"/>
            <w:vAlign w:val="bottom"/>
            <w:gridSpan w:val="5"/>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85"/>
        </w:trPr>
        <w:tc>
          <w:tcPr>
            <w:tcW w:w="2600" w:type="dxa"/>
            <w:vAlign w:val="bottom"/>
          </w:tcPr>
          <w:p>
            <w:pPr>
              <w:ind w:left="1740"/>
              <w:spacing w:after="0"/>
              <w:rPr>
                <w:sz w:val="20"/>
                <w:szCs w:val="20"/>
                <w:color w:val="auto"/>
              </w:rPr>
            </w:pPr>
            <w:r>
              <w:rPr>
                <w:rFonts w:ascii="Arial" w:cs="Arial" w:eastAsia="Arial" w:hAnsi="Arial"/>
                <w:sz w:val="14"/>
                <w:szCs w:val="14"/>
                <w:color w:val="auto"/>
              </w:rPr>
              <w:t>(e)</w:t>
            </w:r>
          </w:p>
        </w:tc>
        <w:tc>
          <w:tcPr>
            <w:tcW w:w="8340" w:type="dxa"/>
            <w:vAlign w:val="bottom"/>
            <w:gridSpan w:val="5"/>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85"/>
        </w:trPr>
        <w:tc>
          <w:tcPr>
            <w:tcW w:w="2600" w:type="dxa"/>
            <w:vAlign w:val="bottom"/>
          </w:tcPr>
          <w:p>
            <w:pPr>
              <w:spacing w:after="0"/>
              <w:rPr>
                <w:sz w:val="20"/>
                <w:szCs w:val="20"/>
                <w:color w:val="auto"/>
              </w:rPr>
            </w:pPr>
            <w:r>
              <w:rPr>
                <w:rFonts w:ascii="Arial" w:cs="Arial" w:eastAsia="Arial" w:hAnsi="Arial"/>
                <w:sz w:val="14"/>
                <w:szCs w:val="14"/>
                <w:color w:val="auto"/>
              </w:rPr>
              <w:t>(f)</w:t>
            </w:r>
          </w:p>
        </w:tc>
        <w:tc>
          <w:tcPr>
            <w:tcW w:w="28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14"/>
                <w:szCs w:val="14"/>
                <w:color w:val="auto"/>
                <w:w w:val="90"/>
              </w:rPr>
              <w:t>Origination Fee. Contemporaneous with Borrowers execution of the Original Credit Agreement, Borrowers paid to Agent, for its own account and</w:t>
            </w:r>
          </w:p>
        </w:tc>
      </w:tr>
      <w:tr>
        <w:trPr>
          <w:trHeight w:val="20"/>
        </w:trPr>
        <w:tc>
          <w:tcPr>
            <w:tcW w:w="26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7" w:lineRule="exact"/>
        <w:rPr>
          <w:sz w:val="20"/>
          <w:szCs w:val="20"/>
          <w:color w:val="auto"/>
        </w:rPr>
      </w:pPr>
    </w:p>
    <w:p>
      <w:pPr>
        <w:ind w:left="1660" w:right="180"/>
        <w:spacing w:after="0" w:line="268" w:lineRule="auto"/>
        <w:rPr>
          <w:sz w:val="20"/>
          <w:szCs w:val="20"/>
          <w:color w:val="auto"/>
        </w:rPr>
      </w:pPr>
      <w:r>
        <w:rPr>
          <w:rFonts w:ascii="Arial" w:cs="Arial" w:eastAsia="Arial" w:hAnsi="Arial"/>
          <w:sz w:val="14"/>
          <w:szCs w:val="14"/>
          <w:color w:val="auto"/>
        </w:rPr>
        <w:t xml:space="preserve">not for the benefit of any other Lenders, a fee in an amount equal to the aggregate amount of the Term Loan Commitment as in effect on the Original Closing Date </w:t>
      </w:r>
      <w:r>
        <w:rPr>
          <w:rFonts w:ascii="Arial" w:cs="Arial" w:eastAsia="Arial" w:hAnsi="Arial"/>
          <w:sz w:val="14"/>
          <w:szCs w:val="14"/>
          <w:i w:val="1"/>
          <w:iCs w:val="1"/>
          <w:color w:val="auto"/>
        </w:rPr>
        <w:t xml:space="preserve">multiplied by </w:t>
      </w:r>
      <w:r>
        <w:rPr>
          <w:rFonts w:ascii="Arial" w:cs="Arial" w:eastAsia="Arial" w:hAnsi="Arial"/>
          <w:sz w:val="14"/>
          <w:szCs w:val="14"/>
          <w:color w:val="auto"/>
        </w:rPr>
        <w:t>one half of one percent (0.5%). All fees paid pursuant to this</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28</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90" w:name="page91"/>
    <w:bookmarkEnd w:id="90"/>
    <w:p>
      <w:pPr>
        <w:ind w:left="260"/>
        <w:spacing w:after="0"/>
        <w:rPr>
          <w:sz w:val="20"/>
          <w:szCs w:val="20"/>
          <w:color w:val="auto"/>
        </w:rPr>
      </w:pPr>
      <w:r>
        <w:rPr>
          <w:rFonts w:ascii="Arial" w:cs="Arial" w:eastAsia="Arial" w:hAnsi="Arial"/>
          <w:sz w:val="14"/>
          <w:szCs w:val="14"/>
          <w:color w:val="auto"/>
        </w:rPr>
        <w:t>paragraph were fully earned when due and payable and were non-refundable as of the Original Closing Date.</w:t>
      </w:r>
    </w:p>
    <w:p>
      <w:pPr>
        <w:spacing w:after="0" w:line="139"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00" w:type="dxa"/>
            <w:vAlign w:val="bottom"/>
          </w:tcPr>
          <w:p>
            <w:pPr>
              <w:ind w:left="1740"/>
              <w:spacing w:after="0"/>
              <w:rPr>
                <w:sz w:val="20"/>
                <w:szCs w:val="20"/>
                <w:color w:val="auto"/>
              </w:rPr>
            </w:pPr>
            <w:r>
              <w:rPr>
                <w:rFonts w:ascii="Arial" w:cs="Arial" w:eastAsia="Arial" w:hAnsi="Arial"/>
                <w:sz w:val="14"/>
                <w:szCs w:val="14"/>
                <w:color w:val="auto"/>
              </w:rPr>
              <w:t>(g)</w:t>
            </w:r>
          </w:p>
        </w:tc>
        <w:tc>
          <w:tcPr>
            <w:tcW w:w="8400" w:type="dxa"/>
            <w:vAlign w:val="bottom"/>
            <w:gridSpan w:val="4"/>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85"/>
        </w:trPr>
        <w:tc>
          <w:tcPr>
            <w:tcW w:w="2600" w:type="dxa"/>
            <w:vAlign w:val="bottom"/>
          </w:tcPr>
          <w:p>
            <w:pPr>
              <w:ind w:left="1740"/>
              <w:spacing w:after="0"/>
              <w:rPr>
                <w:sz w:val="20"/>
                <w:szCs w:val="20"/>
                <w:color w:val="auto"/>
              </w:rPr>
            </w:pPr>
            <w:r>
              <w:rPr>
                <w:rFonts w:ascii="Arial" w:cs="Arial" w:eastAsia="Arial" w:hAnsi="Arial"/>
                <w:sz w:val="14"/>
                <w:szCs w:val="14"/>
                <w:color w:val="auto"/>
              </w:rPr>
              <w:t>(h)</w:t>
            </w:r>
          </w:p>
        </w:tc>
        <w:tc>
          <w:tcPr>
            <w:tcW w:w="8400" w:type="dxa"/>
            <w:vAlign w:val="bottom"/>
            <w:gridSpan w:val="4"/>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85"/>
        </w:trPr>
        <w:tc>
          <w:tcPr>
            <w:tcW w:w="2600" w:type="dxa"/>
            <w:vAlign w:val="bottom"/>
          </w:tcPr>
          <w:p>
            <w:pPr>
              <w:ind w:left="1740"/>
              <w:spacing w:after="0"/>
              <w:rPr>
                <w:sz w:val="20"/>
                <w:szCs w:val="20"/>
                <w:color w:val="auto"/>
              </w:rPr>
            </w:pPr>
            <w:r>
              <w:rPr>
                <w:rFonts w:ascii="Arial" w:cs="Arial" w:eastAsia="Arial" w:hAnsi="Arial"/>
                <w:sz w:val="14"/>
                <w:szCs w:val="14"/>
                <w:color w:val="auto"/>
              </w:rPr>
              <w:t>(i)</w:t>
            </w:r>
          </w:p>
        </w:tc>
        <w:tc>
          <w:tcPr>
            <w:tcW w:w="8400" w:type="dxa"/>
            <w:vAlign w:val="bottom"/>
            <w:gridSpan w:val="4"/>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85"/>
        </w:trPr>
        <w:tc>
          <w:tcPr>
            <w:tcW w:w="2600" w:type="dxa"/>
            <w:vAlign w:val="bottom"/>
          </w:tcPr>
          <w:p>
            <w:pPr>
              <w:ind w:left="1740"/>
              <w:spacing w:after="0"/>
              <w:rPr>
                <w:sz w:val="20"/>
                <w:szCs w:val="20"/>
                <w:color w:val="auto"/>
              </w:rPr>
            </w:pPr>
            <w:r>
              <w:rPr>
                <w:rFonts w:ascii="Arial" w:cs="Arial" w:eastAsia="Arial" w:hAnsi="Arial"/>
                <w:sz w:val="14"/>
                <w:szCs w:val="14"/>
                <w:color w:val="auto"/>
              </w:rPr>
              <w:t>(j)</w:t>
            </w:r>
          </w:p>
        </w:tc>
        <w:tc>
          <w:tcPr>
            <w:tcW w:w="8400" w:type="dxa"/>
            <w:vAlign w:val="bottom"/>
            <w:gridSpan w:val="4"/>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76"/>
        </w:trPr>
        <w:tc>
          <w:tcPr>
            <w:tcW w:w="2600" w:type="dxa"/>
            <w:vAlign w:val="bottom"/>
          </w:tcPr>
          <w:p>
            <w:pPr>
              <w:spacing w:after="0"/>
              <w:rPr>
                <w:sz w:val="20"/>
                <w:szCs w:val="20"/>
                <w:color w:val="auto"/>
              </w:rPr>
            </w:pPr>
            <w:r>
              <w:rPr>
                <w:rFonts w:ascii="Arial" w:cs="Arial" w:eastAsia="Arial" w:hAnsi="Arial"/>
                <w:sz w:val="14"/>
                <w:szCs w:val="14"/>
                <w:color w:val="auto"/>
              </w:rPr>
              <w:t>(k)</w:t>
            </w:r>
          </w:p>
        </w:tc>
        <w:tc>
          <w:tcPr>
            <w:tcW w:w="280" w:type="dxa"/>
            <w:vAlign w:val="bottom"/>
          </w:tcPr>
          <w:p>
            <w:pPr>
              <w:spacing w:after="0"/>
              <w:rPr>
                <w:sz w:val="23"/>
                <w:szCs w:val="23"/>
                <w:color w:val="auto"/>
              </w:rPr>
            </w:pPr>
          </w:p>
        </w:tc>
        <w:tc>
          <w:tcPr>
            <w:tcW w:w="8120" w:type="dxa"/>
            <w:vAlign w:val="bottom"/>
            <w:gridSpan w:val="3"/>
          </w:tcPr>
          <w:p>
            <w:pPr>
              <w:spacing w:after="0"/>
              <w:rPr>
                <w:sz w:val="20"/>
                <w:szCs w:val="20"/>
                <w:color w:val="auto"/>
              </w:rPr>
            </w:pPr>
            <w:r>
              <w:rPr>
                <w:rFonts w:ascii="Arial" w:cs="Arial" w:eastAsia="Arial" w:hAnsi="Arial"/>
                <w:sz w:val="14"/>
                <w:szCs w:val="14"/>
                <w:color w:val="auto"/>
                <w:w w:val="91"/>
              </w:rPr>
              <w:t>Audit Fees. Borrowers shall pay to Agent, for its own account and not for the benefit of any other Lenders, all reasonable fees and expenses in</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1"/>
              </w:rPr>
              <w:t>connection with audits and inspections of Borrowers’ books and records, audits, valuations or appraisals of the Collateral, audits of Borrowers’ compliance with applicable</w:t>
            </w:r>
          </w:p>
        </w:tc>
      </w:t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88"/>
              </w:rPr>
              <w:t>Laws and such other matters as Agent shall deem appropriate, which shall be due and payable on the first Business Day of the month following the date of issuance by Agent</w:t>
            </w:r>
          </w:p>
        </w:tc>
      </w:t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0"/>
              </w:rPr>
              <w:t>of a written request for payment thereof to Borrowers. Notwithstanding the foregoing, so long as no Event of Default has occurred and is continuing, Borrowers shall not be</w:t>
            </w:r>
          </w:p>
        </w:tc>
      </w:tr>
      <w:tr>
        <w:trPr>
          <w:trHeight w:val="179"/>
        </w:trPr>
        <w:tc>
          <w:tcPr>
            <w:tcW w:w="820" w:type="dxa"/>
            <w:vAlign w:val="bottom"/>
          </w:tcPr>
          <w:p>
            <w:pPr>
              <w:spacing w:after="0"/>
              <w:rPr>
                <w:sz w:val="15"/>
                <w:szCs w:val="15"/>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rPr>
              <w:t>required to reimburse Agent for more than two (2) audits per fiscal year.</w:t>
            </w:r>
          </w:p>
        </w:tc>
      </w:tr>
      <w:tr>
        <w:trPr>
          <w:trHeight w:val="283"/>
        </w:trPr>
        <w:tc>
          <w:tcPr>
            <w:tcW w:w="820" w:type="dxa"/>
            <w:vAlign w:val="bottom"/>
          </w:tcPr>
          <w:p>
            <w:pPr>
              <w:spacing w:after="0"/>
              <w:rPr>
                <w:sz w:val="20"/>
                <w:szCs w:val="20"/>
                <w:color w:val="auto"/>
              </w:rPr>
            </w:pPr>
            <w:r>
              <w:rPr>
                <w:rFonts w:ascii="Arial" w:cs="Arial" w:eastAsia="Arial" w:hAnsi="Arial"/>
                <w:sz w:val="14"/>
                <w:szCs w:val="14"/>
                <w:color w:val="auto"/>
              </w:rPr>
              <w:t>(l)</w:t>
            </w:r>
          </w:p>
        </w:tc>
        <w:tc>
          <w:tcPr>
            <w:tcW w:w="206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Arial" w:cs="Arial" w:eastAsia="Arial" w:hAnsi="Arial"/>
                <w:sz w:val="14"/>
                <w:szCs w:val="14"/>
                <w:color w:val="auto"/>
                <w:w w:val="90"/>
              </w:rPr>
              <w:t>Wire Fees. Borrowers shall pay to Agent, for its own account and not for the account of any other Lenders, on written demand, fees for incoming</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75"/>
        </w:trPr>
        <w:tc>
          <w:tcPr>
            <w:tcW w:w="820" w:type="dxa"/>
            <w:vAlign w:val="bottom"/>
          </w:tcPr>
          <w:p>
            <w:pPr>
              <w:spacing w:after="0"/>
              <w:rPr>
                <w:sz w:val="15"/>
                <w:szCs w:val="15"/>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0"/>
              </w:rPr>
              <w:t>and outgoing wires made for the account of Borrowers, such fees to be based on Agent’s then current wire fee schedule (available upon written request of the Borrowers).</w:t>
            </w:r>
          </w:p>
        </w:tc>
      </w:tr>
      <w:tr>
        <w:trPr>
          <w:trHeight w:val="283"/>
        </w:trPr>
        <w:tc>
          <w:tcPr>
            <w:tcW w:w="820" w:type="dxa"/>
            <w:vAlign w:val="bottom"/>
          </w:tcPr>
          <w:p>
            <w:pPr>
              <w:spacing w:after="0"/>
              <w:rPr>
                <w:sz w:val="20"/>
                <w:szCs w:val="20"/>
                <w:color w:val="auto"/>
              </w:rPr>
            </w:pPr>
            <w:r>
              <w:rPr>
                <w:rFonts w:ascii="Arial" w:cs="Arial" w:eastAsia="Arial" w:hAnsi="Arial"/>
                <w:sz w:val="14"/>
                <w:szCs w:val="14"/>
                <w:color w:val="auto"/>
              </w:rPr>
              <w:t>(m)</w:t>
            </w:r>
          </w:p>
        </w:tc>
        <w:tc>
          <w:tcPr>
            <w:tcW w:w="206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Arial" w:cs="Arial" w:eastAsia="Arial" w:hAnsi="Arial"/>
                <w:sz w:val="14"/>
                <w:szCs w:val="14"/>
                <w:color w:val="auto"/>
                <w:w w:val="91"/>
              </w:rPr>
              <w:t>Late Charges. If payments of principal (other than a final installment of principal upon the Termination Date), interest due on the Obligations, or</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58"/>
        </w:trPr>
        <w:tc>
          <w:tcPr>
            <w:tcW w:w="820" w:type="dxa"/>
            <w:vAlign w:val="bottom"/>
          </w:tcPr>
          <w:p>
            <w:pPr>
              <w:spacing w:after="0"/>
              <w:rPr>
                <w:sz w:val="13"/>
                <w:szCs w:val="13"/>
                <w:color w:val="auto"/>
              </w:rPr>
            </w:pPr>
          </w:p>
        </w:tc>
        <w:tc>
          <w:tcPr>
            <w:tcW w:w="10180" w:type="dxa"/>
            <w:vAlign w:val="bottom"/>
            <w:gridSpan w:val="6"/>
          </w:tcPr>
          <w:p>
            <w:pPr>
              <w:ind w:left="620"/>
              <w:spacing w:after="0" w:line="159" w:lineRule="exact"/>
              <w:rPr>
                <w:sz w:val="20"/>
                <w:szCs w:val="20"/>
                <w:color w:val="auto"/>
              </w:rPr>
            </w:pPr>
            <w:r>
              <w:rPr>
                <w:rFonts w:ascii="Arial" w:cs="Arial" w:eastAsia="Arial" w:hAnsi="Arial"/>
                <w:sz w:val="14"/>
                <w:szCs w:val="14"/>
                <w:color w:val="auto"/>
                <w:w w:val="88"/>
              </w:rPr>
              <w:t>any other amounts due hereunder or under the other Financing Documents are not timely made and remain overdue for a period of five (5) days, Borrowers, without notice or</w:t>
            </w:r>
          </w:p>
        </w:tc>
      </w:t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1"/>
              </w:rPr>
              <w:t>demand by Agent, promptly shall pay to Agent, for its own account and not for the benefit of any other Lenders, as additional compensation to Agent in administering the</w:t>
            </w:r>
          </w:p>
        </w:tc>
      </w:tr>
      <w:tr>
        <w:trPr>
          <w:trHeight w:val="179"/>
        </w:trPr>
        <w:tc>
          <w:tcPr>
            <w:tcW w:w="820" w:type="dxa"/>
            <w:vAlign w:val="bottom"/>
          </w:tcPr>
          <w:p>
            <w:pPr>
              <w:spacing w:after="0"/>
              <w:rPr>
                <w:sz w:val="15"/>
                <w:szCs w:val="15"/>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rPr>
              <w:t>Obligations, an amount equal to three percent (3.0%) of each delinquent payment.</w:t>
            </w:r>
          </w:p>
        </w:tc>
      </w:tr>
      <w:tr>
        <w:trPr>
          <w:trHeight w:val="283"/>
        </w:trPr>
        <w:tc>
          <w:tcPr>
            <w:tcW w:w="820" w:type="dxa"/>
            <w:vAlign w:val="bottom"/>
          </w:tcPr>
          <w:p>
            <w:pPr>
              <w:spacing w:after="0"/>
              <w:rPr>
                <w:sz w:val="20"/>
                <w:szCs w:val="20"/>
                <w:color w:val="auto"/>
              </w:rPr>
            </w:pPr>
            <w:r>
              <w:rPr>
                <w:rFonts w:ascii="Arial" w:cs="Arial" w:eastAsia="Arial" w:hAnsi="Arial"/>
                <w:sz w:val="14"/>
                <w:szCs w:val="14"/>
                <w:color w:val="auto"/>
              </w:rPr>
              <w:t>(n)</w:t>
            </w:r>
          </w:p>
        </w:tc>
        <w:tc>
          <w:tcPr>
            <w:tcW w:w="206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Arial" w:cs="Arial" w:eastAsia="Arial" w:hAnsi="Arial"/>
                <w:sz w:val="14"/>
                <w:szCs w:val="14"/>
                <w:color w:val="auto"/>
                <w:w w:val="89"/>
              </w:rPr>
              <w:t>Computation of Interest and Related Fees. All interest and fees under each Financing Document shall be calculated on the basis of a 360-day year</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58"/>
        </w:trPr>
        <w:tc>
          <w:tcPr>
            <w:tcW w:w="820" w:type="dxa"/>
            <w:vAlign w:val="bottom"/>
          </w:tcPr>
          <w:p>
            <w:pPr>
              <w:spacing w:after="0"/>
              <w:rPr>
                <w:sz w:val="13"/>
                <w:szCs w:val="13"/>
                <w:color w:val="auto"/>
              </w:rPr>
            </w:pPr>
          </w:p>
        </w:tc>
        <w:tc>
          <w:tcPr>
            <w:tcW w:w="10180" w:type="dxa"/>
            <w:vAlign w:val="bottom"/>
            <w:gridSpan w:val="6"/>
          </w:tcPr>
          <w:p>
            <w:pPr>
              <w:ind w:left="620"/>
              <w:spacing w:after="0" w:line="159" w:lineRule="exact"/>
              <w:rPr>
                <w:sz w:val="20"/>
                <w:szCs w:val="20"/>
                <w:color w:val="auto"/>
              </w:rPr>
            </w:pPr>
            <w:r>
              <w:rPr>
                <w:rFonts w:ascii="Arial" w:cs="Arial" w:eastAsia="Arial" w:hAnsi="Arial"/>
                <w:sz w:val="14"/>
                <w:szCs w:val="14"/>
                <w:color w:val="auto"/>
                <w:w w:val="88"/>
              </w:rPr>
              <w:t>for the actual number of days elapsed. The date of funding of a Loan shall be included in the calculation of interest. The date of payment of a Loan shall be excluded from the</w:t>
            </w:r>
          </w:p>
        </w:tc>
      </w:tr>
      <w:tr>
        <w:trPr>
          <w:trHeight w:val="179"/>
        </w:trPr>
        <w:tc>
          <w:tcPr>
            <w:tcW w:w="820" w:type="dxa"/>
            <w:vAlign w:val="bottom"/>
          </w:tcPr>
          <w:p>
            <w:pPr>
              <w:spacing w:after="0"/>
              <w:rPr>
                <w:sz w:val="15"/>
                <w:szCs w:val="15"/>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rPr>
              <w:t>calculation of interest. If a Loan is repaid on the same day that it is made, one (1) day’s interest shall be charged.</w:t>
            </w:r>
          </w:p>
        </w:tc>
      </w:tr>
      <w:tr>
        <w:trPr>
          <w:trHeight w:val="283"/>
        </w:trPr>
        <w:tc>
          <w:tcPr>
            <w:tcW w:w="820" w:type="dxa"/>
            <w:vAlign w:val="bottom"/>
          </w:tcPr>
          <w:p>
            <w:pPr>
              <w:spacing w:after="0"/>
              <w:rPr>
                <w:sz w:val="20"/>
                <w:szCs w:val="20"/>
                <w:color w:val="auto"/>
              </w:rPr>
            </w:pPr>
            <w:r>
              <w:rPr>
                <w:rFonts w:ascii="Arial" w:cs="Arial" w:eastAsia="Arial" w:hAnsi="Arial"/>
                <w:sz w:val="14"/>
                <w:szCs w:val="14"/>
                <w:color w:val="auto"/>
              </w:rPr>
              <w:t>(o)</w:t>
            </w:r>
          </w:p>
        </w:tc>
        <w:tc>
          <w:tcPr>
            <w:tcW w:w="206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Arial" w:cs="Arial" w:eastAsia="Arial" w:hAnsi="Arial"/>
                <w:sz w:val="14"/>
                <w:szCs w:val="14"/>
                <w:color w:val="auto"/>
                <w:w w:val="91"/>
              </w:rPr>
              <w:t>Automated Clearing House Payments. If Agent so elects, monthly payments of principal, interest, fees, expenses or any other amounts due and</w:t>
            </w:r>
          </w:p>
        </w:tc>
      </w:tr>
      <w:tr>
        <w:trPr>
          <w:trHeight w:val="20"/>
        </w:trPr>
        <w:tc>
          <w:tcPr>
            <w:tcW w:w="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r>
      <w:tr>
        <w:trPr>
          <w:trHeight w:val="158"/>
        </w:trPr>
        <w:tc>
          <w:tcPr>
            <w:tcW w:w="820" w:type="dxa"/>
            <w:vAlign w:val="bottom"/>
          </w:tcPr>
          <w:p>
            <w:pPr>
              <w:spacing w:after="0"/>
              <w:rPr>
                <w:sz w:val="13"/>
                <w:szCs w:val="13"/>
                <w:color w:val="auto"/>
              </w:rPr>
            </w:pPr>
          </w:p>
        </w:tc>
        <w:tc>
          <w:tcPr>
            <w:tcW w:w="10180" w:type="dxa"/>
            <w:vAlign w:val="bottom"/>
            <w:gridSpan w:val="6"/>
          </w:tcPr>
          <w:p>
            <w:pPr>
              <w:ind w:left="620"/>
              <w:spacing w:after="0" w:line="159" w:lineRule="exact"/>
              <w:rPr>
                <w:sz w:val="20"/>
                <w:szCs w:val="20"/>
                <w:color w:val="auto"/>
              </w:rPr>
            </w:pPr>
            <w:r>
              <w:rPr>
                <w:rFonts w:ascii="Arial" w:cs="Arial" w:eastAsia="Arial" w:hAnsi="Arial"/>
                <w:sz w:val="14"/>
                <w:szCs w:val="14"/>
                <w:color w:val="auto"/>
                <w:w w:val="92"/>
              </w:rPr>
              <w:t>owing from Borrower to Agent hereunder shall be paid to Agent by Automated Clearing House debit of immediately available funds from the financial institution account</w:t>
            </w:r>
          </w:p>
        </w:tc>
      </w:t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1"/>
              </w:rPr>
              <w:t>designated by Borrower Representative in the Automated Clearing House debit authorization executed by Borrowers or Borrower Representative in connection with this</w:t>
            </w:r>
          </w:p>
        </w:tc>
      </w:tr>
      <w:tr>
        <w:trPr>
          <w:trHeight w:val="162"/>
        </w:trPr>
        <w:tc>
          <w:tcPr>
            <w:tcW w:w="820" w:type="dxa"/>
            <w:vAlign w:val="bottom"/>
          </w:tcPr>
          <w:p>
            <w:pPr>
              <w:spacing w:after="0"/>
              <w:rPr>
                <w:sz w:val="14"/>
                <w:szCs w:val="14"/>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w w:val="92"/>
              </w:rPr>
              <w:t>Agreement, and shall be effective upon receipt. Borrowers shall execute any and all forms and documentation necessary from time to time to effectuate such automatic</w:t>
            </w:r>
          </w:p>
        </w:tc>
      </w:tr>
      <w:tr>
        <w:trPr>
          <w:trHeight w:val="179"/>
        </w:trPr>
        <w:tc>
          <w:tcPr>
            <w:tcW w:w="820" w:type="dxa"/>
            <w:vAlign w:val="bottom"/>
          </w:tcPr>
          <w:p>
            <w:pPr>
              <w:spacing w:after="0"/>
              <w:rPr>
                <w:sz w:val="15"/>
                <w:szCs w:val="15"/>
                <w:color w:val="auto"/>
              </w:rPr>
            </w:pPr>
          </w:p>
        </w:tc>
        <w:tc>
          <w:tcPr>
            <w:tcW w:w="10180" w:type="dxa"/>
            <w:vAlign w:val="bottom"/>
            <w:gridSpan w:val="6"/>
          </w:tcPr>
          <w:p>
            <w:pPr>
              <w:ind w:left="620"/>
              <w:spacing w:after="0"/>
              <w:rPr>
                <w:sz w:val="20"/>
                <w:szCs w:val="20"/>
                <w:color w:val="auto"/>
              </w:rPr>
            </w:pPr>
            <w:r>
              <w:rPr>
                <w:rFonts w:ascii="Arial" w:cs="Arial" w:eastAsia="Arial" w:hAnsi="Arial"/>
                <w:sz w:val="14"/>
                <w:szCs w:val="14"/>
                <w:color w:val="auto"/>
              </w:rPr>
              <w:t>debiting. In no event shall any such payments be refunded to Borrowers.</w:t>
            </w:r>
          </w:p>
        </w:tc>
      </w:tr>
    </w:tbl>
    <w:p>
      <w:pPr>
        <w:spacing w:after="0" w:line="132" w:lineRule="exact"/>
        <w:rPr>
          <w:sz w:val="20"/>
          <w:szCs w:val="20"/>
          <w:color w:val="auto"/>
        </w:rPr>
      </w:pPr>
    </w:p>
    <w:p>
      <w:pPr>
        <w:ind w:left="140" w:firstLine="837"/>
        <w:spacing w:after="0" w:line="274" w:lineRule="auto"/>
        <w:rPr>
          <w:sz w:val="20"/>
          <w:szCs w:val="20"/>
          <w:color w:val="auto"/>
        </w:rPr>
      </w:pPr>
      <w:r>
        <w:rPr>
          <w:rFonts w:ascii="Arial" w:cs="Arial" w:eastAsia="Arial" w:hAnsi="Arial"/>
          <w:sz w:val="14"/>
          <w:szCs w:val="14"/>
          <w:b w:val="1"/>
          <w:bCs w:val="1"/>
          <w:color w:val="auto"/>
        </w:rPr>
        <w:t xml:space="preserve">Section 2.3 </w:t>
      </w:r>
      <w:r>
        <w:rPr>
          <w:rFonts w:ascii="Arial" w:cs="Arial" w:eastAsia="Arial" w:hAnsi="Arial"/>
          <w:sz w:val="14"/>
          <w:szCs w:val="14"/>
          <w:u w:val="single" w:color="auto"/>
          <w:color w:val="auto"/>
        </w:rPr>
        <w:t>Notes</w:t>
      </w:r>
      <w:r>
        <w:rPr>
          <w:rFonts w:ascii="Arial" w:cs="Arial" w:eastAsia="Arial" w:hAnsi="Arial"/>
          <w:sz w:val="14"/>
          <w:szCs w:val="14"/>
          <w:color w:val="auto"/>
        </w:rPr>
        <w:t>. The portion of the Loans made by each Lender shall be evidenced, if so requested by such Lender, by one or more promissory notes executed by Borrowers on a</w:t>
      </w:r>
      <w:r>
        <w:rPr>
          <w:rFonts w:ascii="Arial" w:cs="Arial" w:eastAsia="Arial" w:hAnsi="Arial"/>
          <w:sz w:val="14"/>
          <w:szCs w:val="14"/>
          <w:b w:val="1"/>
          <w:bCs w:val="1"/>
          <w:color w:val="auto"/>
        </w:rPr>
        <w:t xml:space="preserve"> </w:t>
      </w:r>
      <w:r>
        <w:rPr>
          <w:rFonts w:ascii="Arial" w:cs="Arial" w:eastAsia="Arial" w:hAnsi="Arial"/>
          <w:sz w:val="14"/>
          <w:szCs w:val="14"/>
          <w:color w:val="auto"/>
        </w:rPr>
        <w:t>joint and several basis (each, a “</w:t>
      </w:r>
      <w:r>
        <w:rPr>
          <w:rFonts w:ascii="Arial" w:cs="Arial" w:eastAsia="Arial" w:hAnsi="Arial"/>
          <w:sz w:val="14"/>
          <w:szCs w:val="14"/>
          <w:b w:val="1"/>
          <w:bCs w:val="1"/>
          <w:color w:val="auto"/>
        </w:rPr>
        <w:t>Note</w:t>
      </w:r>
      <w:r>
        <w:rPr>
          <w:rFonts w:ascii="Arial" w:cs="Arial" w:eastAsia="Arial" w:hAnsi="Arial"/>
          <w:sz w:val="14"/>
          <w:szCs w:val="14"/>
          <w:color w:val="auto"/>
        </w:rPr>
        <w:t>”) in an original principal amount equal to such Lender’s Term Loan Commitments.</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29</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91" w:name="page92"/>
    <w:bookmarkEnd w:id="91"/>
    <w:tbl>
      <w:tblPr>
        <w:tblLayout w:type="fixed"/>
        <w:tblInd w:w="220" w:type="dxa"/>
        <w:tblCellMar>
          <w:top w:w="0" w:type="dxa"/>
          <w:left w:w="0" w:type="dxa"/>
          <w:bottom w:w="0" w:type="dxa"/>
          <w:right w:w="0" w:type="dxa"/>
        </w:tblCellMar>
      </w:tblPr>
      <w:tr>
        <w:trPr>
          <w:trHeight w:val="161"/>
        </w:trPr>
        <w:tc>
          <w:tcPr>
            <w:tcW w:w="1440" w:type="dxa"/>
            <w:vAlign w:val="bottom"/>
          </w:tcPr>
          <w:p>
            <w:pPr>
              <w:ind w:left="780"/>
              <w:spacing w:after="0"/>
              <w:rPr>
                <w:sz w:val="20"/>
                <w:szCs w:val="20"/>
                <w:color w:val="auto"/>
              </w:rPr>
            </w:pPr>
            <w:r>
              <w:rPr>
                <w:rFonts w:ascii="Arial" w:cs="Arial" w:eastAsia="Arial" w:hAnsi="Arial"/>
                <w:sz w:val="14"/>
                <w:szCs w:val="14"/>
                <w:b w:val="1"/>
                <w:bCs w:val="1"/>
                <w:color w:val="auto"/>
                <w:w w:val="86"/>
              </w:rPr>
              <w:t>Section 2.4</w:t>
            </w:r>
          </w:p>
        </w:tc>
        <w:tc>
          <w:tcPr>
            <w:tcW w:w="1440" w:type="dxa"/>
            <w:vAlign w:val="bottom"/>
          </w:tcPr>
          <w:p>
            <w:pPr>
              <w:spacing w:after="0"/>
              <w:rPr>
                <w:sz w:val="14"/>
                <w:szCs w:val="14"/>
                <w:color w:val="auto"/>
              </w:rPr>
            </w:pPr>
          </w:p>
        </w:tc>
        <w:tc>
          <w:tcPr>
            <w:tcW w:w="8120" w:type="dxa"/>
            <w:vAlign w:val="bottom"/>
            <w:gridSpan w:val="3"/>
          </w:tcPr>
          <w:p>
            <w:pPr>
              <w:spacing w:after="0"/>
              <w:rPr>
                <w:sz w:val="20"/>
                <w:szCs w:val="20"/>
                <w:color w:val="auto"/>
              </w:rPr>
            </w:pPr>
            <w:r>
              <w:rPr>
                <w:rFonts w:ascii="Arial" w:cs="Arial" w:eastAsia="Arial" w:hAnsi="Arial"/>
                <w:sz w:val="14"/>
                <w:szCs w:val="14"/>
                <w:color w:val="auto"/>
              </w:rPr>
              <w:t>Reserved.</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6"/>
              </w:rPr>
              <w:t>Section 2.5</w:t>
            </w:r>
          </w:p>
        </w:tc>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4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4"/>
                <w:szCs w:val="14"/>
                <w:color w:val="auto"/>
              </w:rPr>
              <w:t>Reserved.</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780"/>
              <w:spacing w:after="0"/>
              <w:rPr>
                <w:sz w:val="20"/>
                <w:szCs w:val="20"/>
                <w:color w:val="auto"/>
              </w:rPr>
            </w:pPr>
            <w:r>
              <w:rPr>
                <w:rFonts w:ascii="Arial" w:cs="Arial" w:eastAsia="Arial" w:hAnsi="Arial"/>
                <w:sz w:val="14"/>
                <w:szCs w:val="14"/>
                <w:b w:val="1"/>
                <w:bCs w:val="1"/>
                <w:color w:val="auto"/>
                <w:w w:val="86"/>
              </w:rPr>
              <w:t>Section 2.6</w:t>
            </w:r>
          </w:p>
        </w:tc>
        <w:tc>
          <w:tcPr>
            <w:tcW w:w="1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14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4"/>
                <w:szCs w:val="14"/>
                <w:color w:val="auto"/>
              </w:rPr>
              <w:t>General Provisions Regarding Payment; Loan Account.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80" w:type="dxa"/>
            <w:vAlign w:val="bottom"/>
            <w:gridSpan w:val="2"/>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440" w:type="dxa"/>
            <w:vAlign w:val="bottom"/>
          </w:tcPr>
          <w:p>
            <w:pPr>
              <w:spacing w:after="0"/>
              <w:rPr>
                <w:sz w:val="20"/>
                <w:szCs w:val="20"/>
                <w:color w:val="auto"/>
              </w:rPr>
            </w:pPr>
            <w:r>
              <w:rPr>
                <w:rFonts w:ascii="Arial" w:cs="Arial" w:eastAsia="Arial" w:hAnsi="Arial"/>
                <w:sz w:val="14"/>
                <w:szCs w:val="14"/>
                <w:color w:val="auto"/>
              </w:rPr>
              <w:t>(a)</w:t>
            </w:r>
          </w:p>
        </w:tc>
        <w:tc>
          <w:tcPr>
            <w:tcW w:w="1440" w:type="dxa"/>
            <w:vAlign w:val="bottom"/>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4"/>
                <w:szCs w:val="14"/>
                <w:color w:val="auto"/>
                <w:w w:val="92"/>
              </w:rPr>
              <w:t>All payments to be made by each Borrower under any Financing Document, including payments of principal and interest made hereunder and</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9560" w:type="dxa"/>
            <w:vAlign w:val="bottom"/>
            <w:gridSpan w:val="4"/>
          </w:tcPr>
          <w:p>
            <w:pPr>
              <w:spacing w:after="0"/>
              <w:rPr>
                <w:sz w:val="20"/>
                <w:szCs w:val="20"/>
                <w:color w:val="auto"/>
              </w:rPr>
            </w:pPr>
            <w:r>
              <w:rPr>
                <w:rFonts w:ascii="Arial" w:cs="Arial" w:eastAsia="Arial" w:hAnsi="Arial"/>
                <w:sz w:val="14"/>
                <w:szCs w:val="14"/>
                <w:color w:val="auto"/>
                <w:w w:val="92"/>
              </w:rPr>
              <w:t>pursuant to any other Financing Document, and all fees, expenses, indemnities and reimbursements, shall be made without set-off, recoupment or counterclaim. If any</w:t>
            </w:r>
          </w:p>
        </w:tc>
        <w:tc>
          <w:tcPr>
            <w:tcW w:w="0" w:type="dxa"/>
            <w:vAlign w:val="bottom"/>
          </w:tcPr>
          <w:p>
            <w:pPr>
              <w:spacing w:after="0"/>
              <w:rPr>
                <w:sz w:val="1"/>
                <w:szCs w:val="1"/>
                <w:color w:val="auto"/>
              </w:rPr>
            </w:pPr>
          </w:p>
        </w:tc>
      </w:tr>
    </w:tbl>
    <w:p>
      <w:pPr>
        <w:jc w:val="both"/>
        <w:ind w:left="1660" w:right="120"/>
        <w:spacing w:after="0" w:line="284" w:lineRule="auto"/>
        <w:rPr>
          <w:sz w:val="20"/>
          <w:szCs w:val="20"/>
          <w:color w:val="auto"/>
        </w:rPr>
      </w:pPr>
      <w:r>
        <w:rPr>
          <w:rFonts w:ascii="Arial" w:cs="Arial" w:eastAsia="Arial" w:hAnsi="Arial"/>
          <w:sz w:val="12"/>
          <w:szCs w:val="12"/>
          <w:color w:val="auto"/>
        </w:rPr>
        <w:t>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w:t>
      </w:r>
    </w:p>
    <w:p>
      <w:pPr>
        <w:sectPr>
          <w:pgSz w:w="11900" w:h="16838" w:orient="portrait"/>
          <w:cols w:equalWidth="0" w:num="1">
            <w:col w:w="11340"/>
          </w:cols>
          <w:pgMar w:left="240" w:top="150" w:right="319" w:bottom="1440" w:gutter="0" w:footer="0" w:header="0"/>
        </w:sectPr>
      </w:pPr>
    </w:p>
    <w:p>
      <w:pPr>
        <w:jc w:val="both"/>
        <w:ind w:left="1660" w:right="140"/>
        <w:spacing w:after="0" w:line="243" w:lineRule="auto"/>
        <w:rPr>
          <w:sz w:val="20"/>
          <w:szCs w:val="20"/>
          <w:color w:val="auto"/>
        </w:rPr>
      </w:pPr>
      <w:r>
        <w:rPr>
          <w:rFonts w:ascii="Arial" w:cs="Arial" w:eastAsia="Arial" w:hAnsi="Arial"/>
          <w:sz w:val="14"/>
          <w:szCs w:val="14"/>
          <w:color w:val="auto"/>
        </w:rPr>
        <w:t>12:00 Noon (Eastern time) on any date shall be deemed received by Agent on such date, and any payments received in the Payment Account at or after 12:00 Noon (Eastern time) on any date shall be deemed received by Agent on the next succeeding Business Day.</w:t>
      </w:r>
    </w:p>
    <w:p>
      <w:pPr>
        <w:sectPr>
          <w:pgSz w:w="11900" w:h="16838" w:orient="portrait"/>
          <w:cols w:equalWidth="0" w:num="1">
            <w:col w:w="11340"/>
          </w:cols>
          <w:pgMar w:left="240" w:top="150" w:right="319" w:bottom="1440" w:gutter="0" w:footer="0" w:header="0"/>
          <w:type w:val="continuous"/>
        </w:sectPr>
      </w:pPr>
    </w:p>
    <w:p>
      <w:pPr>
        <w:spacing w:after="0" w:line="1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Agent shall maintain a loan account in the Register (the “</w:t>
      </w:r>
      <w:r>
        <w:rPr>
          <w:rFonts w:ascii="Arial" w:cs="Arial" w:eastAsia="Arial" w:hAnsi="Arial"/>
          <w:sz w:val="12"/>
          <w:szCs w:val="12"/>
          <w:b w:val="1"/>
          <w:bCs w:val="1"/>
          <w:color w:val="auto"/>
        </w:rPr>
        <w:t>Loan Account</w:t>
      </w:r>
      <w:r>
        <w:rPr>
          <w:rFonts w:ascii="Arial" w:cs="Arial" w:eastAsia="Arial" w:hAnsi="Arial"/>
          <w:sz w:val="12"/>
          <w:szCs w:val="12"/>
          <w:color w:val="auto"/>
        </w:rPr>
        <w:t>”) on its books to record Loans and other extensions of credit made by the</w:t>
      </w:r>
    </w:p>
    <w:p>
      <w:pPr>
        <w:spacing w:after="0" w:line="44" w:lineRule="exact"/>
        <w:rPr>
          <w:sz w:val="20"/>
          <w:szCs w:val="20"/>
          <w:color w:val="auto"/>
        </w:rPr>
      </w:pPr>
    </w:p>
    <w:p>
      <w:pPr>
        <w:sectPr>
          <w:pgSz w:w="11900" w:h="16838" w:orient="portrait"/>
          <w:cols w:equalWidth="0" w:num="2">
            <w:col w:w="2380" w:space="720"/>
            <w:col w:w="8240"/>
          </w:cols>
          <w:pgMar w:left="240" w:top="150" w:right="319" w:bottom="1440" w:gutter="0" w:footer="0" w:header="0"/>
          <w:type w:val="continuous"/>
        </w:sectPr>
      </w:pPr>
    </w:p>
    <w:p>
      <w:pPr>
        <w:jc w:val="both"/>
        <w:ind w:left="1660" w:right="120"/>
        <w:spacing w:after="0" w:line="242" w:lineRule="auto"/>
        <w:rPr>
          <w:sz w:val="20"/>
          <w:szCs w:val="20"/>
          <w:color w:val="auto"/>
        </w:rPr>
      </w:pPr>
      <w:r>
        <w:rPr>
          <w:rFonts w:ascii="Arial" w:cs="Arial" w:eastAsia="Arial" w:hAnsi="Arial"/>
          <w:sz w:val="14"/>
          <w:szCs w:val="14"/>
          <w:color w:val="auto"/>
        </w:rPr>
        <w:t xml:space="preserve">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any failure to so record or any error in so recording shall not limit or otherwise affect any Borrower’s ultimate obligation to pay all amounts owing hereunder or under any other Financing Document. Agent shall provide Borrowers with a monthly statement regarding the Loan Account.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32" w:lineRule="exact"/>
        <w:rPr>
          <w:sz w:val="20"/>
          <w:szCs w:val="20"/>
          <w:color w:val="auto"/>
        </w:rPr>
      </w:pPr>
    </w:p>
    <w:p>
      <w:pPr>
        <w:jc w:val="both"/>
        <w:ind w:left="140" w:firstLine="836"/>
        <w:spacing w:after="0" w:line="291" w:lineRule="auto"/>
        <w:rPr>
          <w:sz w:val="20"/>
          <w:szCs w:val="20"/>
          <w:color w:val="auto"/>
        </w:rPr>
      </w:pPr>
      <w:r>
        <w:rPr>
          <w:rFonts w:ascii="Arial" w:cs="Arial" w:eastAsia="Arial" w:hAnsi="Arial"/>
          <w:sz w:val="12"/>
          <w:szCs w:val="12"/>
          <w:b w:val="1"/>
          <w:bCs w:val="1"/>
          <w:color w:val="auto"/>
        </w:rPr>
        <w:t xml:space="preserve">Section 2.7 </w:t>
      </w:r>
      <w:r>
        <w:rPr>
          <w:rFonts w:ascii="Arial" w:cs="Arial" w:eastAsia="Arial" w:hAnsi="Arial"/>
          <w:sz w:val="12"/>
          <w:szCs w:val="12"/>
          <w:u w:val="single" w:color="auto"/>
          <w:color w:val="auto"/>
        </w:rPr>
        <w:t>Maximum Interest</w:t>
      </w:r>
      <w:r>
        <w:rPr>
          <w:rFonts w:ascii="Arial" w:cs="Arial" w:eastAsia="Arial" w:hAnsi="Arial"/>
          <w:sz w:val="12"/>
          <w:szCs w:val="12"/>
          <w:color w:val="auto"/>
        </w:rPr>
        <w:t>. In no event shall the interest charged with respect to the Loans or any other Obligations of any Borrower under any Financing Document exceed the</w:t>
      </w:r>
      <w:r>
        <w:rPr>
          <w:rFonts w:ascii="Arial" w:cs="Arial" w:eastAsia="Arial" w:hAnsi="Arial"/>
          <w:sz w:val="12"/>
          <w:szCs w:val="12"/>
          <w:b w:val="1"/>
          <w:bCs w:val="1"/>
          <w:color w:val="auto"/>
        </w:rPr>
        <w:t xml:space="preserve"> </w:t>
      </w:r>
      <w:r>
        <w:rPr>
          <w:rFonts w:ascii="Arial" w:cs="Arial" w:eastAsia="Arial" w:hAnsi="Arial"/>
          <w:sz w:val="12"/>
          <w:szCs w:val="12"/>
          <w:color w:val="auto"/>
        </w:rPr>
        <w:t>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Arial" w:cs="Arial" w:eastAsia="Arial" w:hAnsi="Arial"/>
          <w:sz w:val="12"/>
          <w:szCs w:val="12"/>
          <w:b w:val="1"/>
          <w:bCs w:val="1"/>
          <w:color w:val="auto"/>
        </w:rPr>
        <w:t>Stated Rate</w:t>
      </w:r>
      <w:r>
        <w:rPr>
          <w:rFonts w:ascii="Arial" w:cs="Arial" w:eastAsia="Arial" w:hAnsi="Arial"/>
          <w:sz w:val="12"/>
          <w:szCs w:val="12"/>
          <w:color w:val="auto"/>
        </w:rPr>
        <w:t>”) would exceed the highest rate of interest permitted under any applicable law to be charged (the “</w:t>
      </w:r>
      <w:r>
        <w:rPr>
          <w:rFonts w:ascii="Arial" w:cs="Arial" w:eastAsia="Arial" w:hAnsi="Arial"/>
          <w:sz w:val="12"/>
          <w:szCs w:val="12"/>
          <w:b w:val="1"/>
          <w:bCs w:val="1"/>
          <w:color w:val="auto"/>
        </w:rPr>
        <w:t>Maximum Lawful Rate</w:t>
      </w:r>
      <w:r>
        <w:rPr>
          <w:rFonts w:ascii="Arial" w:cs="Arial" w:eastAsia="Arial" w:hAnsi="Arial"/>
          <w:sz w:val="12"/>
          <w:szCs w:val="12"/>
          <w:color w:val="auto"/>
        </w:rPr>
        <w:t xml:space="preserve">”), then for so long as the Maximum Lawful Rate would be so exceeded, the rate of interest payable shall be equal to the Maximum Lawful Rate;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w:t>
      </w:r>
    </w:p>
    <w:p>
      <w:pPr>
        <w:spacing w:after="0" w:line="27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30</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50" w:right="319" w:bottom="1440" w:gutter="0" w:footer="0" w:header="0"/>
          <w:type w:val="continuous"/>
        </w:sectPr>
      </w:pPr>
    </w:p>
    <w:bookmarkStart w:id="92" w:name="page93"/>
    <w:bookmarkEnd w:id="92"/>
    <w:p>
      <w:pPr>
        <w:jc w:val="both"/>
        <w:ind w:left="140"/>
        <w:spacing w:after="0" w:line="255" w:lineRule="auto"/>
        <w:rPr>
          <w:sz w:val="20"/>
          <w:szCs w:val="20"/>
          <w:color w:val="auto"/>
        </w:rPr>
      </w:pPr>
      <w:r>
        <w:rPr>
          <w:rFonts w:ascii="Arial" w:cs="Arial" w:eastAsia="Arial" w:hAnsi="Arial"/>
          <w:sz w:val="14"/>
          <w:szCs w:val="14"/>
          <w:color w:val="auto"/>
        </w:rPr>
        <w:t xml:space="preserve">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days in the year in which such calculation is made.</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440" w:type="dxa"/>
            <w:vAlign w:val="bottom"/>
          </w:tcPr>
          <w:p>
            <w:pPr>
              <w:ind w:left="780"/>
              <w:spacing w:after="0"/>
              <w:rPr>
                <w:sz w:val="20"/>
                <w:szCs w:val="20"/>
                <w:color w:val="auto"/>
              </w:rPr>
            </w:pPr>
            <w:r>
              <w:rPr>
                <w:rFonts w:ascii="Arial" w:cs="Arial" w:eastAsia="Arial" w:hAnsi="Arial"/>
                <w:sz w:val="14"/>
                <w:szCs w:val="14"/>
                <w:b w:val="1"/>
                <w:bCs w:val="1"/>
                <w:color w:val="auto"/>
                <w:w w:val="86"/>
              </w:rPr>
              <w:t>Section 2.8</w:t>
            </w:r>
          </w:p>
        </w:tc>
        <w:tc>
          <w:tcPr>
            <w:tcW w:w="9560" w:type="dxa"/>
            <w:vAlign w:val="bottom"/>
            <w:gridSpan w:val="3"/>
          </w:tcPr>
          <w:p>
            <w:pPr>
              <w:ind w:left="1440"/>
              <w:spacing w:after="0"/>
              <w:rPr>
                <w:sz w:val="20"/>
                <w:szCs w:val="20"/>
                <w:color w:val="auto"/>
              </w:rPr>
            </w:pPr>
            <w:r>
              <w:rPr>
                <w:rFonts w:ascii="Arial" w:cs="Arial" w:eastAsia="Arial" w:hAnsi="Arial"/>
                <w:sz w:val="14"/>
                <w:szCs w:val="14"/>
                <w:color w:val="auto"/>
              </w:rPr>
              <w:t>Taxes; Capital Adequacy.</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440" w:type="dxa"/>
            <w:vAlign w:val="bottom"/>
          </w:tcPr>
          <w:p>
            <w:pPr>
              <w:spacing w:after="0"/>
              <w:rPr>
                <w:sz w:val="20"/>
                <w:szCs w:val="20"/>
                <w:color w:val="auto"/>
              </w:rPr>
            </w:pPr>
            <w:r>
              <w:rPr>
                <w:rFonts w:ascii="Arial" w:cs="Arial" w:eastAsia="Arial" w:hAnsi="Arial"/>
                <w:sz w:val="14"/>
                <w:szCs w:val="14"/>
                <w:color w:val="auto"/>
              </w:rPr>
              <w:t>(a)</w:t>
            </w:r>
          </w:p>
        </w:tc>
        <w:tc>
          <w:tcPr>
            <w:tcW w:w="144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89"/>
              </w:rPr>
              <w:t>All payments of principal and interest on the Loans and all other amounts payable hereunder shall be made free and clear of and without deduction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7"/>
              </w:rPr>
              <w:t>for any present or future income, excise, stamp, documentary, payroll, employment, property or franchise taxes and other taxes, fees, duties, levies, assessments, withholdings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8"/>
              </w:rPr>
              <w:t>or other charges of any nature whatsoever (including interest and penalties thereon) imposed by any taxing authority, excluding: (1) taxes imposed on or measured by Agent’s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or any Lender’s net income (however denominated), franchise taxes, and branch profits taxes that are imposed by the jurisdiction (or any subdivision thereof) under which</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3"/>
              </w:rPr>
              <w:t>Agent or such Lender is organized or conducts business or that are imposed due to a present or former connection between such Agent or Lender and the jurisdiction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3"/>
              </w:rPr>
              <w:t>imposing such tax (other than solely as the result of entering into any of the Financing Documents or taking any action thereunder) or, in the case of a Lender, has its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1"/>
              </w:rPr>
              <w:t>applicable lending office; (2) in the case of a Lender, U.S. federal withholding Taxes imposed on amounts payable to or for the account of such Lender with respect to an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8"/>
              </w:rPr>
              <w:t>applicable interest in a Loan pursuant to a law in effect on the date on which (i) such Lender acquires such interest in the Loan (other than pursuant to an assignment request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8"/>
              </w:rPr>
              <w:t>by the Borrower under Section 2.8(d)) or (ii) such Lender changes its lending office, except in each case to the extent that, pursuant to Section 2.8(a) amounts with respect to</w:t>
            </w: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9560" w:type="dxa"/>
            <w:vAlign w:val="bottom"/>
            <w:gridSpan w:val="3"/>
          </w:tcPr>
          <w:p>
            <w:pPr>
              <w:spacing w:after="0" w:line="158" w:lineRule="exact"/>
              <w:rPr>
                <w:sz w:val="20"/>
                <w:szCs w:val="20"/>
                <w:color w:val="auto"/>
              </w:rPr>
            </w:pPr>
            <w:r>
              <w:rPr>
                <w:rFonts w:ascii="Arial" w:cs="Arial" w:eastAsia="Arial" w:hAnsi="Arial"/>
                <w:sz w:val="14"/>
                <w:szCs w:val="14"/>
                <w:color w:val="auto"/>
                <w:w w:val="88"/>
              </w:rPr>
              <w:t>such taxes were payable either to such Lender's assignor immediately before such Lender became a party hereto or to such Lender immediately before it changed its lending</w:t>
            </w: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office, and (3) any U.S. federal withholding Taxes imposed under FATCA (all non-excluded items being called “</w:t>
            </w:r>
            <w:r>
              <w:rPr>
                <w:rFonts w:ascii="Arial" w:cs="Arial" w:eastAsia="Arial" w:hAnsi="Arial"/>
                <w:sz w:val="14"/>
                <w:szCs w:val="14"/>
                <w:b w:val="1"/>
                <w:bCs w:val="1"/>
                <w:color w:val="auto"/>
                <w:w w:val="90"/>
              </w:rPr>
              <w:t>Taxes</w:t>
            </w:r>
            <w:r>
              <w:rPr>
                <w:rFonts w:ascii="Arial" w:cs="Arial" w:eastAsia="Arial" w:hAnsi="Arial"/>
                <w:sz w:val="14"/>
                <w:szCs w:val="14"/>
                <w:color w:val="auto"/>
                <w:w w:val="90"/>
              </w:rPr>
              <w:t>”). If any withholding or deduction from any payment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2"/>
              </w:rPr>
              <w:t>to be made by any Credit Party hereunder is required in respect of any Taxes pursuant to any applicable Law, then such Credit Party will: (i) pay directly to the relevant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1"/>
              </w:rPr>
              <w:t>authority the full amount required to be so withheld or deducted; (ii) promptly forward to Agent an official receipt or other documentation reasonably satisfactory to Agent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9"/>
              </w:rPr>
              <w:t>evidencing such payment to such authority; and (iii) pay to Agent for the account of Agent and Lenders such additional amount or amounts as is necessary to ensure that the</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net amount actually received by Agent and each Lender will equal the full amount Agent and such Lender would have received had no such withholding or deduction been</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8"/>
              </w:rPr>
              <w:t>required. If any Taxes are directly asserted against Agent or any Lender with respect to any payment received by Agent or such Lender hereunder, Agent or such Lender may</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89"/>
              </w:rPr>
              <w:t>pay such Taxes and Borrowers will promptly pay such additional amounts (including any penalty, interest or reasonable out of pocket expense) as is necessary in order that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the net amount received by such Person after the payment of such Taxes (including any Taxes on such additional amount) shall equal the amount such Person would have</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received had such Taxes not been asserted so long as such amounts have accrued on or after the day which is two hundred seventy (270) days prior to the date on which</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rPr>
              <w:t>Agent or such Lender first made written demand therefor.</w:t>
            </w:r>
          </w:p>
        </w:tc>
        <w:tc>
          <w:tcPr>
            <w:tcW w:w="0" w:type="dxa"/>
            <w:vAlign w:val="bottom"/>
          </w:tcPr>
          <w:p>
            <w:pPr>
              <w:spacing w:after="0"/>
              <w:rPr>
                <w:sz w:val="1"/>
                <w:szCs w:val="1"/>
                <w:color w:val="auto"/>
              </w:rPr>
            </w:pPr>
          </w:p>
        </w:tc>
      </w:tr>
      <w:tr>
        <w:trPr>
          <w:trHeight w:val="299"/>
        </w:trPr>
        <w:tc>
          <w:tcPr>
            <w:tcW w:w="1440" w:type="dxa"/>
            <w:vAlign w:val="bottom"/>
          </w:tcPr>
          <w:p>
            <w:pPr>
              <w:spacing w:after="0"/>
              <w:rPr>
                <w:sz w:val="20"/>
                <w:szCs w:val="20"/>
                <w:color w:val="auto"/>
              </w:rPr>
            </w:pPr>
            <w:r>
              <w:rPr>
                <w:rFonts w:ascii="Arial" w:cs="Arial" w:eastAsia="Arial" w:hAnsi="Arial"/>
                <w:sz w:val="14"/>
                <w:szCs w:val="14"/>
                <w:color w:val="auto"/>
              </w:rPr>
              <w:t>(b)</w:t>
            </w:r>
          </w:p>
        </w:tc>
        <w:tc>
          <w:tcPr>
            <w:tcW w:w="144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94"/>
              </w:rPr>
              <w:t>If any Borrower fails to pay any Taxes when due to the appropriate Governmental Authority, Borrowers shall indemnify Agent and Lenders</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promptly upon written demand therefor, for any incremental Taxes, interest or penalties that may become payable by Agent or any Lender as a result of any such failure. A</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w w:val="90"/>
              </w:rPr>
              <w:t>certificate as to the amount of such payment or liability delivered to the Borrower by a Lender (with a copy to the Agent), or by the Agent on its own behalf or on behalf of a</w:t>
            </w:r>
          </w:p>
        </w:tc>
        <w:tc>
          <w:tcPr>
            <w:tcW w:w="0" w:type="dxa"/>
            <w:vAlign w:val="bottom"/>
          </w:tcPr>
          <w:p>
            <w:pPr>
              <w:spacing w:after="0"/>
              <w:rPr>
                <w:sz w:val="1"/>
                <w:szCs w:val="1"/>
                <w:color w:val="auto"/>
              </w:rPr>
            </w:pPr>
          </w:p>
        </w:tc>
      </w:tr>
      <w:tr>
        <w:trPr>
          <w:trHeight w:val="179"/>
        </w:trPr>
        <w:tc>
          <w:tcPr>
            <w:tcW w:w="1440" w:type="dxa"/>
            <w:vAlign w:val="bottom"/>
          </w:tcPr>
          <w:p>
            <w:pPr>
              <w:spacing w:after="0"/>
              <w:rPr>
                <w:sz w:val="15"/>
                <w:szCs w:val="15"/>
                <w:color w:val="auto"/>
              </w:rPr>
            </w:pPr>
          </w:p>
        </w:tc>
        <w:tc>
          <w:tcPr>
            <w:tcW w:w="9560" w:type="dxa"/>
            <w:vAlign w:val="bottom"/>
            <w:gridSpan w:val="3"/>
          </w:tcPr>
          <w:p>
            <w:pPr>
              <w:spacing w:after="0"/>
              <w:rPr>
                <w:sz w:val="20"/>
                <w:szCs w:val="20"/>
                <w:color w:val="auto"/>
              </w:rPr>
            </w:pPr>
            <w:r>
              <w:rPr>
                <w:rFonts w:ascii="Arial" w:cs="Arial" w:eastAsia="Arial" w:hAnsi="Arial"/>
                <w:sz w:val="14"/>
                <w:szCs w:val="14"/>
                <w:color w:val="auto"/>
              </w:rPr>
              <w:t>Lender, shall be conclusive absent manifest error.</w:t>
            </w:r>
          </w:p>
        </w:tc>
        <w:tc>
          <w:tcPr>
            <w:tcW w:w="0" w:type="dxa"/>
            <w:vAlign w:val="bottom"/>
          </w:tcPr>
          <w:p>
            <w:pPr>
              <w:spacing w:after="0"/>
              <w:rPr>
                <w:sz w:val="1"/>
                <w:szCs w:val="1"/>
                <w:color w:val="auto"/>
              </w:rPr>
            </w:pPr>
          </w:p>
        </w:tc>
      </w:tr>
      <w:tr>
        <w:trPr>
          <w:trHeight w:val="299"/>
        </w:trPr>
        <w:tc>
          <w:tcPr>
            <w:tcW w:w="1440" w:type="dxa"/>
            <w:vAlign w:val="bottom"/>
          </w:tcPr>
          <w:p>
            <w:pPr>
              <w:spacing w:after="0"/>
              <w:rPr>
                <w:sz w:val="20"/>
                <w:szCs w:val="20"/>
                <w:color w:val="auto"/>
              </w:rPr>
            </w:pPr>
            <w:r>
              <w:rPr>
                <w:rFonts w:ascii="Arial" w:cs="Arial" w:eastAsia="Arial" w:hAnsi="Arial"/>
                <w:sz w:val="14"/>
                <w:szCs w:val="14"/>
                <w:color w:val="auto"/>
              </w:rPr>
              <w:t>(c)</w:t>
            </w:r>
          </w:p>
        </w:tc>
        <w:tc>
          <w:tcPr>
            <w:tcW w:w="144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90"/>
              </w:rPr>
              <w:t>Each Lender (whether a party hereto on the Closing Date or an assignee of an interest as a Lender under this Agreement after the Closing Date</w:t>
            </w:r>
          </w:p>
        </w:tc>
        <w:tc>
          <w:tcPr>
            <w:tcW w:w="0" w:type="dxa"/>
            <w:vAlign w:val="bottom"/>
          </w:tcPr>
          <w:p>
            <w:pPr>
              <w:spacing w:after="0"/>
              <w:rPr>
                <w:sz w:val="1"/>
                <w:szCs w:val="1"/>
                <w:color w:val="auto"/>
              </w:rPr>
            </w:pPr>
          </w:p>
        </w:tc>
      </w:tr>
      <w:tr>
        <w:trPr>
          <w:trHeight w:val="179"/>
        </w:trPr>
        <w:tc>
          <w:tcPr>
            <w:tcW w:w="1440" w:type="dxa"/>
            <w:vAlign w:val="bottom"/>
            <w:vMerge w:val="restart"/>
          </w:tcPr>
          <w:p>
            <w:pPr>
              <w:spacing w:after="0"/>
              <w:rPr>
                <w:sz w:val="20"/>
                <w:szCs w:val="20"/>
                <w:color w:val="auto"/>
              </w:rPr>
            </w:pPr>
            <w:r>
              <w:rPr>
                <w:rFonts w:ascii="Arial" w:cs="Arial" w:eastAsia="Arial" w:hAnsi="Arial"/>
                <w:sz w:val="14"/>
                <w:szCs w:val="14"/>
                <w:color w:val="auto"/>
              </w:rPr>
              <w:t>(a)</w:t>
            </w:r>
          </w:p>
        </w:tc>
        <w:tc>
          <w:tcPr>
            <w:tcW w:w="9560" w:type="dxa"/>
            <w:vAlign w:val="bottom"/>
            <w:gridSpan w:val="3"/>
          </w:tcPr>
          <w:p>
            <w:pPr>
              <w:spacing w:after="0"/>
              <w:rPr>
                <w:sz w:val="20"/>
                <w:szCs w:val="20"/>
                <w:color w:val="auto"/>
              </w:rPr>
            </w:pPr>
            <w:r>
              <w:rPr>
                <w:rFonts w:ascii="Arial" w:cs="Arial" w:eastAsia="Arial" w:hAnsi="Arial"/>
                <w:sz w:val="14"/>
                <w:szCs w:val="14"/>
                <w:color w:val="auto"/>
              </w:rPr>
              <w:t>(unless such Lender was already a</w:t>
            </w: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93" w:name="page94"/>
    <w:bookmarkEnd w:id="93"/>
    <w:p>
      <w:pPr>
        <w:ind w:left="260"/>
        <w:spacing w:after="0" w:line="353" w:lineRule="auto"/>
        <w:rPr>
          <w:sz w:val="20"/>
          <w:szCs w:val="20"/>
          <w:color w:val="auto"/>
        </w:rPr>
      </w:pPr>
      <w:r>
        <w:rPr>
          <w:rFonts w:ascii="Arial" w:cs="Arial" w:eastAsia="Arial" w:hAnsi="Arial"/>
          <w:sz w:val="12"/>
          <w:szCs w:val="12"/>
          <w:color w:val="auto"/>
        </w:rPr>
        <w:t>Lender hereunder immediately prior to such assignment))shall at the time or times reasonably requested by the Borrower or the Agent, deliver such properly completed and executed documentation reasonably requested by the Borrower or the Agent as will permit such payments to be made without withholding or at a reduced rate of withholding, including, without limitation, the following:</w:t>
      </w:r>
    </w:p>
    <w:p>
      <w:pPr>
        <w:spacing w:after="0" w:line="7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Arial" w:cs="Arial" w:eastAsia="Arial" w:hAnsi="Arial"/>
                <w:sz w:val="14"/>
                <w:szCs w:val="14"/>
                <w:color w:val="auto"/>
              </w:rPr>
              <w:t>(i)</w:t>
            </w:r>
          </w:p>
        </w:tc>
        <w:tc>
          <w:tcPr>
            <w:tcW w:w="10180" w:type="dxa"/>
            <w:vAlign w:val="bottom"/>
          </w:tcPr>
          <w:p>
            <w:pPr>
              <w:jc w:val="right"/>
              <w:spacing w:after="0"/>
              <w:rPr>
                <w:sz w:val="20"/>
                <w:szCs w:val="20"/>
                <w:color w:val="auto"/>
              </w:rPr>
            </w:pPr>
            <w:r>
              <w:rPr>
                <w:rFonts w:ascii="Arial" w:cs="Arial" w:eastAsia="Arial" w:hAnsi="Arial"/>
                <w:sz w:val="14"/>
                <w:szCs w:val="14"/>
                <w:color w:val="auto"/>
              </w:rPr>
              <w:t>Each Lender that is not a U.S. person as defined in Section 7701(a)(30) of the Code and (A) is a party hereto on the Closing Date or (B) purports to</w:t>
            </w: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10180" w:type="dxa"/>
            <w:vAlign w:val="bottom"/>
          </w:tcPr>
          <w:p>
            <w:pPr>
              <w:jc w:val="right"/>
              <w:spacing w:after="0" w:line="158" w:lineRule="exact"/>
              <w:rPr>
                <w:sz w:val="20"/>
                <w:szCs w:val="20"/>
                <w:color w:val="auto"/>
              </w:rPr>
            </w:pPr>
            <w:r>
              <w:rPr>
                <w:rFonts w:ascii="Arial" w:cs="Arial" w:eastAsia="Arial" w:hAnsi="Arial"/>
                <w:sz w:val="14"/>
                <w:szCs w:val="14"/>
                <w:color w:val="auto"/>
                <w:w w:val="95"/>
              </w:rPr>
              <w:t>become an assignee of an interest as a Lender under this Agreement after the Closing Date (unless such Lender was already a Lender hereunder immediately prior to such</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6"/>
              </w:rPr>
              <w:t>assignment) (each such Lender a “</w:t>
            </w:r>
            <w:r>
              <w:rPr>
                <w:rFonts w:ascii="Arial" w:cs="Arial" w:eastAsia="Arial" w:hAnsi="Arial"/>
                <w:sz w:val="14"/>
                <w:szCs w:val="14"/>
                <w:b w:val="1"/>
                <w:bCs w:val="1"/>
                <w:color w:val="auto"/>
                <w:w w:val="96"/>
              </w:rPr>
              <w:t>Foreign Lender</w:t>
            </w:r>
            <w:r>
              <w:rPr>
                <w:rFonts w:ascii="Arial" w:cs="Arial" w:eastAsia="Arial" w:hAnsi="Arial"/>
                <w:sz w:val="14"/>
                <w:szCs w:val="14"/>
                <w:color w:val="auto"/>
                <w:w w:val="96"/>
              </w:rPr>
              <w:t>”) shall, to the extent it is legally entitled to do so, execute and deliver to each of Borrowers and Agent one or more (as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4"/>
              </w:rPr>
              <w:t>Borrowers or Agent may reasonably request) United States Internal Revenue Service Forms W-8ECI, W-8BEN, W-8BEN-E, W-8IMY or W-8EXP (as applicable), or applicable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2"/>
              </w:rPr>
              <w:t>successor form, and other applicable forms, certificates or documents prescribed by the United States Internal Revenue Service or reasonably requested by Agent certifying as to</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8"/>
              </w:rPr>
              <w:t>such Lender’s entitlement to a complete exemption from withholding or  deduction of Taxes, including, in the case of a Lender claiming the benefits of the exemption for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5"/>
              </w:rPr>
              <w:t>portfolio interest under Section 881(c) of the Code, (x) a certificate to the effect that such Lender is not a “bank” within the meaning of Section 881(c)(3)(A) of the Code, a “10</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3"/>
              </w:rPr>
              <w:t>percent shareholder” of the Borrower within the meaning of Section 881(c)(3)(B) of the Code, or a “controlled foreign corporation” described in Section 881(c)(3)(C) of the Code</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(a “U.S. Tax Compliance Certificate”);</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(ii)</w:t>
            </w:r>
          </w:p>
        </w:tc>
        <w:tc>
          <w:tcPr>
            <w:tcW w:w="10180" w:type="dxa"/>
            <w:vAlign w:val="bottom"/>
          </w:tcPr>
          <w:p>
            <w:pPr>
              <w:jc w:val="right"/>
              <w:spacing w:after="0"/>
              <w:rPr>
                <w:sz w:val="20"/>
                <w:szCs w:val="20"/>
                <w:color w:val="auto"/>
              </w:rPr>
            </w:pPr>
            <w:r>
              <w:rPr>
                <w:rFonts w:ascii="Arial" w:cs="Arial" w:eastAsia="Arial" w:hAnsi="Arial"/>
                <w:sz w:val="14"/>
                <w:szCs w:val="14"/>
                <w:color w:val="auto"/>
              </w:rPr>
              <w:t>A Lender that is organized under the laws of the United States or any state thereof or the District of Columbia (each such Lender a “US Lender”) shall</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4"/>
              </w:rPr>
              <w:t>execute and deliver to each of Borrowers and Agent one or more (as Borrowers or Agent may reasonably request) United States Internal Revenue Service Forms W-9, or any</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2"/>
              </w:rPr>
              <w:t>applicable successor form. In addition, any Lender, if reasonably requested by the Borrower or the Agent, shall deliver such other documentation prescribed by applicable law or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7"/>
              </w:rPr>
              <w:t>reasonably requested by the Borrower or the Agent as will enable the Borrower or the Agent to determine whether or not such Lender is subject to backup withholding or</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information reporting requirements; and</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(iii)</w:t>
            </w:r>
          </w:p>
        </w:tc>
        <w:tc>
          <w:tcPr>
            <w:tcW w:w="10180" w:type="dxa"/>
            <w:vAlign w:val="bottom"/>
          </w:tcPr>
          <w:p>
            <w:pPr>
              <w:jc w:val="right"/>
              <w:spacing w:after="0"/>
              <w:rPr>
                <w:sz w:val="20"/>
                <w:szCs w:val="20"/>
                <w:color w:val="auto"/>
              </w:rPr>
            </w:pPr>
            <w:r>
              <w:rPr>
                <w:rFonts w:ascii="Arial" w:cs="Arial" w:eastAsia="Arial" w:hAnsi="Arial"/>
                <w:sz w:val="14"/>
                <w:szCs w:val="14"/>
                <w:color w:val="auto"/>
              </w:rPr>
              <w:t>If a payment made to a Lender under any Financing Document would be subject to U.S. federal withholding Tax imposed by FATCA if such Lender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5"/>
              </w:rPr>
              <w:t>were to fail to comply with the applicable reporting requirements of FATCA (including those contained in Section 1471(b) or 1472(b) of the Code, as applicable), such Lender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9"/>
              </w:rPr>
              <w:t>shall deliver to the Borrower and the Agent at the time or times prescribed by law and at such time or times reasonably requested by the Borrower or the Agent such</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4"/>
              </w:rPr>
              <w:t>documentation prescribed by applicable law (including as prescribed by Section 1471(b)(3)(C)(i) of the Code) and such additional documentation reasonably requested by the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3"/>
              </w:rPr>
              <w:t>Borrower or the Agent as may be necessary for the Borrower and the Agent to comply with their obligations under FATCA and to determine that such Lender has complied with</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5"/>
              </w:rPr>
              <w:t>such Lender’s obligations under FATCA or to determine the amount to deduct and withhold from such payment. Solely for purposes of this clause (iii), “FATCA” shall include</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any amendments made to FATCA after the date of this Agreement.</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(iv)</w:t>
            </w:r>
          </w:p>
        </w:tc>
        <w:tc>
          <w:tcPr>
            <w:tcW w:w="10180" w:type="dxa"/>
            <w:vAlign w:val="bottom"/>
          </w:tcPr>
          <w:p>
            <w:pPr>
              <w:jc w:val="right"/>
              <w:spacing w:after="0"/>
              <w:rPr>
                <w:sz w:val="20"/>
                <w:szCs w:val="20"/>
                <w:color w:val="auto"/>
              </w:rPr>
            </w:pPr>
            <w:r>
              <w:rPr>
                <w:rFonts w:ascii="Arial" w:cs="Arial" w:eastAsia="Arial" w:hAnsi="Arial"/>
                <w:sz w:val="14"/>
                <w:szCs w:val="14"/>
                <w:color w:val="auto"/>
              </w:rPr>
              <w:t>Borrowers shall not be required to pay additional amounts to any Lender pursuant to this Section 2.8 with respect to United States withholding and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jc w:val="right"/>
              <w:spacing w:after="0"/>
              <w:rPr>
                <w:sz w:val="20"/>
                <w:szCs w:val="20"/>
                <w:color w:val="auto"/>
              </w:rPr>
            </w:pPr>
            <w:r>
              <w:rPr>
                <w:rFonts w:ascii="Arial" w:cs="Arial" w:eastAsia="Arial" w:hAnsi="Arial"/>
                <w:sz w:val="14"/>
                <w:szCs w:val="14"/>
                <w:color w:val="auto"/>
                <w:w w:val="92"/>
              </w:rPr>
              <w:t>income Taxes to the extent that the obligation to pay such additional amounts would not have arisen but for the failure of such Lender to comply with this paragraph other than as</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180" w:type="dxa"/>
            <w:vAlign w:val="bottom"/>
          </w:tcPr>
          <w:p>
            <w:pPr>
              <w:ind w:left="620"/>
              <w:spacing w:after="0"/>
              <w:rPr>
                <w:sz w:val="20"/>
                <w:szCs w:val="20"/>
                <w:color w:val="auto"/>
              </w:rPr>
            </w:pPr>
            <w:r>
              <w:rPr>
                <w:rFonts w:ascii="Arial" w:cs="Arial" w:eastAsia="Arial" w:hAnsi="Arial"/>
                <w:sz w:val="14"/>
                <w:szCs w:val="14"/>
                <w:color w:val="auto"/>
              </w:rPr>
              <w:t>a result of a change in law occurring after the date such Lender became a party to this Agreement or acquired its interest in a Loan, as applicable.</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0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0180" w:type="dxa"/>
            <w:vAlign w:val="bottom"/>
          </w:tcPr>
          <w:p>
            <w:pPr>
              <w:jc w:val="right"/>
              <w:ind w:right="69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94" w:name="page95"/>
    <w:bookmarkEnd w:id="94"/>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(v)</w:t>
            </w:r>
          </w:p>
        </w:tc>
        <w:tc>
          <w:tcPr>
            <w:tcW w:w="10200" w:type="dxa"/>
            <w:vAlign w:val="bottom"/>
          </w:tcPr>
          <w:p>
            <w:pPr>
              <w:ind w:left="2080"/>
              <w:spacing w:after="0"/>
              <w:rPr>
                <w:sz w:val="20"/>
                <w:szCs w:val="20"/>
                <w:color w:val="auto"/>
              </w:rPr>
            </w:pPr>
            <w:r>
              <w:rPr>
                <w:rFonts w:ascii="Arial" w:cs="Arial" w:eastAsia="Arial" w:hAnsi="Arial"/>
                <w:sz w:val="14"/>
                <w:szCs w:val="14"/>
                <w:color w:val="auto"/>
                <w:w w:val="86"/>
              </w:rPr>
              <w:t>Each Lender agrees that if any form or certification it previously delivered expires or becomes obsolete or inaccurate in any respect, it shall update such</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form or certification or promptly notify the Borrower and the Agent in writing of its legal inability to do so.</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ind w:left="2080"/>
              <w:spacing w:after="0"/>
              <w:rPr>
                <w:sz w:val="20"/>
                <w:szCs w:val="20"/>
                <w:color w:val="auto"/>
              </w:rPr>
            </w:pPr>
            <w:r>
              <w:rPr>
                <w:rFonts w:ascii="Arial" w:cs="Arial" w:eastAsia="Arial" w:hAnsi="Arial"/>
                <w:sz w:val="14"/>
                <w:szCs w:val="14"/>
                <w:color w:val="auto"/>
                <w:w w:val="90"/>
              </w:rPr>
              <w:t>If any Lender shall determine in its commercially reasonable judgment that the adoption or taking effect of, or any change in, any applicable Law</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regarding capital adequacy, in each instance, after the Original Closing Date, or any change after the Original Closing Date in the interpretation, administration or application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thereof by any Governmental Authority, central bank or comparable agency charged with the interpretation, administration or application thereof, or the compliance by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Lender or any Person controlling such Lender with any request, guideline or directive regarding capital adequacy (whether or not having the force of law) of any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Governmental Authority, central bank or comparable agency adopted or otherwise taking effect after the Original Closing Date, has or would have the effect of reducing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rate of return on such Lender’s or such controlling Person’s capital as a consequence of such Lender’s obligations hereunder to a level below that which such Lender or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controlling Person could have achieved but for such adoption, taking effect, change, interpretation, administration, application or compliance (taking into consideration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Lender’s or such controlling Person’s policies with respect to capital adequacy) then from time to time, upon written demand by such Lender (which demand shall be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accompanied by a statement setting forth the basis for such demand and a calculation of the amount thereof in reasonable detail, a copy of which shall be furnished to Agent),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Borrowers shall promptly pay to such Lender such additional amount as will compensate such Lender or such controlling Person for such reduction, so long as such amounts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 xml:space="preserve">have accrued on or after the day which is two hundred seventy (270) days prior  to the date on which such Lender first made demand therefor; </w:t>
            </w:r>
            <w:r>
              <w:rPr>
                <w:rFonts w:ascii="Arial" w:cs="Arial" w:eastAsia="Arial" w:hAnsi="Arial"/>
                <w:sz w:val="14"/>
                <w:szCs w:val="14"/>
                <w:i w:val="1"/>
                <w:iCs w:val="1"/>
                <w:color w:val="auto"/>
                <w:w w:val="92"/>
              </w:rPr>
              <w:t>provided, however,</w:t>
            </w:r>
            <w:r>
              <w:rPr>
                <w:rFonts w:ascii="Arial" w:cs="Arial" w:eastAsia="Arial" w:hAnsi="Arial"/>
                <w:sz w:val="14"/>
                <w:szCs w:val="14"/>
                <w:color w:val="auto"/>
                <w:w w:val="92"/>
              </w:rPr>
              <w:t xml:space="preserve"> that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notwithstanding anything in this Agreement to the contrary, (i) the Dodd-Frank Wall Street Reform and Consumer Protection Act and all requests, rules, guidelines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directives thereunder or issued in connection therewith and (ii) all requests, rules, guidelines or directives promulgated by the Bank for International Settlements, the Basel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Committee on Banking Supervision (or any successor or similar authority) or the United States or foreign regulatory authorities, in each case pursuant to Basel III, shall in</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each case be deemed to be a “change in applicable Law”, regardless of the date enacted, adopted or issued.</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(e)</w:t>
            </w:r>
          </w:p>
        </w:tc>
        <w:tc>
          <w:tcPr>
            <w:tcW w:w="10200" w:type="dxa"/>
            <w:vAlign w:val="bottom"/>
          </w:tcPr>
          <w:p>
            <w:pPr>
              <w:ind w:left="2080"/>
              <w:spacing w:after="0"/>
              <w:rPr>
                <w:sz w:val="20"/>
                <w:szCs w:val="20"/>
                <w:color w:val="auto"/>
              </w:rPr>
            </w:pPr>
            <w:r>
              <w:rPr>
                <w:rFonts w:ascii="Arial" w:cs="Arial" w:eastAsia="Arial" w:hAnsi="Arial"/>
                <w:sz w:val="14"/>
                <w:szCs w:val="14"/>
                <w:color w:val="auto"/>
                <w:w w:val="97"/>
              </w:rPr>
              <w:t>If any Lender requires compensation under Section 2.8(d), or requires any Borrower to pay any additional amount to any Lender or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Governmental Authority for the account of any Lender pursuant to Section 2.8(a), then, upon the written request of Borrower Representative, such Lender shall use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reasonable efforts to designate a different lending office for funding or booking its Loans hereunder or to assign its rights and obligations hereunder (subject to the terms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this Agreement) to another of its offices, branches or affiliates, if, in the judgment of such Lender, such designation or assignment (i) would eliminate or materially reduce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amounts payable pursuant to any such subsection, as the case may be, in the future, and (ii) would not subject such Lender to any unreimbursed cost or expense and would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not otherwise be disadvantageous to such Lender (as determined in its sole discretion). Borrowers hereby agree to pay all reasonable costs and expenses incurred by any</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Lender in connection with any such designation or assignment.</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(f)</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If any party determines, in its sole discretion exercised in good faith, that it has received a refund of any Taxes as to which it has been indemnified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pursuant to this Section 2.8 (including by the payment of additional amounts pursuant to this Section 2.8), it shall pay to the indemnifying party an amount equal to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refund (but only to the extent of indemnity payments made under this Section with respect to the Taxes giving rise to such refund), net of all out-of-pocket expenses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(including Taxes) of such indemnified party and without interest (other than any interest paid by the relevant Governmental Authority with respect to such refund). Such</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indemnifying party, upon the request of such indemnified party, shall repay to such indemnified party the amount paid over pursuant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95" w:name="page96"/>
    <w:bookmarkEnd w:id="95"/>
    <w:p>
      <w:pPr>
        <w:jc w:val="both"/>
        <w:ind w:left="260" w:right="20"/>
        <w:spacing w:after="0" w:line="247" w:lineRule="auto"/>
        <w:rPr>
          <w:sz w:val="20"/>
          <w:szCs w:val="20"/>
          <w:color w:val="auto"/>
        </w:rPr>
      </w:pPr>
      <w:r>
        <w:rPr>
          <w:rFonts w:ascii="Arial" w:cs="Arial" w:eastAsia="Arial" w:hAnsi="Arial"/>
          <w:sz w:val="14"/>
          <w:szCs w:val="14"/>
          <w:color w:val="auto"/>
        </w:rPr>
        <w:t>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w:t>
      </w:r>
    </w:p>
    <w:p>
      <w:pPr>
        <w:spacing w:after="0" w:line="2" w:lineRule="exact"/>
        <w:rPr>
          <w:sz w:val="20"/>
          <w:szCs w:val="20"/>
          <w:color w:val="auto"/>
        </w:rPr>
      </w:pPr>
    </w:p>
    <w:p>
      <w:pPr>
        <w:jc w:val="both"/>
        <w:ind w:left="260" w:hanging="8"/>
        <w:spacing w:after="0" w:line="307" w:lineRule="auto"/>
        <w:tabs>
          <w:tab w:leader="none" w:pos="72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98"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(g)</w:t>
            </w:r>
          </w:p>
        </w:tc>
        <w:tc>
          <w:tcPr>
            <w:tcW w:w="20" w:type="dxa"/>
            <w:vAlign w:val="bottom"/>
          </w:tcPr>
          <w:p>
            <w:pPr>
              <w:spacing w:after="0"/>
              <w:rPr>
                <w:sz w:val="14"/>
                <w:szCs w:val="1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92"/>
              </w:rPr>
              <w:t>Each party’s obligations under this Section 2.8 shall survive the resignation or replacement of the Agent or any assignment of rights by, or the</w:t>
            </w:r>
          </w:p>
        </w:tc>
      </w:tr>
      <w:tr>
        <w:trPr>
          <w:trHeight w:val="179"/>
        </w:trPr>
        <w:tc>
          <w:tcPr>
            <w:tcW w:w="2860" w:type="dxa"/>
            <w:vAlign w:val="bottom"/>
          </w:tcPr>
          <w:p>
            <w:pPr>
              <w:ind w:left="1440"/>
              <w:spacing w:after="0"/>
              <w:rPr>
                <w:sz w:val="20"/>
                <w:szCs w:val="20"/>
                <w:color w:val="auto"/>
              </w:rPr>
            </w:pPr>
            <w:r>
              <w:rPr>
                <w:rFonts w:ascii="Arial" w:cs="Arial" w:eastAsia="Arial" w:hAnsi="Arial"/>
                <w:sz w:val="14"/>
                <w:szCs w:val="14"/>
                <w:color w:val="auto"/>
                <w:w w:val="87"/>
              </w:rPr>
              <w:t>replacement of, a Lender,</w:t>
            </w:r>
          </w:p>
        </w:tc>
        <w:tc>
          <w:tcPr>
            <w:tcW w:w="20" w:type="dxa"/>
            <w:vAlign w:val="bottom"/>
          </w:tcPr>
          <w:p>
            <w:pPr>
              <w:spacing w:after="0"/>
              <w:rPr>
                <w:sz w:val="15"/>
                <w:szCs w:val="15"/>
                <w:color w:val="auto"/>
              </w:rPr>
            </w:pPr>
          </w:p>
        </w:tc>
        <w:tc>
          <w:tcPr>
            <w:tcW w:w="8120" w:type="dxa"/>
            <w:vAlign w:val="bottom"/>
            <w:gridSpan w:val="2"/>
          </w:tcPr>
          <w:p>
            <w:pPr>
              <w:ind w:left="20"/>
              <w:spacing w:after="0"/>
              <w:rPr>
                <w:sz w:val="20"/>
                <w:szCs w:val="20"/>
                <w:color w:val="auto"/>
              </w:rPr>
            </w:pPr>
            <w:r>
              <w:rPr>
                <w:rFonts w:ascii="Arial" w:cs="Arial" w:eastAsia="Arial" w:hAnsi="Arial"/>
                <w:sz w:val="14"/>
                <w:szCs w:val="14"/>
                <w:color w:val="auto"/>
                <w:w w:val="94"/>
              </w:rPr>
              <w:t>the termination of the obligations hereunder and the repayment, satisfaction or discharge of all obligations under any Financing Document.</w:t>
            </w:r>
          </w:p>
        </w:tc>
      </w:tr>
      <w:tr>
        <w:trPr>
          <w:trHeight w:val="283"/>
        </w:trPr>
        <w:tc>
          <w:tcPr>
            <w:tcW w:w="2860" w:type="dxa"/>
            <w:vAlign w:val="bottom"/>
          </w:tcPr>
          <w:p>
            <w:pPr>
              <w:ind w:left="780"/>
              <w:spacing w:after="0"/>
              <w:rPr>
                <w:sz w:val="20"/>
                <w:szCs w:val="20"/>
                <w:color w:val="auto"/>
              </w:rPr>
            </w:pPr>
            <w:r>
              <w:rPr>
                <w:rFonts w:ascii="Arial" w:cs="Arial" w:eastAsia="Arial" w:hAnsi="Arial"/>
                <w:sz w:val="14"/>
                <w:szCs w:val="14"/>
                <w:b w:val="1"/>
                <w:bCs w:val="1"/>
                <w:color w:val="auto"/>
              </w:rPr>
              <w:t>Section 2.9</w:t>
            </w:r>
          </w:p>
        </w:tc>
        <w:tc>
          <w:tcPr>
            <w:tcW w:w="8140" w:type="dxa"/>
            <w:vAlign w:val="bottom"/>
            <w:gridSpan w:val="3"/>
          </w:tcPr>
          <w:p>
            <w:pPr>
              <w:ind w:left="20"/>
              <w:spacing w:after="0"/>
              <w:rPr>
                <w:sz w:val="20"/>
                <w:szCs w:val="20"/>
                <w:color w:val="auto"/>
              </w:rPr>
            </w:pPr>
            <w:r>
              <w:rPr>
                <w:rFonts w:ascii="Arial" w:cs="Arial" w:eastAsia="Arial" w:hAnsi="Arial"/>
                <w:sz w:val="14"/>
                <w:szCs w:val="14"/>
                <w:color w:val="auto"/>
              </w:rPr>
              <w:t>Appointment of Borrower Representative.</w:t>
            </w: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14"/>
        </w:trPr>
        <w:tc>
          <w:tcPr>
            <w:tcW w:w="2860" w:type="dxa"/>
            <w:vAlign w:val="bottom"/>
          </w:tcPr>
          <w:p>
            <w:pP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89"/>
              </w:rPr>
              <w:t>Each Borrower hereby irrevocably appoints and constitutes Borrower Representative as its agent and attorney-in-fact to request and receive Loans</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90"/>
              </w:rPr>
              <w:t>in the name or on behalf of such Borrower and any other Borrowers, deliver Notices of Borrowing, give instructions with respect to the disbursement of the proceeds of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Loans , giving and receiving all other notices and consents hereunder or under any of the other Financing Documents and taking all other actions (including in respect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compliance with covenants) in the name or on behalf of any Borrower or Borrowers pursuant to this Agreement and the other Financing Documents. Agent and Lenders may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disburse the Loans to such bank account of Borrower Representative or a Borrower or otherwise make such Loans to a Borrower, in each case as Borrower Representative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may designate or direct, without notice to any other Borrower. Notwithstanding anything to the contrary contained herein, Agent may at any time and from time to time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require that Loans to or for the account of any Borrower be disbursed directly to an operating account of such Borrower.</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80"/>
              <w:spacing w:after="0"/>
              <w:rPr>
                <w:sz w:val="20"/>
                <w:szCs w:val="20"/>
                <w:color w:val="auto"/>
              </w:rPr>
            </w:pPr>
            <w:r>
              <w:rPr>
                <w:rFonts w:ascii="Arial" w:cs="Arial" w:eastAsia="Arial" w:hAnsi="Arial"/>
                <w:sz w:val="14"/>
                <w:szCs w:val="14"/>
                <w:color w:val="auto"/>
                <w:w w:val="93"/>
              </w:rPr>
              <w:t>Borrower Representative hereby accepts the appointment by Borrowers to act as the agent and attorney-in-fact of Borrowers pursuant to this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Section 2.9. Borrower Representative shall ensure that the disbursement of any Loans that are at any time requested by or to be remitted to or for the account of a Borrower,</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shall be remitted or issued to or for the account of such Borrower.</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60"/>
              <w:spacing w:after="0"/>
              <w:rPr>
                <w:sz w:val="20"/>
                <w:szCs w:val="20"/>
                <w:color w:val="auto"/>
              </w:rPr>
            </w:pPr>
            <w:r>
              <w:rPr>
                <w:rFonts w:ascii="Arial" w:cs="Arial" w:eastAsia="Arial" w:hAnsi="Arial"/>
                <w:sz w:val="14"/>
                <w:szCs w:val="14"/>
                <w:color w:val="auto"/>
                <w:w w:val="91"/>
              </w:rPr>
              <w:t>Each Borrower hereby irrevocably appoints and constitutes Borrower Representative as its agent to receive statements on account and all other</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notices from Agent, Lenders with respect to the Obligations or otherwise under or in connection with this Agreement and the other Financing Documents.</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Any notice, election, representation, warranty, covenant, agreement or undertaking made or delivered by or on behalf of any Borrower by Borrower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Representative shall be deemed for all purposes to have been made or delivered by such Borrower, as the case may be, and shall be binding upon and enforceable against</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such Borrower to the same extent as if the same had been made or delivered directly by such Borrower.</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(e)</w:t>
            </w:r>
          </w:p>
        </w:tc>
        <w:tc>
          <w:tcPr>
            <w:tcW w:w="10200" w:type="dxa"/>
            <w:vAlign w:val="bottom"/>
          </w:tcPr>
          <w:p>
            <w:pPr>
              <w:ind w:left="2080"/>
              <w:spacing w:after="0"/>
              <w:rPr>
                <w:sz w:val="20"/>
                <w:szCs w:val="20"/>
                <w:color w:val="auto"/>
              </w:rPr>
            </w:pPr>
            <w:r>
              <w:rPr>
                <w:rFonts w:ascii="Arial" w:cs="Arial" w:eastAsia="Arial" w:hAnsi="Arial"/>
                <w:sz w:val="14"/>
                <w:szCs w:val="14"/>
                <w:color w:val="auto"/>
                <w:w w:val="88"/>
              </w:rPr>
              <w:t>No resignation by or termination of the appointment of Borrower Representative as agent and attorney-in-fact as aforesaid shall be effective, except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after ten (10) Business Days’ prior written notice to Agent. If Borrower Representative resigns under this Agreement, Borrowers shall be entitled to appoint a successor</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Borrower Representative (which shall be a Borrower and shall be</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96" w:name="page97"/>
    <w:bookmarkEnd w:id="96"/>
    <w:p>
      <w:pPr>
        <w:jc w:val="both"/>
        <w:ind w:left="140"/>
        <w:spacing w:after="0" w:line="317" w:lineRule="auto"/>
        <w:rPr>
          <w:sz w:val="20"/>
          <w:szCs w:val="20"/>
          <w:color w:val="auto"/>
        </w:rPr>
      </w:pPr>
      <w:r>
        <w:rPr>
          <w:rFonts w:ascii="Arial" w:cs="Arial" w:eastAsia="Arial" w:hAnsi="Arial"/>
          <w:sz w:val="12"/>
          <w:szCs w:val="12"/>
          <w:color w:val="auto"/>
        </w:rPr>
        <w:t>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shall mean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7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60"/>
              <w:spacing w:after="0"/>
              <w:rPr>
                <w:sz w:val="20"/>
                <w:szCs w:val="20"/>
                <w:color w:val="auto"/>
              </w:rPr>
            </w:pPr>
            <w:r>
              <w:rPr>
                <w:rFonts w:ascii="Arial" w:cs="Arial" w:eastAsia="Arial" w:hAnsi="Arial"/>
                <w:sz w:val="14"/>
                <w:szCs w:val="14"/>
                <w:b w:val="1"/>
                <w:bCs w:val="1"/>
                <w:color w:val="auto"/>
              </w:rPr>
              <w:t>Section 2.10</w:t>
            </w:r>
          </w:p>
        </w:tc>
        <w:tc>
          <w:tcPr>
            <w:tcW w:w="740" w:type="dxa"/>
            <w:vAlign w:val="bottom"/>
          </w:tcPr>
          <w:p>
            <w:pPr>
              <w:spacing w:after="0"/>
              <w:rPr>
                <w:sz w:val="14"/>
                <w:szCs w:val="14"/>
                <w:color w:val="auto"/>
              </w:rPr>
            </w:pPr>
          </w:p>
        </w:tc>
        <w:tc>
          <w:tcPr>
            <w:tcW w:w="8060" w:type="dxa"/>
            <w:vAlign w:val="bottom"/>
            <w:gridSpan w:val="4"/>
          </w:tcPr>
          <w:p>
            <w:pPr>
              <w:spacing w:after="0"/>
              <w:rPr>
                <w:sz w:val="20"/>
                <w:szCs w:val="20"/>
                <w:color w:val="auto"/>
              </w:rPr>
            </w:pPr>
            <w:r>
              <w:rPr>
                <w:rFonts w:ascii="Arial" w:cs="Arial" w:eastAsia="Arial" w:hAnsi="Arial"/>
                <w:sz w:val="14"/>
                <w:szCs w:val="14"/>
                <w:color w:val="auto"/>
              </w:rPr>
              <w:t>Joint and Several Liability; Rights of Contribution; Subordination and Subrogation.</w:t>
            </w:r>
          </w:p>
        </w:tc>
      </w:tr>
      <w:tr>
        <w:trPr>
          <w:trHeight w:val="20"/>
        </w:trPr>
        <w:tc>
          <w:tcPr>
            <w:tcW w:w="218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14"/>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5"/>
          </w:tcPr>
          <w:p>
            <w:pPr>
              <w:ind w:left="700"/>
              <w:spacing w:after="0"/>
              <w:rPr>
                <w:sz w:val="20"/>
                <w:szCs w:val="20"/>
                <w:color w:val="auto"/>
              </w:rPr>
            </w:pPr>
            <w:r>
              <w:rPr>
                <w:rFonts w:ascii="Arial" w:cs="Arial" w:eastAsia="Arial" w:hAnsi="Arial"/>
                <w:sz w:val="14"/>
                <w:szCs w:val="14"/>
                <w:color w:val="auto"/>
                <w:w w:val="90"/>
              </w:rPr>
              <w:t xml:space="preserve">Borrowers are defined collectively to include all Persons named as one of the Borrowers herein; </w:t>
            </w:r>
            <w:r>
              <w:rPr>
                <w:rFonts w:ascii="Arial" w:cs="Arial" w:eastAsia="Arial" w:hAnsi="Arial"/>
                <w:sz w:val="14"/>
                <w:szCs w:val="14"/>
                <w:i w:val="1"/>
                <w:iCs w:val="1"/>
                <w:color w:val="auto"/>
                <w:w w:val="90"/>
              </w:rPr>
              <w:t>provided, however</w:t>
            </w:r>
            <w:r>
              <w:rPr>
                <w:rFonts w:ascii="Arial" w:cs="Arial" w:eastAsia="Arial" w:hAnsi="Arial"/>
                <w:sz w:val="14"/>
                <w:szCs w:val="14"/>
                <w:color w:val="auto"/>
                <w:w w:val="90"/>
              </w:rPr>
              <w:t>, that any references herein to</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90"/>
              </w:rPr>
              <w:t>“any Borrower”, “each Borrower” or similar references, shall be construed as a reference to each individual Person named as one of the Borrowers herein. Each Person so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named shall be jointly and severally liable for all of the obligations of Borrowers under this Agreement. Each Borrower, individually, expressly understands, agrees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acknowledges, that the credit facilities would not be made available on the terms herein in the absence of the collective credit of all of the Persons named as the Borrowers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herein, the joint and several liability of all such Persons, and the cross-collateralization of the collateral of all such Persons. Accordingly, each Borrower individually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7"/>
              </w:rPr>
              <w:t>acknowledges that the benefit to each of the Persons named as one of the Borrowers as a whole constitutes reasonably equivalent value, regardless of the amount of the credit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facilities actually borrowed by, advanced to, or the amount of collateral provided by, any individual Borrower. In addition, each entity named as one of the Borrowers herein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hereby acknowledges and agrees that all of the representations, warranties, covenants, obligations, conditions, agreements and other terms contained in this Agreement shall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be applicable to and shall be binding upon and measured and enforceable individually against each Person named as one of the Borrowers herein as well as all such Persons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when taken together. By way of illustration, but without limiting the generality of the foregoing, the terms of Section 10.1 of this Agreement are to be applied to each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individual Person named as one of the Borrowers herein (as well as to all such Persons taken as a whole), such that the occurrence of any of the events described in Section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7"/>
              </w:rPr>
              <w:t>10.1 of this Agreement as to any Person named as one of the Borrowers herein shall constitute an Event of Default even if such event has not occurred as to any other Persons</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named as the Borrowers or as to all such Persons taken as a whole.</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Notwithstanding any provisions of this Agreement to the contrary, it is intended that the joint and several nature of the liability of each Borrower for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the Obligations and the Liens granted by Borrowers to secure the Obligations, not constitute a Fraudulent Conveyance (as defined below). Consequently, Agent, Lenders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each Borrower agree that if the liability of a Borrower for the Obligations, or any Liens granted by such Borrower securing the Obligations would, but for the application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this sentence, constitute a Fraudulent Conveyance, the liability of such Borrower and the Liens securing such liability shall be valid and enforceable only to the maximum</w:t>
            </w: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10200" w:type="dxa"/>
            <w:vAlign w:val="bottom"/>
          </w:tcPr>
          <w:p>
            <w:pPr>
              <w:ind w:left="640"/>
              <w:spacing w:after="0" w:line="158" w:lineRule="exact"/>
              <w:rPr>
                <w:sz w:val="20"/>
                <w:szCs w:val="20"/>
                <w:color w:val="auto"/>
              </w:rPr>
            </w:pPr>
            <w:r>
              <w:rPr>
                <w:rFonts w:ascii="Arial" w:cs="Arial" w:eastAsia="Arial" w:hAnsi="Arial"/>
                <w:sz w:val="14"/>
                <w:szCs w:val="14"/>
                <w:color w:val="auto"/>
                <w:w w:val="91"/>
              </w:rPr>
              <w:t>extent that would not cause such liability or such Lien to constitute a Fraudulent Conveyance, and the liability of such Borrower and this Agreement shall automatically be</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deemed to have been amended accordingly. For purposes hereof, the term “</w:t>
            </w:r>
            <w:r>
              <w:rPr>
                <w:rFonts w:ascii="Arial" w:cs="Arial" w:eastAsia="Arial" w:hAnsi="Arial"/>
                <w:sz w:val="14"/>
                <w:szCs w:val="14"/>
                <w:b w:val="1"/>
                <w:bCs w:val="1"/>
                <w:color w:val="auto"/>
                <w:w w:val="89"/>
              </w:rPr>
              <w:t>Fraudulent Conveyance</w:t>
            </w:r>
            <w:r>
              <w:rPr>
                <w:rFonts w:ascii="Arial" w:cs="Arial" w:eastAsia="Arial" w:hAnsi="Arial"/>
                <w:sz w:val="14"/>
                <w:szCs w:val="14"/>
                <w:color w:val="auto"/>
                <w:w w:val="89"/>
              </w:rPr>
              <w:t>” means a fraudulent conveyance under Section 548 of Chapter 11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Title II of the Bankruptcy Code or a fraudulent conveyance or fraudulent transfer under the applicable provisions of any fraudulent conveyance or fraudulent transfer law or</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similar law of any state, nation or other governmental unit, as in effect from time to time.</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80"/>
              <w:spacing w:after="0"/>
              <w:rPr>
                <w:sz w:val="20"/>
                <w:szCs w:val="20"/>
                <w:color w:val="auto"/>
              </w:rPr>
            </w:pPr>
            <w:r>
              <w:rPr>
                <w:rFonts w:ascii="Arial" w:cs="Arial" w:eastAsia="Arial" w:hAnsi="Arial"/>
                <w:sz w:val="14"/>
                <w:szCs w:val="14"/>
                <w:color w:val="auto"/>
                <w:w w:val="91"/>
              </w:rPr>
              <w:t>Agent is hereby authorized, without notice or demand (except as otherwise specifically required under this Agreement) and without affecting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liability of any Borrower hereunder, at any time and from time to time, to (i) renew, extend or otherwise increase the time for payment of the Obligations; (ii) with the written</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w w:val="96"/>
              </w:rPr>
              <w:t>agreement of any Borrower, change the terms relating to the Obligations of such Borrower or otherwise modify, amend or change the terms of any Note of such</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97" w:name="page98"/>
    <w:bookmarkEnd w:id="97"/>
    <w:p>
      <w:pPr>
        <w:jc w:val="both"/>
        <w:ind w:left="260" w:right="20"/>
        <w:spacing w:after="0" w:line="267" w:lineRule="auto"/>
        <w:rPr>
          <w:sz w:val="20"/>
          <w:szCs w:val="20"/>
          <w:color w:val="auto"/>
        </w:rPr>
      </w:pPr>
      <w:r>
        <w:rPr>
          <w:rFonts w:ascii="Arial" w:cs="Arial" w:eastAsia="Arial" w:hAnsi="Arial"/>
          <w:sz w:val="13"/>
          <w:szCs w:val="13"/>
          <w:color w:val="auto"/>
        </w:rPr>
        <w:t>Borrower or other agreement, document or instrument now or hereafter executed by such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sole discretion, may determine; and (vi) settle, release, compromise, collect or otherwise liquidate the Obligations and any Collateral therefor in any manner, all guarantor and surety defenses being hereby waived by each Borrower. Without limitations of the foregoing, with respect to the Obligations, each Borrower hereby makes and adopts each of the agreements and waivers set forth in each Guarantee, the same being incorporated hereby by reference.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sole discretion, without affecting the validity or enforceability of the Obligations of the other Borrowers.</w:t>
      </w:r>
    </w:p>
    <w:p>
      <w:pPr>
        <w:sectPr>
          <w:pgSz w:w="11900" w:h="16838" w:orient="portrait"/>
          <w:cols w:equalWidth="0" w:num="1">
            <w:col w:w="11340"/>
          </w:cols>
          <w:pgMar w:left="240" w:top="165" w:right="319" w:bottom="1440" w:gutter="0" w:footer="0" w:header="0"/>
        </w:sectPr>
      </w:pPr>
    </w:p>
    <w:p>
      <w:pPr>
        <w:spacing w:after="0" w:line="121"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right="120" w:firstLine="1429"/>
        <w:spacing w:after="0" w:line="292" w:lineRule="auto"/>
        <w:rPr>
          <w:sz w:val="20"/>
          <w:szCs w:val="20"/>
          <w:color w:val="auto"/>
        </w:rPr>
      </w:pPr>
      <w:r>
        <w:rPr>
          <w:rFonts w:ascii="Arial" w:cs="Arial" w:eastAsia="Arial" w:hAnsi="Arial"/>
          <w:sz w:val="12"/>
          <w:szCs w:val="12"/>
          <w:color w:val="auto"/>
        </w:rPr>
        <w:t>Each Borrower hereby agrees that, except as hereinafter provided, its obligations hereunder shall be unconditional, irrespective of (i) 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 (2)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08"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220"/>
        <w:spacing w:after="0"/>
        <w:tabs>
          <w:tab w:leader="none" w:pos="3080" w:val="left"/>
        </w:tabs>
        <w:rPr>
          <w:sz w:val="20"/>
          <w:szCs w:val="20"/>
          <w:color w:val="auto"/>
        </w:rPr>
      </w:pPr>
      <w:r>
        <w:rPr>
          <w:rFonts w:ascii="Arial" w:cs="Arial" w:eastAsia="Arial" w:hAnsi="Arial"/>
          <w:sz w:val="12"/>
          <w:szCs w:val="12"/>
          <w:color w:val="auto"/>
        </w:rPr>
        <w:t>(e)</w:t>
      </w:r>
      <w:r>
        <w:rPr>
          <w:sz w:val="20"/>
          <w:szCs w:val="20"/>
          <w:color w:val="auto"/>
        </w:rPr>
        <w:tab/>
      </w:r>
      <w:r>
        <w:rPr>
          <w:rFonts w:ascii="Arial" w:cs="Arial" w:eastAsia="Arial" w:hAnsi="Arial"/>
          <w:sz w:val="12"/>
          <w:szCs w:val="12"/>
          <w:color w:val="auto"/>
        </w:rPr>
        <w:t>Borrowers hereby agree, as between themselves, that to the extent that Agent, on behalf of Lenders, shall have received from any Borrower any</w:t>
      </w:r>
    </w:p>
    <w:p>
      <w:pPr>
        <w:spacing w:after="0" w:line="36"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Recovery Amount (as defined below), then the paying Borrower shall have a right of contribution against each other Borrower in an amount equal to such other Borrower’s</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contributive share of such Recovery Amount; </w:t>
      </w:r>
      <w:r>
        <w:rPr>
          <w:rFonts w:ascii="Arial" w:cs="Arial" w:eastAsia="Arial" w:hAnsi="Arial"/>
          <w:sz w:val="12"/>
          <w:szCs w:val="12"/>
          <w:i w:val="1"/>
          <w:iCs w:val="1"/>
          <w:color w:val="auto"/>
        </w:rPr>
        <w:t>provided, however</w:t>
      </w:r>
      <w:r>
        <w:rPr>
          <w:rFonts w:ascii="Arial" w:cs="Arial" w:eastAsia="Arial" w:hAnsi="Arial"/>
          <w:sz w:val="12"/>
          <w:szCs w:val="12"/>
          <w:color w:val="auto"/>
        </w:rPr>
        <w:t>, that in the event any Borrower suffers a Deficiency Amount (as defined below), then the Borrower suffering</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the Deficiency Amount shall be entitled to seek and receive contribution from and against the other Borrowers in an amount equal to the Deficiency Amount; and </w:t>
      </w:r>
      <w:r>
        <w:rPr>
          <w:rFonts w:ascii="Arial" w:cs="Arial" w:eastAsia="Arial" w:hAnsi="Arial"/>
          <w:sz w:val="12"/>
          <w:szCs w:val="12"/>
          <w:i w:val="1"/>
          <w:iCs w:val="1"/>
          <w:color w:val="auto"/>
        </w:rPr>
        <w:t>provided,</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i w:val="1"/>
          <w:iCs w:val="1"/>
          <w:color w:val="auto"/>
        </w:rPr>
        <w:t>further</w:t>
      </w:r>
      <w:r>
        <w:rPr>
          <w:rFonts w:ascii="Arial" w:cs="Arial" w:eastAsia="Arial" w:hAnsi="Arial"/>
          <w:sz w:val="12"/>
          <w:szCs w:val="12"/>
          <w:color w:val="auto"/>
        </w:rPr>
        <w:t>, that in no event shall the aggregate amounts so reimbursed by reason of the contribution of any Borrower equal or exceed an amount that would, if paid, constitute or</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result in Fraudulent Conveyance. Until all Obligations have been paid and satisfied in full, no payment made by or for the account of a Borrower including, without</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limitation, (i) a payment made by such Borrower on behalf of the liabilities of any other Borrower, or</w:t>
      </w:r>
    </w:p>
    <w:p>
      <w:pPr>
        <w:sectPr>
          <w:pgSz w:w="11900" w:h="16838" w:orient="portrait"/>
          <w:cols w:equalWidth="0" w:num="1">
            <w:col w:w="11340"/>
          </w:cols>
          <w:pgMar w:left="240" w:top="165" w:right="319" w:bottom="1440" w:gutter="0" w:footer="0" w:header="0"/>
          <w:type w:val="continuous"/>
        </w:sectPr>
      </w:pPr>
    </w:p>
    <w:p>
      <w:pPr>
        <w:spacing w:after="0" w:line="6" w:lineRule="exact"/>
        <w:rPr>
          <w:sz w:val="20"/>
          <w:szCs w:val="20"/>
          <w:color w:val="auto"/>
        </w:rPr>
      </w:pPr>
    </w:p>
    <w:p>
      <w:pPr>
        <w:jc w:val="both"/>
        <w:ind w:left="260" w:hanging="8"/>
        <w:spacing w:after="0" w:line="259" w:lineRule="auto"/>
        <w:tabs>
          <w:tab w:leader="none" w:pos="764"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paid and satisfied in full in cash (and as to which no right of claw-back under applicable preference or fraudulent transfer Laws has been asserted), and no Borrower shall exercise any right or remedy with respect to this Section 2.10(e) until the</w:t>
      </w:r>
    </w:p>
    <w:p>
      <w:pPr>
        <w:spacing w:after="0"/>
        <w:tabs>
          <w:tab w:leader="none" w:pos="0" w:val="left"/>
        </w:tabs>
        <w:numPr>
          <w:ilvl w:val="0"/>
          <w:numId w:val="39"/>
        </w:numPr>
        <w:rPr>
          <w:rFonts w:ascii="Arial" w:cs="Arial" w:eastAsia="Arial" w:hAnsi="Arial"/>
          <w:sz w:val="14"/>
          <w:szCs w:val="14"/>
          <w:color w:val="auto"/>
        </w:rPr>
      </w:pP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98" w:name="page99"/>
    <w:bookmarkEnd w:id="98"/>
    <w:p>
      <w:pPr>
        <w:jc w:val="both"/>
        <w:ind w:left="260"/>
        <w:spacing w:after="0" w:line="299" w:lineRule="auto"/>
        <w:rPr>
          <w:sz w:val="20"/>
          <w:szCs w:val="20"/>
          <w:color w:val="auto"/>
        </w:rPr>
      </w:pPr>
      <w:r>
        <w:rPr>
          <w:rFonts w:ascii="Arial" w:cs="Arial" w:eastAsia="Arial" w:hAnsi="Arial"/>
          <w:sz w:val="12"/>
          <w:szCs w:val="12"/>
          <w:color w:val="auto"/>
        </w:rPr>
        <w:t>Obligations have been paid and satisfied in full in cash (and as to which no right of claw-back under applicable preference or fraudulent transfer Laws has been asserted). As used in this Section 2.10(e), the term “</w:t>
      </w:r>
      <w:r>
        <w:rPr>
          <w:rFonts w:ascii="Arial" w:cs="Arial" w:eastAsia="Arial" w:hAnsi="Arial"/>
          <w:sz w:val="12"/>
          <w:szCs w:val="12"/>
          <w:b w:val="1"/>
          <w:bCs w:val="1"/>
          <w:color w:val="auto"/>
        </w:rPr>
        <w:t>Recovery Amount</w:t>
      </w:r>
      <w:r>
        <w:rPr>
          <w:rFonts w:ascii="Arial" w:cs="Arial" w:eastAsia="Arial" w:hAnsi="Arial"/>
          <w:sz w:val="12"/>
          <w:szCs w:val="12"/>
          <w:color w:val="auto"/>
        </w:rPr>
        <w:t>” means the amount of proceeds received by or credited to Agent from the exercise of any remedy of the Lenders under this Agreement or the other Financing Documents, including, without limitation, the sale of any Collateral. As used in this Section 2.10(e), the term “</w:t>
      </w:r>
      <w:r>
        <w:rPr>
          <w:rFonts w:ascii="Arial" w:cs="Arial" w:eastAsia="Arial" w:hAnsi="Arial"/>
          <w:sz w:val="12"/>
          <w:szCs w:val="12"/>
          <w:b w:val="1"/>
          <w:bCs w:val="1"/>
          <w:color w:val="auto"/>
        </w:rPr>
        <w:t>Deficiency Amount</w:t>
      </w:r>
      <w:r>
        <w:rPr>
          <w:rFonts w:ascii="Arial" w:cs="Arial" w:eastAsia="Arial" w:hAnsi="Arial"/>
          <w:sz w:val="12"/>
          <w:szCs w:val="12"/>
          <w:color w:val="auto"/>
        </w:rPr>
        <w:t>” means any amount that is less than the entire amount a Borrower is entitled to receive by way of contribution or subrogation from, but that has not 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940" w:type="dxa"/>
            <w:vAlign w:val="bottom"/>
          </w:tcPr>
          <w:p>
            <w:pPr>
              <w:ind w:left="780"/>
              <w:spacing w:after="0"/>
              <w:rPr>
                <w:sz w:val="20"/>
                <w:szCs w:val="20"/>
                <w:color w:val="auto"/>
              </w:rPr>
            </w:pPr>
            <w:r>
              <w:rPr>
                <w:rFonts w:ascii="Arial" w:cs="Arial" w:eastAsia="Arial" w:hAnsi="Arial"/>
                <w:sz w:val="14"/>
                <w:szCs w:val="14"/>
                <w:b w:val="1"/>
                <w:bCs w:val="1"/>
                <w:color w:val="auto"/>
              </w:rPr>
              <w:t>Section 2.11</w:t>
            </w:r>
          </w:p>
        </w:tc>
        <w:tc>
          <w:tcPr>
            <w:tcW w:w="8060" w:type="dxa"/>
            <w:vAlign w:val="bottom"/>
            <w:gridSpan w:val="6"/>
          </w:tcPr>
          <w:p>
            <w:pPr>
              <w:spacing w:after="0"/>
              <w:rPr>
                <w:sz w:val="20"/>
                <w:szCs w:val="20"/>
                <w:color w:val="auto"/>
              </w:rPr>
            </w:pPr>
            <w:r>
              <w:rPr>
                <w:rFonts w:ascii="Arial" w:cs="Arial" w:eastAsia="Arial" w:hAnsi="Arial"/>
                <w:sz w:val="14"/>
                <w:szCs w:val="14"/>
                <w:color w:val="auto"/>
              </w:rPr>
              <w:t>Reserved.</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Section 2.12</w:t>
            </w: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40" w:type="dxa"/>
            <w:vAlign w:val="bottom"/>
            <w:gridSpan w:val="5"/>
          </w:tcPr>
          <w:p>
            <w:pPr>
              <w:spacing w:after="0"/>
              <w:rPr>
                <w:sz w:val="20"/>
                <w:szCs w:val="20"/>
                <w:color w:val="auto"/>
              </w:rPr>
            </w:pPr>
            <w:r>
              <w:rPr>
                <w:rFonts w:ascii="Arial" w:cs="Arial" w:eastAsia="Arial" w:hAnsi="Arial"/>
                <w:sz w:val="14"/>
                <w:szCs w:val="14"/>
                <w:color w:val="auto"/>
              </w:rPr>
              <w:t>Termination; Restriction on Termination.</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40" w:type="dxa"/>
            <w:vAlign w:val="bottom"/>
          </w:tcPr>
          <w:p>
            <w:pPr>
              <w:spacing w:after="0"/>
              <w:rPr>
                <w:sz w:val="20"/>
                <w:szCs w:val="20"/>
                <w:color w:val="auto"/>
              </w:rPr>
            </w:pPr>
            <w:r>
              <w:rPr>
                <w:rFonts w:ascii="Arial" w:cs="Arial" w:eastAsia="Arial" w:hAnsi="Arial"/>
                <w:sz w:val="14"/>
                <w:szCs w:val="14"/>
                <w:color w:val="auto"/>
              </w:rPr>
              <w:t>(a)</w:t>
            </w:r>
          </w:p>
        </w:tc>
        <w:tc>
          <w:tcPr>
            <w:tcW w:w="8060" w:type="dxa"/>
            <w:vAlign w:val="bottom"/>
            <w:gridSpan w:val="6"/>
          </w:tcPr>
          <w:p>
            <w:pPr>
              <w:spacing w:after="0"/>
              <w:rPr>
                <w:sz w:val="20"/>
                <w:szCs w:val="20"/>
                <w:color w:val="auto"/>
              </w:rPr>
            </w:pPr>
            <w:r>
              <w:rPr>
                <w:rFonts w:ascii="Arial" w:cs="Arial" w:eastAsia="Arial" w:hAnsi="Arial"/>
                <w:sz w:val="14"/>
                <w:szCs w:val="14"/>
                <w:color w:val="auto"/>
                <w:w w:val="88"/>
              </w:rPr>
              <w:t>Termination by Lenders. In addition to the rights set forth in Section 10.2, Agent may, and at the direction of Required Lenders shall, terminate this</w:t>
            </w:r>
          </w:p>
        </w:tc>
        <w:tc>
          <w:tcPr>
            <w:tcW w:w="0" w:type="dxa"/>
            <w:vAlign w:val="bottom"/>
          </w:tcPr>
          <w:p>
            <w:pPr>
              <w:spacing w:after="0"/>
              <w:rPr>
                <w:sz w:val="1"/>
                <w:szCs w:val="1"/>
                <w:color w:val="auto"/>
              </w:rPr>
            </w:pPr>
          </w:p>
        </w:tc>
      </w:tr>
      <w:tr>
        <w:trPr>
          <w:trHeight w:val="20"/>
        </w:trPr>
        <w:tc>
          <w:tcPr>
            <w:tcW w:w="2940" w:type="dxa"/>
            <w:vAlign w:val="bottom"/>
            <w:tcBorders>
              <w:right w:val="single" w:sz="8" w:color="auto"/>
            </w:tcBorders>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0" w:type="dxa"/>
            <w:vAlign w:val="bottom"/>
            <w:gridSpan w:val="7"/>
          </w:tcPr>
          <w:p>
            <w:pPr>
              <w:ind w:left="1440"/>
              <w:spacing w:after="0"/>
              <w:rPr>
                <w:sz w:val="20"/>
                <w:szCs w:val="20"/>
                <w:color w:val="auto"/>
              </w:rPr>
            </w:pPr>
            <w:r>
              <w:rPr>
                <w:rFonts w:ascii="Arial" w:cs="Arial" w:eastAsia="Arial" w:hAnsi="Arial"/>
                <w:sz w:val="14"/>
                <w:szCs w:val="14"/>
                <w:color w:val="auto"/>
              </w:rPr>
              <w:t>Agreement without notice upon or after the occurrence and during the continuance of an Event of Default.</w:t>
            </w:r>
          </w:p>
        </w:tc>
        <w:tc>
          <w:tcPr>
            <w:tcW w:w="0" w:type="dxa"/>
            <w:vAlign w:val="bottom"/>
          </w:tcPr>
          <w:p>
            <w:pPr>
              <w:spacing w:after="0"/>
              <w:rPr>
                <w:sz w:val="1"/>
                <w:szCs w:val="1"/>
                <w:color w:val="auto"/>
              </w:rPr>
            </w:pPr>
          </w:p>
        </w:tc>
      </w:tr>
      <w:tr>
        <w:trPr>
          <w:trHeight w:val="273"/>
        </w:trPr>
        <w:tc>
          <w:tcPr>
            <w:tcW w:w="2940" w:type="dxa"/>
            <w:vAlign w:val="bottom"/>
          </w:tcPr>
          <w:p>
            <w:pPr>
              <w:spacing w:after="0"/>
              <w:rPr>
                <w:sz w:val="20"/>
                <w:szCs w:val="20"/>
                <w:color w:val="auto"/>
              </w:rPr>
            </w:pPr>
            <w:r>
              <w:rPr>
                <w:rFonts w:ascii="Arial" w:cs="Arial" w:eastAsia="Arial" w:hAnsi="Arial"/>
                <w:sz w:val="14"/>
                <w:szCs w:val="14"/>
                <w:color w:val="auto"/>
              </w:rPr>
              <w:t>(b)</w:t>
            </w:r>
          </w:p>
        </w:tc>
        <w:tc>
          <w:tcPr>
            <w:tcW w:w="8060" w:type="dxa"/>
            <w:vAlign w:val="bottom"/>
            <w:gridSpan w:val="6"/>
          </w:tcPr>
          <w:p>
            <w:pPr>
              <w:spacing w:after="0"/>
              <w:rPr>
                <w:sz w:val="20"/>
                <w:szCs w:val="20"/>
                <w:color w:val="auto"/>
              </w:rPr>
            </w:pPr>
            <w:r>
              <w:rPr>
                <w:rFonts w:ascii="Arial" w:cs="Arial" w:eastAsia="Arial" w:hAnsi="Arial"/>
                <w:sz w:val="14"/>
                <w:szCs w:val="14"/>
                <w:color w:val="auto"/>
                <w:w w:val="89"/>
              </w:rPr>
              <w:t>Termination by Borrowers. Upon at least ten (10) Business Days’ prior written notice and pursuant to payoff documentation in form and substance</w:t>
            </w:r>
          </w:p>
        </w:tc>
        <w:tc>
          <w:tcPr>
            <w:tcW w:w="0" w:type="dxa"/>
            <w:vAlign w:val="bottom"/>
          </w:tcPr>
          <w:p>
            <w:pPr>
              <w:spacing w:after="0"/>
              <w:rPr>
                <w:sz w:val="1"/>
                <w:szCs w:val="1"/>
                <w:color w:val="auto"/>
              </w:rPr>
            </w:pPr>
          </w:p>
        </w:tc>
      </w:tr>
      <w:tr>
        <w:trPr>
          <w:trHeight w:val="20"/>
        </w:trPr>
        <w:tc>
          <w:tcPr>
            <w:tcW w:w="294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5"/>
              </w:rPr>
              <w:t>reasonably satisfactory to Agent and Lenders, Borrowers may, at their option, terminate this Agreement. Any notice of termination given by Borrowers shall be an</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3"/>
              </w:rPr>
              <w:t>irrevocable notice (</w:t>
            </w:r>
            <w:r>
              <w:rPr>
                <w:rFonts w:ascii="Arial" w:cs="Arial" w:eastAsia="Arial" w:hAnsi="Arial"/>
                <w:sz w:val="14"/>
                <w:szCs w:val="14"/>
                <w:i w:val="1"/>
                <w:iCs w:val="1"/>
                <w:color w:val="auto"/>
                <w:w w:val="93"/>
              </w:rPr>
              <w:t>provided</w:t>
            </w:r>
            <w:r>
              <w:rPr>
                <w:rFonts w:ascii="Arial" w:cs="Arial" w:eastAsia="Arial" w:hAnsi="Arial"/>
                <w:sz w:val="14"/>
                <w:szCs w:val="14"/>
                <w:color w:val="auto"/>
                <w:w w:val="93"/>
              </w:rPr>
              <w:t xml:space="preserve"> that such notice may be conditioned on closing the applicable refinancing or transfer for which such notice was given) unless all Lenders</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88"/>
              </w:rPr>
              <w:t>otherwise agree in writing and no Lender shall have any obligation to make any Loans on or after the termination date stated in such notice. Borrowers may elect to terminate</w:t>
            </w:r>
          </w:p>
        </w:tc>
      </w:tr>
      <w:tr>
        <w:trPr>
          <w:trHeight w:val="179"/>
        </w:trPr>
        <w:tc>
          <w:tcPr>
            <w:tcW w:w="800" w:type="dxa"/>
            <w:vAlign w:val="bottom"/>
          </w:tcPr>
          <w:p>
            <w:pPr>
              <w:spacing w:after="0"/>
              <w:rPr>
                <w:sz w:val="15"/>
                <w:szCs w:val="15"/>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rPr>
              <w:t>this Agreement in its entirety only. No section of this Agreement or type of Loan available hereunder may be terminated singly.</w:t>
            </w:r>
          </w:p>
        </w:tc>
      </w:tr>
      <w:tr>
        <w:trPr>
          <w:trHeight w:val="283"/>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20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97"/>
              </w:rPr>
              <w:t>Effectiveness of Termination. All of the Obligations shall be immediately due and payable upon the Termination Date. All undertakings,</w:t>
            </w:r>
          </w:p>
        </w:tc>
      </w:tr>
      <w:tr>
        <w:trPr>
          <w:trHeight w:val="20"/>
        </w:trPr>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158"/>
        </w:trPr>
        <w:tc>
          <w:tcPr>
            <w:tcW w:w="800" w:type="dxa"/>
            <w:vAlign w:val="bottom"/>
          </w:tcPr>
          <w:p>
            <w:pPr>
              <w:spacing w:after="0"/>
              <w:rPr>
                <w:sz w:val="13"/>
                <w:szCs w:val="13"/>
                <w:color w:val="auto"/>
              </w:rPr>
            </w:pPr>
          </w:p>
        </w:tc>
        <w:tc>
          <w:tcPr>
            <w:tcW w:w="10200" w:type="dxa"/>
            <w:vAlign w:val="bottom"/>
            <w:gridSpan w:val="3"/>
          </w:tcPr>
          <w:p>
            <w:pPr>
              <w:ind w:left="640"/>
              <w:spacing w:after="0" w:line="159" w:lineRule="exact"/>
              <w:rPr>
                <w:sz w:val="20"/>
                <w:szCs w:val="20"/>
                <w:color w:val="auto"/>
              </w:rPr>
            </w:pPr>
            <w:r>
              <w:rPr>
                <w:rFonts w:ascii="Arial" w:cs="Arial" w:eastAsia="Arial" w:hAnsi="Arial"/>
                <w:sz w:val="14"/>
                <w:szCs w:val="14"/>
                <w:color w:val="auto"/>
                <w:w w:val="88"/>
              </w:rPr>
              <w:t>agreements, covenants, warranties and representations of Borrowers contained in the Financing Documents shall survive any such termination and Agent shall retain its Liens</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0"/>
              </w:rPr>
              <w:t>in the Collateral and Agent and each Lender shall retain all of its rights and remedies under the Financing Documents notwithstanding such termination until all Obligations</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1"/>
              </w:rPr>
              <w:t>have been discharged or paid, in full, in immediately available funds, including, without limitation, all Obligations under Section 2.2(g) and Section 2.2(h) and the terms of</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1"/>
              </w:rPr>
              <w:t>any fee letter resulting from such termination. Notwithstanding the foregoing or the payment in full of the Obligations, Agent shall not be required to terminate its Liens in</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1"/>
              </w:rPr>
              <w:t>the Collateral unless, with respect to any loss or damage Agent may incur as a result of dishonored checks or other items of payment received by Agent from Borrower or</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89"/>
              </w:rPr>
              <w:t>any Account Debtor and applied to the Obligations, Agent shall, at its option, (i) have received a written agreement satisfactory to Agent, executed by Borrowers and by any</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2"/>
              </w:rPr>
              <w:t>Person whose loans or other advances to Borrowers are used in whole or in part to satisfy the Obligations, indemnifying Agent and each Lender from any such loss or</w:t>
            </w: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88"/>
              </w:rPr>
              <w:t>damage or (ii) have retained cash Collateral or other Collateral for such period of time as Agent, in its discretion, may deem necessary to protect Agent and each Lender from</w:t>
            </w:r>
          </w:p>
        </w:tc>
      </w:tr>
      <w:tr>
        <w:trPr>
          <w:trHeight w:val="179"/>
        </w:trPr>
        <w:tc>
          <w:tcPr>
            <w:tcW w:w="800" w:type="dxa"/>
            <w:vAlign w:val="bottom"/>
          </w:tcPr>
          <w:p>
            <w:pPr>
              <w:spacing w:after="0"/>
              <w:rPr>
                <w:sz w:val="15"/>
                <w:szCs w:val="15"/>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rPr>
              <w:t>any such loss or damage.</w:t>
            </w:r>
          </w:p>
        </w:tc>
      </w:tr>
    </w:tbl>
    <w:p>
      <w:pPr>
        <w:spacing w:after="0" w:line="132"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ARTICLE 3 - REPRESENTATIONS AND WARRANTIES</w:t>
      </w:r>
    </w:p>
    <w:p>
      <w:pPr>
        <w:spacing w:after="0" w:line="158" w:lineRule="exact"/>
        <w:rPr>
          <w:sz w:val="20"/>
          <w:szCs w:val="20"/>
          <w:color w:val="auto"/>
        </w:rPr>
      </w:pPr>
    </w:p>
    <w:p>
      <w:pPr>
        <w:ind w:left="140" w:right="20" w:firstLine="836"/>
        <w:spacing w:after="0" w:line="268" w:lineRule="auto"/>
        <w:rPr>
          <w:sz w:val="20"/>
          <w:szCs w:val="20"/>
          <w:color w:val="auto"/>
        </w:rPr>
      </w:pPr>
      <w:r>
        <w:rPr>
          <w:rFonts w:ascii="Arial" w:cs="Arial" w:eastAsia="Arial" w:hAnsi="Arial"/>
          <w:sz w:val="14"/>
          <w:szCs w:val="14"/>
          <w:color w:val="auto"/>
        </w:rPr>
        <w:t>To induce Agent and Lenders to enter into this Agreement and to make the Loans and other credit accommodations contemplated hereby, each Borrower hereby represents and warrants to Agent and each Lender that:</w:t>
      </w:r>
    </w:p>
    <w:p>
      <w:pPr>
        <w:spacing w:after="0" w:line="280"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37</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99" w:name="page100"/>
    <w:bookmarkEnd w:id="99"/>
    <w:p>
      <w:pPr>
        <w:jc w:val="both"/>
        <w:ind w:left="140" w:firstLine="837"/>
        <w:spacing w:after="0" w:line="269" w:lineRule="auto"/>
        <w:rPr>
          <w:sz w:val="20"/>
          <w:szCs w:val="20"/>
          <w:color w:val="auto"/>
        </w:rPr>
      </w:pPr>
      <w:r>
        <w:rPr>
          <w:rFonts w:ascii="Arial" w:cs="Arial" w:eastAsia="Arial" w:hAnsi="Arial"/>
          <w:sz w:val="13"/>
          <w:szCs w:val="13"/>
          <w:b w:val="1"/>
          <w:bCs w:val="1"/>
          <w:color w:val="auto"/>
        </w:rPr>
        <w:t xml:space="preserve">Section 3.1 </w:t>
      </w:r>
      <w:r>
        <w:rPr>
          <w:rFonts w:ascii="Arial" w:cs="Arial" w:eastAsia="Arial" w:hAnsi="Arial"/>
          <w:sz w:val="13"/>
          <w:szCs w:val="13"/>
          <w:u w:val="single" w:color="auto"/>
          <w:color w:val="auto"/>
        </w:rPr>
        <w:t>Existence and Power</w:t>
      </w:r>
      <w:r>
        <w:rPr>
          <w:rFonts w:ascii="Arial" w:cs="Arial" w:eastAsia="Arial" w:hAnsi="Arial"/>
          <w:sz w:val="13"/>
          <w:szCs w:val="13"/>
          <w:color w:val="auto"/>
        </w:rPr>
        <w:t>. Each Credit Party (a) is an entity as specified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Schedule 3.1</w:t>
      </w:r>
      <w:r>
        <w:rPr>
          <w:rFonts w:ascii="Arial" w:cs="Arial" w:eastAsia="Arial" w:hAnsi="Arial"/>
          <w:sz w:val="13"/>
          <w:szCs w:val="13"/>
          <w:color w:val="auto"/>
        </w:rPr>
        <w:t>, (b) is duly organized, validly existing and in good standing under the laws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jurisdiction specified on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and no other jurisdiction, (c) has the same legal name as it appears in such Credit Party’s Organizational Documents and an organizational identification number (if any), in each case as specified on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(d) has all powers and all Permits necessary or desirable in the operation of its business as presently conducted or as proposed to be conducted, except where the failure to have such Permits would not reasonably be expected to have a Material Adverse Effect, and (e) is qualified to do business as a foreign entity in each jurisdiction in which it is required to be so qualified, which jurisdictions as of the Closing Date are specified on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except where the failure to be so qualified would not reasonably be expected to have a Material Adverse Effect. Except as set forth on </w:t>
      </w:r>
      <w:r>
        <w:rPr>
          <w:rFonts w:ascii="Arial" w:cs="Arial" w:eastAsia="Arial" w:hAnsi="Arial"/>
          <w:sz w:val="13"/>
          <w:szCs w:val="13"/>
          <w:u w:val="single" w:color="auto"/>
          <w:color w:val="auto"/>
        </w:rPr>
        <w:t>Schedule 3.1</w:t>
      </w:r>
      <w:r>
        <w:rPr>
          <w:rFonts w:ascii="Arial" w:cs="Arial" w:eastAsia="Arial" w:hAnsi="Arial"/>
          <w:sz w:val="13"/>
          <w:szCs w:val="13"/>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16" w:lineRule="exact"/>
        <w:rPr>
          <w:sz w:val="20"/>
          <w:szCs w:val="20"/>
          <w:color w:val="auto"/>
        </w:rPr>
      </w:pPr>
    </w:p>
    <w:p>
      <w:pPr>
        <w:jc w:val="both"/>
        <w:ind w:left="140" w:firstLine="837"/>
        <w:spacing w:after="0" w:line="273" w:lineRule="auto"/>
        <w:rPr>
          <w:sz w:val="20"/>
          <w:szCs w:val="20"/>
          <w:color w:val="auto"/>
        </w:rPr>
      </w:pPr>
      <w:r>
        <w:rPr>
          <w:rFonts w:ascii="Arial" w:cs="Arial" w:eastAsia="Arial" w:hAnsi="Arial"/>
          <w:sz w:val="13"/>
          <w:szCs w:val="13"/>
          <w:b w:val="1"/>
          <w:bCs w:val="1"/>
          <w:color w:val="auto"/>
        </w:rPr>
        <w:t xml:space="preserve">Section 3.2 </w:t>
      </w:r>
      <w:r>
        <w:rPr>
          <w:rFonts w:ascii="Arial" w:cs="Arial" w:eastAsia="Arial" w:hAnsi="Arial"/>
          <w:sz w:val="13"/>
          <w:szCs w:val="13"/>
          <w:u w:val="single" w:color="auto"/>
          <w:color w:val="auto"/>
        </w:rPr>
        <w:t>Organization and Governmental Authorization; No Contravention</w:t>
      </w:r>
      <w:r>
        <w:rPr>
          <w:rFonts w:ascii="Arial" w:cs="Arial" w:eastAsia="Arial" w:hAnsi="Arial"/>
          <w:sz w:val="13"/>
          <w:szCs w:val="13"/>
          <w:color w:val="auto"/>
        </w:rPr>
        <w:t>. The execution, delivery and performance by each Credit Party of the Operative Documents to which</w:t>
      </w:r>
      <w:r>
        <w:rPr>
          <w:rFonts w:ascii="Arial" w:cs="Arial" w:eastAsia="Arial" w:hAnsi="Arial"/>
          <w:sz w:val="13"/>
          <w:szCs w:val="13"/>
          <w:b w:val="1"/>
          <w:bCs w:val="1"/>
          <w:color w:val="auto"/>
        </w:rPr>
        <w:t xml:space="preserve"> </w:t>
      </w:r>
      <w:r>
        <w:rPr>
          <w:rFonts w:ascii="Arial" w:cs="Arial" w:eastAsia="Arial" w:hAnsi="Arial"/>
          <w:sz w:val="13"/>
          <w:szCs w:val="13"/>
          <w:color w:val="auto"/>
        </w:rPr>
        <w:t>it is a party (a) are within its powers, (b) have been duly authorized by all necessary action pursuant to its Organizational Documents, (c) require no further action by or in respect of, or filing with, any Governmental Authority, except for the filings necessary to perfect the Liens created by the Operative Documents and (d) do not violate, conflict with or cause a breach or a default under (i) any Law applicable to any Credit Party in any material respect, (ii) any of the Organizational Documents of any Credit Party, or (iii) any material agreement or instrument binding upon it, except for such violations, conflicts, breaches or defaults as could not, with respect to this clause (iii), reasonably be expected to have a Material Adverse Effect.</w:t>
      </w:r>
    </w:p>
    <w:p>
      <w:pPr>
        <w:spacing w:after="0" w:line="114" w:lineRule="exact"/>
        <w:rPr>
          <w:sz w:val="20"/>
          <w:szCs w:val="20"/>
          <w:color w:val="auto"/>
        </w:rPr>
      </w:pPr>
    </w:p>
    <w:p>
      <w:pPr>
        <w:jc w:val="both"/>
        <w:ind w:left="140" w:firstLine="836"/>
        <w:spacing w:after="0" w:line="258" w:lineRule="auto"/>
        <w:rPr>
          <w:sz w:val="20"/>
          <w:szCs w:val="20"/>
          <w:color w:val="auto"/>
        </w:rPr>
      </w:pPr>
      <w:r>
        <w:rPr>
          <w:rFonts w:ascii="Arial" w:cs="Arial" w:eastAsia="Arial" w:hAnsi="Arial"/>
          <w:sz w:val="14"/>
          <w:szCs w:val="14"/>
          <w:b w:val="1"/>
          <w:bCs w:val="1"/>
          <w:color w:val="auto"/>
        </w:rPr>
        <w:t xml:space="preserve">Section 3.3 </w:t>
      </w:r>
      <w:r>
        <w:rPr>
          <w:rFonts w:ascii="Arial" w:cs="Arial" w:eastAsia="Arial" w:hAnsi="Arial"/>
          <w:sz w:val="14"/>
          <w:szCs w:val="14"/>
          <w:u w:val="single" w:color="auto"/>
          <w:color w:val="auto"/>
        </w:rPr>
        <w:t>Binding Effect</w:t>
      </w:r>
      <w:r>
        <w:rPr>
          <w:rFonts w:ascii="Arial" w:cs="Arial" w:eastAsia="Arial" w:hAnsi="Arial"/>
          <w:sz w:val="14"/>
          <w:szCs w:val="14"/>
          <w:color w:val="auto"/>
        </w:rPr>
        <w:t>. Each of the Operative Documents to which any Credit Party is a party constitutes a valid and binding agreement or instrument of such Credit Party,</w:t>
      </w:r>
      <w:r>
        <w:rPr>
          <w:rFonts w:ascii="Arial" w:cs="Arial" w:eastAsia="Arial" w:hAnsi="Arial"/>
          <w:sz w:val="14"/>
          <w:szCs w:val="14"/>
          <w:b w:val="1"/>
          <w:bCs w:val="1"/>
          <w:color w:val="auto"/>
        </w:rPr>
        <w:t xml:space="preserve"> </w:t>
      </w:r>
      <w:r>
        <w:rPr>
          <w:rFonts w:ascii="Arial" w:cs="Arial" w:eastAsia="Arial" w:hAnsi="Arial"/>
          <w:sz w:val="14"/>
          <w:szCs w:val="14"/>
          <w:color w:val="auto"/>
        </w:rPr>
        <w:t>enforceable against such Credit Party in accordance with its respective terms, except as the enforceability thereof may be limited by bankruptcy, insolvency or other similar laws relating to the enforcement of creditors’ rights generally and by general equitable principles.</w:t>
      </w:r>
    </w:p>
    <w:p>
      <w:pPr>
        <w:spacing w:after="0" w:line="120" w:lineRule="exact"/>
        <w:rPr>
          <w:sz w:val="20"/>
          <w:szCs w:val="20"/>
          <w:color w:val="auto"/>
        </w:rPr>
      </w:pPr>
    </w:p>
    <w:p>
      <w:pPr>
        <w:jc w:val="both"/>
        <w:ind w:left="140" w:firstLine="837"/>
        <w:spacing w:after="0" w:line="247" w:lineRule="auto"/>
        <w:rPr>
          <w:sz w:val="20"/>
          <w:szCs w:val="20"/>
          <w:color w:val="auto"/>
        </w:rPr>
      </w:pPr>
      <w:r>
        <w:rPr>
          <w:rFonts w:ascii="Arial" w:cs="Arial" w:eastAsia="Arial" w:hAnsi="Arial"/>
          <w:sz w:val="14"/>
          <w:szCs w:val="14"/>
          <w:b w:val="1"/>
          <w:bCs w:val="1"/>
          <w:color w:val="auto"/>
        </w:rPr>
        <w:t xml:space="preserve">Section 3.4 </w:t>
      </w:r>
      <w:r>
        <w:rPr>
          <w:rFonts w:ascii="Arial" w:cs="Arial" w:eastAsia="Arial" w:hAnsi="Arial"/>
          <w:sz w:val="14"/>
          <w:szCs w:val="14"/>
          <w:u w:val="single" w:color="auto"/>
          <w:color w:val="auto"/>
        </w:rPr>
        <w:t>Capitalization</w:t>
      </w:r>
      <w:r>
        <w:rPr>
          <w:rFonts w:ascii="Arial" w:cs="Arial" w:eastAsia="Arial" w:hAnsi="Arial"/>
          <w:sz w:val="14"/>
          <w:szCs w:val="14"/>
          <w:color w:val="auto"/>
        </w:rPr>
        <w:t>. The authorized equity securities of each of the Credit Parties as of the Closing Date are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3.4</w:t>
      </w:r>
      <w:r>
        <w:rPr>
          <w:rFonts w:ascii="Arial" w:cs="Arial" w:eastAsia="Arial" w:hAnsi="Arial"/>
          <w:sz w:val="14"/>
          <w:szCs w:val="14"/>
          <w:color w:val="auto"/>
        </w:rPr>
        <w:t>. All issued and outstanding equity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securities of each of the Credit Parties are duly authorized and validly issued, fully paid, nonassessable, free and clear of all Liens (other than Permitted Liens) other than those in favor of Agent for the benefit of Agent and Lenders, and such equity securities were issued in all material respects in compliance with all applicable Laws. The identity of the holders of the equity securities of each of the Credit Parties and the percentage of their fully-diluted ownership of the equity securities of each of the Credit Parties as of the Closing Date is set forth on </w:t>
      </w:r>
      <w:r>
        <w:rPr>
          <w:rFonts w:ascii="Arial" w:cs="Arial" w:eastAsia="Arial" w:hAnsi="Arial"/>
          <w:sz w:val="14"/>
          <w:szCs w:val="14"/>
          <w:u w:val="single" w:color="auto"/>
          <w:color w:val="auto"/>
        </w:rPr>
        <w:t>Schedule 3.4</w:t>
      </w:r>
      <w:r>
        <w:rPr>
          <w:rFonts w:ascii="Arial" w:cs="Arial" w:eastAsia="Arial" w:hAnsi="Arial"/>
          <w:sz w:val="14"/>
          <w:szCs w:val="14"/>
          <w:color w:val="auto"/>
        </w:rPr>
        <w:t xml:space="preserve">. No shares of the capital stock or other equity securities of any Credit Party, other than those described above, are issued and outstanding as of the Closing Date. Except as set forth on </w:t>
      </w:r>
      <w:r>
        <w:rPr>
          <w:rFonts w:ascii="Arial" w:cs="Arial" w:eastAsia="Arial" w:hAnsi="Arial"/>
          <w:sz w:val="14"/>
          <w:szCs w:val="14"/>
          <w:u w:val="single" w:color="auto"/>
          <w:color w:val="auto"/>
        </w:rPr>
        <w:t>Schedule 3.4</w:t>
      </w:r>
      <w:r>
        <w:rPr>
          <w:rFonts w:ascii="Arial" w:cs="Arial" w:eastAsia="Arial" w:hAnsi="Arial"/>
          <w:sz w:val="14"/>
          <w:szCs w:val="14"/>
          <w:color w:val="auto"/>
        </w:rPr>
        <w:t>, as of the Closing Date there are no preemptive or other outstanding rights, options, warrants, conversion rights or similar agreements or understandings for the purchase or acquisition from any Credit Party of any equity securities of any such entity.</w:t>
      </w:r>
    </w:p>
    <w:p>
      <w:pPr>
        <w:spacing w:after="0" w:line="129" w:lineRule="exact"/>
        <w:rPr>
          <w:sz w:val="20"/>
          <w:szCs w:val="20"/>
          <w:color w:val="auto"/>
        </w:rPr>
      </w:pPr>
    </w:p>
    <w:p>
      <w:pPr>
        <w:jc w:val="both"/>
        <w:ind w:left="140" w:firstLine="836"/>
        <w:spacing w:after="0" w:line="258" w:lineRule="auto"/>
        <w:rPr>
          <w:sz w:val="20"/>
          <w:szCs w:val="20"/>
          <w:color w:val="auto"/>
        </w:rPr>
      </w:pPr>
      <w:r>
        <w:rPr>
          <w:rFonts w:ascii="Arial" w:cs="Arial" w:eastAsia="Arial" w:hAnsi="Arial"/>
          <w:sz w:val="14"/>
          <w:szCs w:val="14"/>
          <w:b w:val="1"/>
          <w:bCs w:val="1"/>
          <w:color w:val="auto"/>
        </w:rPr>
        <w:t xml:space="preserve">Section 3.5 </w:t>
      </w:r>
      <w:r>
        <w:rPr>
          <w:rFonts w:ascii="Arial" w:cs="Arial" w:eastAsia="Arial" w:hAnsi="Arial"/>
          <w:sz w:val="14"/>
          <w:szCs w:val="14"/>
          <w:u w:val="single" w:color="auto"/>
          <w:color w:val="auto"/>
        </w:rPr>
        <w:t>Financial Information</w:t>
      </w:r>
      <w:r>
        <w:rPr>
          <w:rFonts w:ascii="Arial" w:cs="Arial" w:eastAsia="Arial" w:hAnsi="Arial"/>
          <w:sz w:val="14"/>
          <w:szCs w:val="14"/>
          <w:color w:val="auto"/>
        </w:rPr>
        <w:t>. All information delivered to Agent and pertaining to the financial condition of any Credit Party fairly presents the financial position of the Credit</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(taken as a whole) as of such date in conformity with GAAP (and as to unaudited financial statements, subject to normal year-end adjustments and the absence of footnote disclosures). Since December 31, 2017, no event has occurred which would be reasonably likely to have a Material Adverse Effect.</w:t>
      </w:r>
    </w:p>
    <w:p>
      <w:pPr>
        <w:spacing w:after="0" w:line="287"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38</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00" w:name="page101"/>
    <w:bookmarkEnd w:id="100"/>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3.6 </w:t>
      </w:r>
      <w:r>
        <w:rPr>
          <w:rFonts w:ascii="Arial" w:cs="Arial" w:eastAsia="Arial" w:hAnsi="Arial"/>
          <w:sz w:val="14"/>
          <w:szCs w:val="14"/>
          <w:u w:val="single" w:color="auto"/>
          <w:color w:val="auto"/>
        </w:rPr>
        <w:t>Litigation</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3.6</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Closing Date, and except as hereafter disclosed to Agent in writing, there is no Litigation pending against, or to</w:t>
      </w:r>
      <w:r>
        <w:rPr>
          <w:rFonts w:ascii="Arial" w:cs="Arial" w:eastAsia="Arial" w:hAnsi="Arial"/>
          <w:sz w:val="14"/>
          <w:szCs w:val="14"/>
          <w:b w:val="1"/>
          <w:bCs w:val="1"/>
          <w:color w:val="auto"/>
        </w:rPr>
        <w:t xml:space="preserve"> </w:t>
      </w:r>
      <w:r>
        <w:rPr>
          <w:rFonts w:ascii="Arial" w:cs="Arial" w:eastAsia="Arial" w:hAnsi="Arial"/>
          <w:sz w:val="14"/>
          <w:szCs w:val="14"/>
          <w:color w:val="auto"/>
        </w:rPr>
        <w:t>such Borrower’s knowledge threatened in writing against or affecting, any Credit Party. There is no Litigation pending which would be reasonably likely to have a Material Adverse Effect or which in any manner draws into question the validity of any of the Operative Documents.</w:t>
      </w:r>
    </w:p>
    <w:p>
      <w:pPr>
        <w:spacing w:after="0" w:line="120" w:lineRule="exact"/>
        <w:rPr>
          <w:sz w:val="20"/>
          <w:szCs w:val="20"/>
          <w:color w:val="auto"/>
        </w:rPr>
      </w:pPr>
    </w:p>
    <w:p>
      <w:pPr>
        <w:jc w:val="both"/>
        <w:ind w:left="140" w:right="20" w:firstLine="837"/>
        <w:spacing w:after="0" w:line="313" w:lineRule="auto"/>
        <w:rPr>
          <w:sz w:val="20"/>
          <w:szCs w:val="20"/>
          <w:color w:val="auto"/>
        </w:rPr>
      </w:pPr>
      <w:r>
        <w:rPr>
          <w:rFonts w:ascii="Arial" w:cs="Arial" w:eastAsia="Arial" w:hAnsi="Arial"/>
          <w:sz w:val="13"/>
          <w:szCs w:val="13"/>
          <w:b w:val="1"/>
          <w:bCs w:val="1"/>
          <w:color w:val="auto"/>
        </w:rPr>
        <w:t xml:space="preserve">Section 3.7 </w:t>
      </w:r>
      <w:r>
        <w:rPr>
          <w:rFonts w:ascii="Arial" w:cs="Arial" w:eastAsia="Arial" w:hAnsi="Arial"/>
          <w:sz w:val="13"/>
          <w:szCs w:val="13"/>
          <w:u w:val="single" w:color="auto"/>
          <w:color w:val="auto"/>
        </w:rPr>
        <w:t>Ownership of Property</w:t>
      </w:r>
      <w:r>
        <w:rPr>
          <w:rFonts w:ascii="Arial" w:cs="Arial" w:eastAsia="Arial" w:hAnsi="Arial"/>
          <w:sz w:val="13"/>
          <w:szCs w:val="13"/>
          <w:color w:val="auto"/>
        </w:rPr>
        <w:t>. Each Borrower and each of its Subsidiaries is the lawful owner of, has good and marketable title to and is in lawful possession of, or has valid</w:t>
      </w:r>
      <w:r>
        <w:rPr>
          <w:rFonts w:ascii="Arial" w:cs="Arial" w:eastAsia="Arial" w:hAnsi="Arial"/>
          <w:sz w:val="13"/>
          <w:szCs w:val="13"/>
          <w:b w:val="1"/>
          <w:bCs w:val="1"/>
          <w:color w:val="auto"/>
        </w:rPr>
        <w:t xml:space="preserve"> </w:t>
      </w:r>
      <w:r>
        <w:rPr>
          <w:rFonts w:ascii="Arial" w:cs="Arial" w:eastAsia="Arial" w:hAnsi="Arial"/>
          <w:sz w:val="13"/>
          <w:szCs w:val="13"/>
          <w:color w:val="auto"/>
        </w:rPr>
        <w:t>leasehold interests in, all properties, accounts and other assets (real or personal, tangible, intangible or mixed) purported or reported to be owned or leased (as the case may be) by such Person.</w:t>
      </w:r>
    </w:p>
    <w:p>
      <w:pPr>
        <w:spacing w:after="0" w:line="87" w:lineRule="exact"/>
        <w:rPr>
          <w:sz w:val="20"/>
          <w:szCs w:val="20"/>
          <w:color w:val="auto"/>
        </w:rPr>
      </w:pPr>
    </w:p>
    <w:p>
      <w:pPr>
        <w:jc w:val="both"/>
        <w:ind w:left="140" w:right="40" w:firstLine="834"/>
        <w:spacing w:after="0" w:line="258" w:lineRule="auto"/>
        <w:rPr>
          <w:sz w:val="20"/>
          <w:szCs w:val="20"/>
          <w:color w:val="auto"/>
        </w:rPr>
      </w:pPr>
      <w:r>
        <w:rPr>
          <w:rFonts w:ascii="Arial" w:cs="Arial" w:eastAsia="Arial" w:hAnsi="Arial"/>
          <w:sz w:val="14"/>
          <w:szCs w:val="14"/>
          <w:b w:val="1"/>
          <w:bCs w:val="1"/>
          <w:color w:val="auto"/>
        </w:rPr>
        <w:t xml:space="preserve">Section 3.8 </w:t>
      </w:r>
      <w:r>
        <w:rPr>
          <w:rFonts w:ascii="Arial" w:cs="Arial" w:eastAsia="Arial" w:hAnsi="Arial"/>
          <w:sz w:val="14"/>
          <w:szCs w:val="14"/>
          <w:u w:val="single" w:color="auto"/>
          <w:color w:val="auto"/>
        </w:rPr>
        <w:t>No Default</w:t>
      </w:r>
      <w:r>
        <w:rPr>
          <w:rFonts w:ascii="Arial" w:cs="Arial" w:eastAsia="Arial" w:hAnsi="Arial"/>
          <w:sz w:val="14"/>
          <w:szCs w:val="14"/>
          <w:color w:val="auto"/>
        </w:rPr>
        <w:t>. No Event of Default, or to such Borrower’s knowledge, Default, has occurred and is continuing. No Credit Party is in breach or default under or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any contract, agreement, lease or other instrument to which it is a party or by which its property is bound or affected, which breach or default would reasonably be expected to have a Material Adverse Effect</w:t>
      </w:r>
    </w:p>
    <w:p>
      <w:pPr>
        <w:spacing w:after="0" w:line="120" w:lineRule="exact"/>
        <w:rPr>
          <w:sz w:val="20"/>
          <w:szCs w:val="20"/>
          <w:color w:val="auto"/>
        </w:rPr>
      </w:pPr>
    </w:p>
    <w:p>
      <w:pPr>
        <w:jc w:val="both"/>
        <w:ind w:left="140" w:firstLine="837"/>
        <w:spacing w:after="0" w:line="273" w:lineRule="auto"/>
        <w:rPr>
          <w:sz w:val="20"/>
          <w:szCs w:val="20"/>
          <w:color w:val="auto"/>
        </w:rPr>
      </w:pPr>
      <w:r>
        <w:rPr>
          <w:rFonts w:ascii="Arial" w:cs="Arial" w:eastAsia="Arial" w:hAnsi="Arial"/>
          <w:sz w:val="13"/>
          <w:szCs w:val="13"/>
          <w:b w:val="1"/>
          <w:bCs w:val="1"/>
          <w:color w:val="auto"/>
        </w:rPr>
        <w:t xml:space="preserve">Section 3.9 </w:t>
      </w:r>
      <w:r>
        <w:rPr>
          <w:rFonts w:ascii="Arial" w:cs="Arial" w:eastAsia="Arial" w:hAnsi="Arial"/>
          <w:sz w:val="13"/>
          <w:szCs w:val="13"/>
          <w:u w:val="single" w:color="auto"/>
          <w:color w:val="auto"/>
        </w:rPr>
        <w:t>Labor Matters</w:t>
      </w:r>
      <w:r>
        <w:rPr>
          <w:rFonts w:ascii="Arial" w:cs="Arial" w:eastAsia="Arial" w:hAnsi="Arial"/>
          <w:sz w:val="13"/>
          <w:szCs w:val="13"/>
          <w:color w:val="auto"/>
        </w:rPr>
        <w:t>. As of the Closing Date, there are no strikes or other labor disputes pending or, to any Borrower’s knowledge, threatened in writing against any Credit</w:t>
      </w:r>
      <w:r>
        <w:rPr>
          <w:rFonts w:ascii="Arial" w:cs="Arial" w:eastAsia="Arial" w:hAnsi="Arial"/>
          <w:sz w:val="13"/>
          <w:szCs w:val="13"/>
          <w:b w:val="1"/>
          <w:bCs w:val="1"/>
          <w:color w:val="auto"/>
        </w:rPr>
        <w:t xml:space="preserve"> </w:t>
      </w:r>
      <w:r>
        <w:rPr>
          <w:rFonts w:ascii="Arial" w:cs="Arial" w:eastAsia="Arial" w:hAnsi="Arial"/>
          <w:sz w:val="13"/>
          <w:szCs w:val="13"/>
          <w:color w:val="auto"/>
        </w:rPr>
        <w:t>Party.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w:t>
      </w:r>
    </w:p>
    <w:p>
      <w:pPr>
        <w:spacing w:after="0" w:line="114" w:lineRule="exact"/>
        <w:rPr>
          <w:sz w:val="20"/>
          <w:szCs w:val="20"/>
          <w:color w:val="auto"/>
        </w:rPr>
      </w:pPr>
    </w:p>
    <w:p>
      <w:pPr>
        <w:jc w:val="both"/>
        <w:ind w:left="140" w:right="20" w:firstLine="836"/>
        <w:spacing w:after="0" w:line="274" w:lineRule="auto"/>
        <w:rPr>
          <w:sz w:val="20"/>
          <w:szCs w:val="20"/>
          <w:color w:val="auto"/>
        </w:rPr>
      </w:pPr>
      <w:r>
        <w:rPr>
          <w:rFonts w:ascii="Arial" w:cs="Arial" w:eastAsia="Arial" w:hAnsi="Arial"/>
          <w:sz w:val="14"/>
          <w:szCs w:val="14"/>
          <w:b w:val="1"/>
          <w:bCs w:val="1"/>
          <w:color w:val="auto"/>
        </w:rPr>
        <w:t xml:space="preserve">Section 3.10 </w:t>
      </w:r>
      <w:r>
        <w:rPr>
          <w:rFonts w:ascii="Arial" w:cs="Arial" w:eastAsia="Arial" w:hAnsi="Arial"/>
          <w:sz w:val="14"/>
          <w:szCs w:val="14"/>
          <w:u w:val="single" w:color="auto"/>
          <w:color w:val="auto"/>
        </w:rPr>
        <w:t>Regulated Entities</w:t>
      </w:r>
      <w:r>
        <w:rPr>
          <w:rFonts w:ascii="Arial" w:cs="Arial" w:eastAsia="Arial" w:hAnsi="Arial"/>
          <w:sz w:val="14"/>
          <w:szCs w:val="14"/>
          <w:color w:val="auto"/>
        </w:rPr>
        <w:t>. No Credit Party is an “investment company” or a company “controlled” by an “investment company” or a “subsidiary” of an “investment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all within the meaning of the Investment Company Act of 1940.</w:t>
      </w:r>
    </w:p>
    <w:p>
      <w:pPr>
        <w:spacing w:after="0" w:line="110" w:lineRule="exact"/>
        <w:rPr>
          <w:sz w:val="20"/>
          <w:szCs w:val="20"/>
          <w:color w:val="auto"/>
        </w:rPr>
      </w:pPr>
    </w:p>
    <w:p>
      <w:pPr>
        <w:jc w:val="both"/>
        <w:ind w:left="140" w:right="20" w:firstLine="837"/>
        <w:spacing w:after="0" w:line="287" w:lineRule="auto"/>
        <w:rPr>
          <w:sz w:val="20"/>
          <w:szCs w:val="20"/>
          <w:color w:val="auto"/>
        </w:rPr>
      </w:pPr>
      <w:r>
        <w:rPr>
          <w:rFonts w:ascii="Arial" w:cs="Arial" w:eastAsia="Arial" w:hAnsi="Arial"/>
          <w:sz w:val="13"/>
          <w:szCs w:val="13"/>
          <w:b w:val="1"/>
          <w:bCs w:val="1"/>
          <w:color w:val="auto"/>
        </w:rPr>
        <w:t xml:space="preserve">Section 3.11 </w:t>
      </w:r>
      <w:r>
        <w:rPr>
          <w:rFonts w:ascii="Arial" w:cs="Arial" w:eastAsia="Arial" w:hAnsi="Arial"/>
          <w:sz w:val="13"/>
          <w:szCs w:val="13"/>
          <w:u w:val="single" w:color="auto"/>
          <w:color w:val="auto"/>
        </w:rPr>
        <w:t>Margin Regulations</w:t>
      </w:r>
      <w:r>
        <w:rPr>
          <w:rFonts w:ascii="Arial" w:cs="Arial" w:eastAsia="Arial" w:hAnsi="Arial"/>
          <w:sz w:val="13"/>
          <w:szCs w:val="13"/>
          <w:color w:val="auto"/>
        </w:rPr>
        <w:t>. None of the proceeds from the Loans have been or will be used, directly or indirectly, for the purpose of purchasing or carrying any “margin stock”</w:t>
      </w:r>
      <w:r>
        <w:rPr>
          <w:rFonts w:ascii="Arial" w:cs="Arial" w:eastAsia="Arial" w:hAnsi="Arial"/>
          <w:sz w:val="13"/>
          <w:szCs w:val="13"/>
          <w:b w:val="1"/>
          <w:bCs w:val="1"/>
          <w:color w:val="auto"/>
        </w:rPr>
        <w:t xml:space="preserve"> </w:t>
      </w:r>
      <w:r>
        <w:rPr>
          <w:rFonts w:ascii="Arial" w:cs="Arial" w:eastAsia="Arial" w:hAnsi="Arial"/>
          <w:sz w:val="13"/>
          <w:szCs w:val="13"/>
          <w:color w:val="auto"/>
        </w:rPr>
        <w:t>(as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3.12</w:t>
            </w:r>
          </w:p>
        </w:tc>
        <w:tc>
          <w:tcPr>
            <w:tcW w:w="76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Compliance With Laws; Anti-Terrorism Laws.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302"/>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ind w:left="680"/>
              <w:spacing w:after="0"/>
              <w:rPr>
                <w:sz w:val="20"/>
                <w:szCs w:val="20"/>
                <w:color w:val="auto"/>
              </w:rPr>
            </w:pPr>
            <w:r>
              <w:rPr>
                <w:rFonts w:ascii="Arial" w:cs="Arial" w:eastAsia="Arial" w:hAnsi="Arial"/>
                <w:sz w:val="14"/>
                <w:szCs w:val="14"/>
                <w:color w:val="auto"/>
                <w:w w:val="91"/>
              </w:rPr>
              <w:t>Each Credit Party is in compliance with the requirements of all applicable Laws, except for such Laws the noncompliance with which would not</w:t>
            </w:r>
          </w:p>
        </w:tc>
      </w:tr>
      <w:tr>
        <w:trPr>
          <w:trHeight w:val="179"/>
        </w:trPr>
        <w:tc>
          <w:tcPr>
            <w:tcW w:w="10980" w:type="dxa"/>
            <w:vAlign w:val="bottom"/>
            <w:gridSpan w:val="4"/>
          </w:tcPr>
          <w:p>
            <w:pPr>
              <w:ind w:left="1440"/>
              <w:spacing w:after="0"/>
              <w:rPr>
                <w:sz w:val="20"/>
                <w:szCs w:val="20"/>
                <w:color w:val="auto"/>
              </w:rPr>
            </w:pPr>
            <w:r>
              <w:rPr>
                <w:rFonts w:ascii="Arial" w:cs="Arial" w:eastAsia="Arial" w:hAnsi="Arial"/>
                <w:sz w:val="14"/>
                <w:szCs w:val="14"/>
                <w:color w:val="auto"/>
              </w:rPr>
              <w:t>reasonably be expected to have a Material Adverse Effect.</w:t>
            </w:r>
          </w:p>
        </w:tc>
      </w:tr>
      <w:tr>
        <w:trPr>
          <w:trHeight w:val="311"/>
        </w:trPr>
        <w:tc>
          <w:tcPr>
            <w:tcW w:w="2180" w:type="dxa"/>
            <w:vAlign w:val="bottom"/>
          </w:tcPr>
          <w:p>
            <w:pPr>
              <w:spacing w:after="0"/>
              <w:rPr>
                <w:sz w:val="20"/>
                <w:szCs w:val="20"/>
                <w:color w:val="auto"/>
              </w:rPr>
            </w:pPr>
            <w:r>
              <w:rPr>
                <w:rFonts w:ascii="Arial" w:cs="Arial" w:eastAsia="Arial" w:hAnsi="Arial"/>
                <w:sz w:val="14"/>
                <w:szCs w:val="14"/>
                <w:color w:val="auto"/>
              </w:rPr>
              <w:t>(b)</w:t>
            </w:r>
          </w:p>
        </w:tc>
        <w:tc>
          <w:tcPr>
            <w:tcW w:w="8800" w:type="dxa"/>
            <w:vAlign w:val="bottom"/>
            <w:gridSpan w:val="3"/>
          </w:tcPr>
          <w:p>
            <w:pPr>
              <w:ind w:left="700"/>
              <w:spacing w:after="0"/>
              <w:rPr>
                <w:sz w:val="20"/>
                <w:szCs w:val="20"/>
                <w:color w:val="auto"/>
              </w:rPr>
            </w:pPr>
            <w:r>
              <w:rPr>
                <w:rFonts w:ascii="Arial" w:cs="Arial" w:eastAsia="Arial" w:hAnsi="Arial"/>
                <w:sz w:val="14"/>
                <w:szCs w:val="14"/>
                <w:color w:val="auto"/>
                <w:w w:val="93"/>
              </w:rPr>
              <w:t>None of the Credit Parties and, to the knowledge of the Credit Parties, none of their Affiliates (i) is in violation of any Anti-Terrorism Law, (ii)</w:t>
            </w:r>
          </w:p>
        </w:tc>
      </w:tr>
    </w:tbl>
    <w:p>
      <w:pPr>
        <w:jc w:val="both"/>
        <w:ind w:left="1660" w:right="120"/>
        <w:spacing w:after="0" w:line="260" w:lineRule="auto"/>
        <w:rPr>
          <w:sz w:val="20"/>
          <w:szCs w:val="20"/>
          <w:color w:val="auto"/>
        </w:rPr>
      </w:pPr>
      <w:r>
        <w:rPr>
          <w:rFonts w:ascii="Arial" w:cs="Arial" w:eastAsia="Arial" w:hAnsi="Arial"/>
          <w:sz w:val="13"/>
          <w:szCs w:val="13"/>
          <w:color w:val="auto"/>
        </w:rPr>
        <w:t>engages in or conspires to engage in any transaction that evades or avoids, or has the purpose of evading or avoiding, or attempts to violate, any 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39</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01" w:name="page102"/>
    <w:bookmarkEnd w:id="101"/>
    <w:p>
      <w:pPr>
        <w:jc w:val="both"/>
        <w:ind w:left="260" w:right="40"/>
        <w:spacing w:after="0" w:line="255" w:lineRule="auto"/>
        <w:rPr>
          <w:sz w:val="20"/>
          <w:szCs w:val="20"/>
          <w:color w:val="auto"/>
        </w:rPr>
      </w:pPr>
      <w:r>
        <w:rPr>
          <w:rFonts w:ascii="Arial" w:cs="Arial" w:eastAsia="Arial" w:hAnsi="Arial"/>
          <w:sz w:val="14"/>
          <w:szCs w:val="14"/>
          <w:color w:val="auto"/>
        </w:rPr>
        <w:t>capacity in connection with the transactions contemplated by this Agreement, (A) conducts any business or engages in making or receiving any contribution of funds, goods or services to or for the benefit of any Blocked Person, or (B) deals in, or otherwise engages in any transaction relating to, any property or interest in property blocked pursuant to Executive Order No. 13224, any similar executive order or other Anti-Terrorism Law.</w:t>
      </w:r>
    </w:p>
    <w:p>
      <w:pPr>
        <w:spacing w:after="0" w:line="122" w:lineRule="exact"/>
        <w:rPr>
          <w:sz w:val="20"/>
          <w:szCs w:val="20"/>
          <w:color w:val="auto"/>
        </w:rPr>
      </w:pPr>
    </w:p>
    <w:p>
      <w:pPr>
        <w:jc w:val="both"/>
        <w:ind w:left="140" w:firstLine="837"/>
        <w:spacing w:after="0" w:line="247" w:lineRule="auto"/>
        <w:rPr>
          <w:sz w:val="20"/>
          <w:szCs w:val="20"/>
          <w:color w:val="auto"/>
        </w:rPr>
      </w:pPr>
      <w:r>
        <w:rPr>
          <w:rFonts w:ascii="Arial" w:cs="Arial" w:eastAsia="Arial" w:hAnsi="Arial"/>
          <w:sz w:val="14"/>
          <w:szCs w:val="14"/>
          <w:b w:val="1"/>
          <w:bCs w:val="1"/>
          <w:color w:val="auto"/>
        </w:rPr>
        <w:t xml:space="preserve">Section 3.13 </w:t>
      </w:r>
      <w:r>
        <w:rPr>
          <w:rFonts w:ascii="Arial" w:cs="Arial" w:eastAsia="Arial" w:hAnsi="Arial"/>
          <w:sz w:val="14"/>
          <w:szCs w:val="14"/>
          <w:u w:val="single" w:color="auto"/>
          <w:color w:val="auto"/>
        </w:rPr>
        <w:t>Taxes</w:t>
      </w:r>
      <w:r>
        <w:rPr>
          <w:rFonts w:ascii="Arial" w:cs="Arial" w:eastAsia="Arial" w:hAnsi="Arial"/>
          <w:sz w:val="14"/>
          <w:szCs w:val="14"/>
          <w:color w:val="auto"/>
        </w:rPr>
        <w:t>. All U.S. federal and all other material foreign, state and local tax returns, reports and statements required to be filed by or on behalf of each Credit Party have been</w:t>
      </w:r>
      <w:r>
        <w:rPr>
          <w:rFonts w:ascii="Arial" w:cs="Arial" w:eastAsia="Arial" w:hAnsi="Arial"/>
          <w:sz w:val="14"/>
          <w:szCs w:val="14"/>
          <w:b w:val="1"/>
          <w:bCs w:val="1"/>
          <w:color w:val="auto"/>
        </w:rPr>
        <w:t xml:space="preserve"> </w:t>
      </w:r>
      <w:r>
        <w:rPr>
          <w:rFonts w:ascii="Arial" w:cs="Arial" w:eastAsia="Arial" w:hAnsi="Arial"/>
          <w:sz w:val="14"/>
          <w:szCs w:val="14"/>
          <w:color w:val="auto"/>
        </w:rPr>
        <w:t>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federal and material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 therefor on the financial statements of the Credit Parties.</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760" w:type="dxa"/>
            <w:vAlign w:val="bottom"/>
          </w:tcPr>
          <w:p>
            <w:pPr>
              <w:ind w:left="360"/>
              <w:spacing w:after="0"/>
              <w:rPr>
                <w:sz w:val="20"/>
                <w:szCs w:val="20"/>
                <w:color w:val="auto"/>
              </w:rPr>
            </w:pPr>
            <w:r>
              <w:rPr>
                <w:rFonts w:ascii="Arial" w:cs="Arial" w:eastAsia="Arial" w:hAnsi="Arial"/>
                <w:sz w:val="14"/>
                <w:szCs w:val="14"/>
                <w:b w:val="1"/>
                <w:bCs w:val="1"/>
                <w:color w:val="auto"/>
              </w:rPr>
              <w:t>Section 3.14</w:t>
            </w:r>
          </w:p>
        </w:tc>
        <w:tc>
          <w:tcPr>
            <w:tcW w:w="760" w:type="dxa"/>
            <w:vAlign w:val="bottom"/>
          </w:tcPr>
          <w:p>
            <w:pPr>
              <w:spacing w:after="0"/>
              <w:rPr>
                <w:sz w:val="14"/>
                <w:szCs w:val="14"/>
                <w:color w:val="auto"/>
              </w:rPr>
            </w:pPr>
          </w:p>
        </w:tc>
        <w:tc>
          <w:tcPr>
            <w:tcW w:w="8060" w:type="dxa"/>
            <w:vAlign w:val="bottom"/>
            <w:gridSpan w:val="2"/>
          </w:tcPr>
          <w:p>
            <w:pPr>
              <w:jc w:val="right"/>
              <w:ind w:right="6620"/>
              <w:spacing w:after="0"/>
              <w:rPr>
                <w:sz w:val="20"/>
                <w:szCs w:val="20"/>
                <w:color w:val="auto"/>
              </w:rPr>
            </w:pPr>
            <w:r>
              <w:rPr>
                <w:rFonts w:ascii="Arial" w:cs="Arial" w:eastAsia="Arial" w:hAnsi="Arial"/>
                <w:sz w:val="14"/>
                <w:szCs w:val="14"/>
                <w:color w:val="auto"/>
                <w:w w:val="93"/>
              </w:rPr>
              <w:t>Compliance with ERISA.</w:t>
            </w:r>
          </w:p>
        </w:tc>
      </w:tr>
      <w:tr>
        <w:trPr>
          <w:trHeight w:val="20"/>
        </w:trPr>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302"/>
        </w:trPr>
        <w:tc>
          <w:tcPr>
            <w:tcW w:w="420" w:type="dxa"/>
            <w:vAlign w:val="bottom"/>
          </w:tcPr>
          <w:p>
            <w:pPr>
              <w:spacing w:after="0"/>
              <w:rPr>
                <w:sz w:val="20"/>
                <w:szCs w:val="20"/>
                <w:color w:val="auto"/>
              </w:rPr>
            </w:pPr>
            <w:r>
              <w:rPr>
                <w:rFonts w:ascii="Arial" w:cs="Arial" w:eastAsia="Arial" w:hAnsi="Arial"/>
                <w:sz w:val="14"/>
                <w:szCs w:val="14"/>
                <w:color w:val="auto"/>
              </w:rPr>
              <w:t>(a)</w:t>
            </w:r>
          </w:p>
        </w:tc>
        <w:tc>
          <w:tcPr>
            <w:tcW w:w="1760" w:type="dxa"/>
            <w:vAlign w:val="bottom"/>
          </w:tcPr>
          <w:p>
            <w:pPr>
              <w:spacing w:after="0"/>
              <w:rPr>
                <w:sz w:val="24"/>
                <w:szCs w:val="24"/>
                <w:color w:val="auto"/>
              </w:rPr>
            </w:pPr>
          </w:p>
        </w:tc>
        <w:tc>
          <w:tcPr>
            <w:tcW w:w="8820" w:type="dxa"/>
            <w:vAlign w:val="bottom"/>
            <w:gridSpan w:val="3"/>
          </w:tcPr>
          <w:p>
            <w:pPr>
              <w:jc w:val="right"/>
              <w:ind w:right="20"/>
              <w:spacing w:after="0"/>
              <w:rPr>
                <w:sz w:val="20"/>
                <w:szCs w:val="20"/>
                <w:color w:val="auto"/>
              </w:rPr>
            </w:pPr>
            <w:r>
              <w:rPr>
                <w:rFonts w:ascii="Arial" w:cs="Arial" w:eastAsia="Arial" w:hAnsi="Arial"/>
                <w:sz w:val="14"/>
                <w:szCs w:val="14"/>
                <w:color w:val="auto"/>
              </w:rPr>
              <w:t>Except as would not reasonably be expected, individually or in the aggregate, to have a Material Adverse Effect, (i) each ERISA Plan (and the</w:t>
            </w:r>
          </w:p>
        </w:tc>
      </w:tr>
      <w:tr>
        <w:trPr>
          <w:trHeight w:val="162"/>
        </w:trPr>
        <w:tc>
          <w:tcPr>
            <w:tcW w:w="420" w:type="dxa"/>
            <w:vAlign w:val="bottom"/>
          </w:tcPr>
          <w:p>
            <w:pPr>
              <w:spacing w:after="0"/>
              <w:rPr>
                <w:sz w:val="14"/>
                <w:szCs w:val="14"/>
                <w:color w:val="auto"/>
              </w:rPr>
            </w:pPr>
          </w:p>
        </w:tc>
        <w:tc>
          <w:tcPr>
            <w:tcW w:w="10580" w:type="dxa"/>
            <w:vAlign w:val="bottom"/>
            <w:gridSpan w:val="4"/>
          </w:tcPr>
          <w:p>
            <w:pPr>
              <w:jc w:val="right"/>
              <w:ind w:right="20"/>
              <w:spacing w:after="0"/>
              <w:rPr>
                <w:sz w:val="20"/>
                <w:szCs w:val="20"/>
                <w:color w:val="auto"/>
              </w:rPr>
            </w:pPr>
            <w:r>
              <w:rPr>
                <w:rFonts w:ascii="Arial" w:cs="Arial" w:eastAsia="Arial" w:hAnsi="Arial"/>
                <w:sz w:val="14"/>
                <w:szCs w:val="14"/>
                <w:color w:val="auto"/>
              </w:rPr>
              <w:t>related trusts and funding agreements) complies in form and in operation with, has been administered in compliance with, and the terms of each ERISA Plan satisfy, the</w:t>
            </w:r>
          </w:p>
        </w:tc>
      </w:tr>
      <w:tr>
        <w:trPr>
          <w:trHeight w:val="162"/>
        </w:trPr>
        <w:tc>
          <w:tcPr>
            <w:tcW w:w="420" w:type="dxa"/>
            <w:vAlign w:val="bottom"/>
          </w:tcPr>
          <w:p>
            <w:pPr>
              <w:spacing w:after="0"/>
              <w:rPr>
                <w:sz w:val="14"/>
                <w:szCs w:val="14"/>
                <w:color w:val="auto"/>
              </w:rPr>
            </w:pPr>
          </w:p>
        </w:tc>
        <w:tc>
          <w:tcPr>
            <w:tcW w:w="10580" w:type="dxa"/>
            <w:vAlign w:val="bottom"/>
            <w:gridSpan w:val="4"/>
          </w:tcPr>
          <w:p>
            <w:pPr>
              <w:jc w:val="right"/>
              <w:ind w:right="20"/>
              <w:spacing w:after="0"/>
              <w:rPr>
                <w:sz w:val="20"/>
                <w:szCs w:val="20"/>
                <w:color w:val="auto"/>
              </w:rPr>
            </w:pPr>
            <w:r>
              <w:rPr>
                <w:rFonts w:ascii="Arial" w:cs="Arial" w:eastAsia="Arial" w:hAnsi="Arial"/>
                <w:sz w:val="14"/>
                <w:szCs w:val="14"/>
                <w:color w:val="auto"/>
              </w:rPr>
              <w:t>applicable requirements of ERISA and the Code; (ii) each ERISA Plan which is intended to be qualified under Section 401(a) of the Code is so qualified, and the United</w:t>
            </w:r>
          </w:p>
        </w:tc>
      </w:tr>
      <w:tr>
        <w:trPr>
          <w:trHeight w:val="162"/>
        </w:trPr>
        <w:tc>
          <w:tcPr>
            <w:tcW w:w="420" w:type="dxa"/>
            <w:vAlign w:val="bottom"/>
          </w:tcPr>
          <w:p>
            <w:pPr>
              <w:spacing w:after="0"/>
              <w:rPr>
                <w:sz w:val="14"/>
                <w:szCs w:val="14"/>
                <w:color w:val="auto"/>
              </w:rPr>
            </w:pPr>
          </w:p>
        </w:tc>
        <w:tc>
          <w:tcPr>
            <w:tcW w:w="10580" w:type="dxa"/>
            <w:vAlign w:val="bottom"/>
            <w:gridSpan w:val="4"/>
          </w:tcPr>
          <w:p>
            <w:pPr>
              <w:jc w:val="right"/>
              <w:ind w:right="2980"/>
              <w:spacing w:after="0"/>
              <w:rPr>
                <w:sz w:val="20"/>
                <w:szCs w:val="20"/>
                <w:color w:val="auto"/>
              </w:rPr>
            </w:pPr>
            <w:r>
              <w:rPr>
                <w:rFonts w:ascii="Arial" w:cs="Arial" w:eastAsia="Arial" w:hAnsi="Arial"/>
                <w:sz w:val="14"/>
                <w:szCs w:val="14"/>
                <w:color w:val="auto"/>
              </w:rPr>
              <w:t>States Internal Revenue Service has issued a favorable determination letter with respect to each such ERISA Plan; and</w:t>
            </w:r>
          </w:p>
        </w:tc>
      </w:tr>
      <w:tr>
        <w:trPr>
          <w:trHeight w:val="179"/>
        </w:trPr>
        <w:tc>
          <w:tcPr>
            <w:tcW w:w="420" w:type="dxa"/>
            <w:vAlign w:val="bottom"/>
          </w:tcPr>
          <w:p>
            <w:pPr>
              <w:ind w:left="40"/>
              <w:spacing w:after="0"/>
              <w:rPr>
                <w:sz w:val="20"/>
                <w:szCs w:val="20"/>
                <w:color w:val="auto"/>
              </w:rPr>
            </w:pPr>
            <w:r>
              <w:rPr>
                <w:rFonts w:ascii="Arial" w:cs="Arial" w:eastAsia="Arial" w:hAnsi="Arial"/>
                <w:sz w:val="14"/>
                <w:szCs w:val="14"/>
                <w:color w:val="auto"/>
              </w:rPr>
              <w:t>(iii)</w:t>
            </w:r>
          </w:p>
        </w:tc>
        <w:tc>
          <w:tcPr>
            <w:tcW w:w="10580" w:type="dxa"/>
            <w:vAlign w:val="bottom"/>
            <w:gridSpan w:val="4"/>
          </w:tcPr>
          <w:p>
            <w:pPr>
              <w:jc w:val="right"/>
              <w:ind w:right="4500"/>
              <w:spacing w:after="0"/>
              <w:rPr>
                <w:sz w:val="20"/>
                <w:szCs w:val="20"/>
                <w:color w:val="auto"/>
              </w:rPr>
            </w:pPr>
            <w:r>
              <w:rPr>
                <w:rFonts w:ascii="Arial" w:cs="Arial" w:eastAsia="Arial" w:hAnsi="Arial"/>
                <w:sz w:val="14"/>
                <w:szCs w:val="14"/>
                <w:color w:val="auto"/>
                <w:w w:val="89"/>
              </w:rPr>
              <w:t>no Credit Party has incurred liability for any excise tax under any of Sections 4971 through 5000 of the Code.</w:t>
            </w:r>
          </w:p>
        </w:tc>
      </w:tr>
      <w:tr>
        <w:trPr>
          <w:trHeight w:val="311"/>
        </w:trPr>
        <w:tc>
          <w:tcPr>
            <w:tcW w:w="420" w:type="dxa"/>
            <w:vAlign w:val="bottom"/>
          </w:tcPr>
          <w:p>
            <w:pPr>
              <w:spacing w:after="0"/>
              <w:rPr>
                <w:sz w:val="20"/>
                <w:szCs w:val="20"/>
                <w:color w:val="auto"/>
              </w:rPr>
            </w:pPr>
            <w:r>
              <w:rPr>
                <w:rFonts w:ascii="Arial" w:cs="Arial" w:eastAsia="Arial" w:hAnsi="Arial"/>
                <w:sz w:val="14"/>
                <w:szCs w:val="14"/>
                <w:color w:val="auto"/>
              </w:rPr>
              <w:t>(b)</w:t>
            </w:r>
          </w:p>
        </w:tc>
        <w:tc>
          <w:tcPr>
            <w:tcW w:w="1760" w:type="dxa"/>
            <w:vAlign w:val="bottom"/>
          </w:tcPr>
          <w:p>
            <w:pPr>
              <w:spacing w:after="0"/>
              <w:rPr>
                <w:sz w:val="24"/>
                <w:szCs w:val="24"/>
                <w:color w:val="auto"/>
              </w:rPr>
            </w:pPr>
          </w:p>
        </w:tc>
        <w:tc>
          <w:tcPr>
            <w:tcW w:w="8820" w:type="dxa"/>
            <w:vAlign w:val="bottom"/>
            <w:gridSpan w:val="3"/>
          </w:tcPr>
          <w:p>
            <w:pPr>
              <w:jc w:val="right"/>
              <w:spacing w:after="0"/>
              <w:rPr>
                <w:sz w:val="20"/>
                <w:szCs w:val="20"/>
                <w:color w:val="auto"/>
              </w:rPr>
            </w:pPr>
            <w:r>
              <w:rPr>
                <w:rFonts w:ascii="Arial" w:cs="Arial" w:eastAsia="Arial" w:hAnsi="Arial"/>
                <w:sz w:val="14"/>
                <w:szCs w:val="14"/>
                <w:color w:val="auto"/>
              </w:rPr>
              <w:t>Except as would not reasonably be expected, individually or in the aggregate, to have a Material Adverse Effect, each Borrower and each</w:t>
            </w:r>
          </w:p>
        </w:tc>
      </w:tr>
    </w:tbl>
    <w:p>
      <w:pPr>
        <w:jc w:val="both"/>
        <w:ind w:left="1660" w:right="120"/>
        <w:spacing w:after="0" w:line="260" w:lineRule="auto"/>
        <w:rPr>
          <w:sz w:val="20"/>
          <w:szCs w:val="20"/>
          <w:color w:val="auto"/>
        </w:rPr>
      </w:pPr>
      <w:r>
        <w:rPr>
          <w:rFonts w:ascii="Arial" w:cs="Arial" w:eastAsia="Arial" w:hAnsi="Arial"/>
          <w:sz w:val="13"/>
          <w:szCs w:val="13"/>
          <w:color w:val="auto"/>
        </w:rPr>
        <w:t>Subsidiary is in compliance with the applicable provisions of ERISA and the provisions of the Code relating to ERISA Plans and the regulations and published interpretations therein. During the thirty-six (36) month period prior to the Closing Date or the making of any Loan (i) no steps have been taken to terminate any Pension Plan, other than pursuant to a “standard termination,” within the meaning of Section 4041(b) of ERISA,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liability, fine or penalty in an amount in excess of $500,000. No Credit Party has incurred liability to the PBGC (other than for current premiums) with respect to any employee Pension Plan. Except as would not reasonably be expected to result in material liability to any Credit Party,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 such plan, and no Credit Party nor any member of the Controlled Group has received any notice that any Multiemployer Plan is in reorganization, that any such plan is or may be terminated, or that any such plan is or may become insolvent.</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40</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02" w:name="page103"/>
    <w:bookmarkEnd w:id="102"/>
    <w:p>
      <w:pPr>
        <w:jc w:val="both"/>
        <w:ind w:left="140" w:right="20" w:firstLine="837"/>
        <w:spacing w:after="0" w:line="258" w:lineRule="auto"/>
        <w:rPr>
          <w:sz w:val="20"/>
          <w:szCs w:val="20"/>
          <w:color w:val="auto"/>
        </w:rPr>
      </w:pPr>
      <w:r>
        <w:rPr>
          <w:rFonts w:ascii="Arial" w:cs="Arial" w:eastAsia="Arial" w:hAnsi="Arial"/>
          <w:sz w:val="14"/>
          <w:szCs w:val="14"/>
          <w:b w:val="1"/>
          <w:bCs w:val="1"/>
          <w:color w:val="auto"/>
        </w:rPr>
        <w:t xml:space="preserve">Section 3.15 </w:t>
      </w:r>
      <w:r>
        <w:rPr>
          <w:rFonts w:ascii="Arial" w:cs="Arial" w:eastAsia="Arial" w:hAnsi="Arial"/>
          <w:sz w:val="14"/>
          <w:szCs w:val="14"/>
          <w:u w:val="single" w:color="auto"/>
          <w:color w:val="auto"/>
        </w:rPr>
        <w:t>Consummation of Financing Documents; Brokers</w:t>
      </w:r>
      <w:r>
        <w:rPr>
          <w:rFonts w:ascii="Arial" w:cs="Arial" w:eastAsia="Arial" w:hAnsi="Arial"/>
          <w:sz w:val="14"/>
          <w:szCs w:val="14"/>
          <w:color w:val="auto"/>
        </w:rPr>
        <w:t>. Except for fees payable to Agent and/or Lenders and except as set forth on Schedule 3.15, no broker, finder or other</w:t>
      </w:r>
      <w:r>
        <w:rPr>
          <w:rFonts w:ascii="Arial" w:cs="Arial" w:eastAsia="Arial" w:hAnsi="Arial"/>
          <w:sz w:val="14"/>
          <w:szCs w:val="14"/>
          <w:b w:val="1"/>
          <w:bCs w:val="1"/>
          <w:color w:val="auto"/>
        </w:rPr>
        <w:t xml:space="preserve"> </w:t>
      </w:r>
      <w:r>
        <w:rPr>
          <w:rFonts w:ascii="Arial" w:cs="Arial" w:eastAsia="Arial" w:hAnsi="Arial"/>
          <w:sz w:val="14"/>
          <w:szCs w:val="14"/>
          <w:color w:val="auto"/>
        </w:rPr>
        <w:t>intermediary has brought about the obtaining, making or closing of the transactions contemplated by the Financing Documents, and except as set forth on Schedule 3.15 no Credit Party has or will have any obligation to any Person in respect of any finder’s or brokerage fees, commissions or other expenses in connection herewith or therewith.</w:t>
      </w:r>
    </w:p>
    <w:p>
      <w:pPr>
        <w:spacing w:after="0" w:line="120"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3.16</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b w:val="1"/>
          <w:bCs w:val="1"/>
          <w:color w:val="auto"/>
        </w:rPr>
        <w:t xml:space="preserve">Section 3.17 </w:t>
      </w:r>
      <w:r>
        <w:rPr>
          <w:rFonts w:ascii="Arial" w:cs="Arial" w:eastAsia="Arial" w:hAnsi="Arial"/>
          <w:sz w:val="14"/>
          <w:szCs w:val="14"/>
          <w:u w:val="single" w:color="auto"/>
          <w:color w:val="auto"/>
        </w:rPr>
        <w:t>Material Contracts</w:t>
      </w:r>
      <w:r>
        <w:rPr>
          <w:rFonts w:ascii="Arial" w:cs="Arial" w:eastAsia="Arial" w:hAnsi="Arial"/>
          <w:sz w:val="14"/>
          <w:szCs w:val="14"/>
          <w:color w:val="auto"/>
        </w:rPr>
        <w:t>. Except for the Operative Documents and the agreements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3.17</w:t>
      </w:r>
      <w:r>
        <w:rPr>
          <w:rFonts w:ascii="Arial" w:cs="Arial" w:eastAsia="Arial" w:hAnsi="Arial"/>
          <w:sz w:val="14"/>
          <w:szCs w:val="14"/>
          <w:color w:val="auto"/>
        </w:rPr>
        <w:t>, as of the Closing Date there are no Material Contracts. The</w:t>
      </w:r>
      <w:r>
        <w:rPr>
          <w:rFonts w:ascii="Arial" w:cs="Arial" w:eastAsia="Arial" w:hAnsi="Arial"/>
          <w:sz w:val="14"/>
          <w:szCs w:val="14"/>
          <w:b w:val="1"/>
          <w:bCs w:val="1"/>
          <w:color w:val="auto"/>
        </w:rPr>
        <w:t xml:space="preserve"> </w:t>
      </w:r>
      <w:r>
        <w:rPr>
          <w:rFonts w:ascii="Arial" w:cs="Arial" w:eastAsia="Arial" w:hAnsi="Arial"/>
          <w:sz w:val="14"/>
          <w:szCs w:val="14"/>
          <w:color w:val="auto"/>
        </w:rPr>
        <w:t>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500" w:type="dxa"/>
            <w:vAlign w:val="bottom"/>
          </w:tcPr>
          <w:p>
            <w:pPr>
              <w:ind w:left="760"/>
              <w:spacing w:after="0"/>
              <w:rPr>
                <w:sz w:val="20"/>
                <w:szCs w:val="20"/>
                <w:color w:val="auto"/>
              </w:rPr>
            </w:pPr>
            <w:r>
              <w:rPr>
                <w:rFonts w:ascii="Arial" w:cs="Arial" w:eastAsia="Arial" w:hAnsi="Arial"/>
                <w:sz w:val="14"/>
                <w:szCs w:val="14"/>
                <w:b w:val="1"/>
                <w:bCs w:val="1"/>
                <w:color w:val="auto"/>
                <w:w w:val="88"/>
              </w:rPr>
              <w:t>Section 3.18</w:t>
            </w:r>
          </w:p>
        </w:tc>
        <w:tc>
          <w:tcPr>
            <w:tcW w:w="40" w:type="dxa"/>
            <w:vAlign w:val="bottom"/>
          </w:tcPr>
          <w:p>
            <w:pPr>
              <w:spacing w:after="0"/>
              <w:rPr>
                <w:sz w:val="14"/>
                <w:szCs w:val="14"/>
                <w:color w:val="auto"/>
              </w:rPr>
            </w:pPr>
          </w:p>
        </w:tc>
        <w:tc>
          <w:tcPr>
            <w:tcW w:w="9440" w:type="dxa"/>
            <w:vAlign w:val="bottom"/>
            <w:gridSpan w:val="4"/>
          </w:tcPr>
          <w:p>
            <w:pPr>
              <w:spacing w:after="0"/>
              <w:rPr>
                <w:sz w:val="20"/>
                <w:szCs w:val="20"/>
                <w:color w:val="auto"/>
              </w:rPr>
            </w:pPr>
            <w:r>
              <w:rPr>
                <w:rFonts w:ascii="Arial" w:cs="Arial" w:eastAsia="Arial" w:hAnsi="Arial"/>
                <w:sz w:val="14"/>
                <w:szCs w:val="14"/>
                <w:color w:val="auto"/>
              </w:rPr>
              <w:t>Compliance with Environmental Requirements; No Hazardous Materials. Except in each case as set forth on Schedule 3.18:</w:t>
            </w:r>
          </w:p>
        </w:tc>
      </w:tr>
      <w:tr>
        <w:trPr>
          <w:trHeight w:val="20"/>
        </w:trPr>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27"/>
        </w:trPr>
        <w:tc>
          <w:tcPr>
            <w:tcW w:w="1500" w:type="dxa"/>
            <w:vAlign w:val="bottom"/>
          </w:tcPr>
          <w:p>
            <w:pPr>
              <w:spacing w:after="0"/>
              <w:rPr>
                <w:sz w:val="20"/>
                <w:szCs w:val="20"/>
                <w:color w:val="auto"/>
              </w:rPr>
            </w:pPr>
            <w:r>
              <w:rPr>
                <w:rFonts w:ascii="Arial" w:cs="Arial" w:eastAsia="Arial" w:hAnsi="Arial"/>
                <w:sz w:val="14"/>
                <w:szCs w:val="14"/>
                <w:color w:val="auto"/>
              </w:rPr>
              <w:t>(a)</w:t>
            </w:r>
          </w:p>
        </w:tc>
        <w:tc>
          <w:tcPr>
            <w:tcW w:w="40" w:type="dxa"/>
            <w:vAlign w:val="bottom"/>
          </w:tcPr>
          <w:p>
            <w:pPr>
              <w:spacing w:after="0"/>
              <w:rPr>
                <w:sz w:val="24"/>
                <w:szCs w:val="24"/>
                <w:color w:val="auto"/>
              </w:rPr>
            </w:pPr>
          </w:p>
        </w:tc>
        <w:tc>
          <w:tcPr>
            <w:tcW w:w="9440" w:type="dxa"/>
            <w:vAlign w:val="bottom"/>
            <w:gridSpan w:val="4"/>
          </w:tcPr>
          <w:p>
            <w:pPr>
              <w:ind w:left="1340"/>
              <w:spacing w:after="0"/>
              <w:rPr>
                <w:sz w:val="20"/>
                <w:szCs w:val="20"/>
                <w:color w:val="auto"/>
              </w:rPr>
            </w:pPr>
            <w:r>
              <w:rPr>
                <w:rFonts w:ascii="Arial" w:cs="Arial" w:eastAsia="Arial" w:hAnsi="Arial"/>
                <w:sz w:val="14"/>
                <w:szCs w:val="14"/>
                <w:color w:val="auto"/>
                <w:w w:val="91"/>
              </w:rPr>
              <w:t>no notice, notification, demand, request for information, citation, summons, complaint or order has been issued, no complaint has been filed, no</w:t>
            </w:r>
          </w:p>
        </w:tc>
      </w:tr>
    </w:tbl>
    <w:p>
      <w:pPr>
        <w:spacing w:after="0" w:line="1" w:lineRule="exact"/>
        <w:rPr>
          <w:sz w:val="20"/>
          <w:szCs w:val="20"/>
          <w:color w:val="auto"/>
        </w:rPr>
      </w:pPr>
    </w:p>
    <w:p>
      <w:pPr>
        <w:sectPr>
          <w:pgSz w:w="11900" w:h="16838" w:orient="portrait"/>
          <w:cols w:equalWidth="0" w:num="1">
            <w:col w:w="11340"/>
          </w:cols>
          <w:pgMar w:left="240" w:top="161" w:right="319" w:bottom="1440" w:gutter="0" w:footer="0" w:header="0"/>
        </w:sectPr>
      </w:pPr>
    </w:p>
    <w:p>
      <w:pPr>
        <w:jc w:val="both"/>
        <w:ind w:left="1660" w:right="140"/>
        <w:spacing w:after="0" w:line="242" w:lineRule="auto"/>
        <w:rPr>
          <w:sz w:val="20"/>
          <w:szCs w:val="20"/>
          <w:color w:val="auto"/>
        </w:rPr>
      </w:pPr>
      <w:r>
        <w:rPr>
          <w:rFonts w:ascii="Arial" w:cs="Arial" w:eastAsia="Arial" w:hAnsi="Arial"/>
          <w:sz w:val="14"/>
          <w:szCs w:val="14"/>
          <w:color w:val="auto"/>
        </w:rPr>
        <w:t>penalty has been assessed and no investigation or review is pending, or to such Borrower’s knowledge, threatened in writing by any Governmental Authority or other Person with respect to any (i) alleged violation by any Credit Party of any Environmental Law, (ii) alleged failure by any Credit Party to have any Permits required under any Environmental Law in connection with the conduct of its business or to comply with the terms and conditions thereof, (iii) any generation, treatment, storage, recycling, transportation or disposal of any Hazardous Materials by any Credit Party or any of its Subsidiaries, or (iv) release of Hazardous Materials caused by any Credit Party, any of its Subsidiaries, or any of its agents; and</w:t>
      </w:r>
    </w:p>
    <w:p>
      <w:pPr>
        <w:sectPr>
          <w:pgSz w:w="11900" w:h="16838" w:orient="portrait"/>
          <w:cols w:equalWidth="0" w:num="1">
            <w:col w:w="11340"/>
          </w:cols>
          <w:pgMar w:left="240" w:top="161" w:right="319" w:bottom="1440" w:gutter="0" w:footer="0" w:header="0"/>
          <w:type w:val="continuous"/>
        </w:sectPr>
      </w:pPr>
    </w:p>
    <w:p>
      <w:pPr>
        <w:spacing w:after="0" w:line="12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ind w:right="120" w:firstLine="1429"/>
        <w:spacing w:after="0" w:line="269" w:lineRule="auto"/>
        <w:rPr>
          <w:sz w:val="20"/>
          <w:szCs w:val="20"/>
          <w:color w:val="auto"/>
        </w:rPr>
      </w:pPr>
      <w:r>
        <w:rPr>
          <w:rFonts w:ascii="Arial" w:cs="Arial" w:eastAsia="Arial" w:hAnsi="Arial"/>
          <w:sz w:val="13"/>
          <w:szCs w:val="13"/>
          <w:color w:val="auto"/>
        </w:rPr>
        <w:t>no property now owned or, to the knowledge of each Borrower, leased by any Credit Party and, to the knowledge of each Borrower, no such property previously owned or leased by any Credit Party, to which any Credit Party has, directly or indirectly, transported or arranged for the transportation of any Hazardous Materials, is listed or, to such Borrower’s knowledge, proposed for listing, on the National Priorities List promulgated pursuant to CERCLA, or CERCLIS (as defined in CERCLA) or any similar state list or is the subject of federal, state or local enforcement actions or, to the knowledge of such Borrower, other investigations which may lead to claims against any Credit Party for clean-up costs, remedial work, damage to natural resources or personal injury claims, including, without limitation, claims under CERCLA except in the case of the forgoing as would not reasonably be expected to result in a Material Adverse Effect.</w:t>
      </w:r>
    </w:p>
    <w:p>
      <w:pPr>
        <w:spacing w:after="0" w:line="117" w:lineRule="exact"/>
        <w:rPr>
          <w:sz w:val="20"/>
          <w:szCs w:val="20"/>
          <w:color w:val="auto"/>
        </w:rPr>
      </w:pPr>
    </w:p>
    <w:p>
      <w:pPr>
        <w:sectPr>
          <w:pgSz w:w="11900" w:h="16838" w:orient="portrait"/>
          <w:cols w:equalWidth="0" w:num="2">
            <w:col w:w="940" w:space="720"/>
            <w:col w:w="9680"/>
          </w:cols>
          <w:pgMar w:left="240" w:top="161" w:right="319" w:bottom="1440" w:gutter="0" w:footer="0" w:header="0"/>
          <w:type w:val="continuous"/>
        </w:sectPr>
      </w:pPr>
    </w:p>
    <w:p>
      <w:pPr>
        <w:jc w:val="both"/>
        <w:ind w:left="140" w:firstLine="837"/>
        <w:spacing w:after="0" w:line="297" w:lineRule="auto"/>
        <w:rPr>
          <w:sz w:val="20"/>
          <w:szCs w:val="20"/>
          <w:color w:val="auto"/>
        </w:rPr>
      </w:pPr>
      <w:r>
        <w:rPr>
          <w:rFonts w:ascii="Arial" w:cs="Arial" w:eastAsia="Arial" w:hAnsi="Arial"/>
          <w:sz w:val="12"/>
          <w:szCs w:val="12"/>
          <w:b w:val="1"/>
          <w:bCs w:val="1"/>
          <w:color w:val="auto"/>
        </w:rPr>
        <w:t xml:space="preserve">Section 3.19 </w:t>
      </w:r>
      <w:r>
        <w:rPr>
          <w:rFonts w:ascii="Arial" w:cs="Arial" w:eastAsia="Arial" w:hAnsi="Arial"/>
          <w:sz w:val="12"/>
          <w:szCs w:val="12"/>
          <w:u w:val="single" w:color="auto"/>
          <w:color w:val="auto"/>
        </w:rPr>
        <w:t>Intellectual Property and License Agreements</w:t>
      </w:r>
      <w:r>
        <w:rPr>
          <w:rFonts w:ascii="Arial" w:cs="Arial" w:eastAsia="Arial" w:hAnsi="Arial"/>
          <w:sz w:val="12"/>
          <w:szCs w:val="12"/>
          <w:color w:val="auto"/>
        </w:rPr>
        <w:t>. A list of all Registered Intellectual Property of each Credit Party and all material in-bound license or sublicense</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material exclusive out-bound license or sublicense agreements, or other rights of any Credit Party to use material Intellectual Property (but excluding in-bound licenses of over-the-counter software that is commercially available to the public), as of the Closing Date and, as updated pursuant to Section 4.15, is set forth on Schedule 3.19. Schedule 3.19 shall be prepared by Borrower in the form provided by Agent and contain all information required in such form. Except for Permitted Licenses, each Credit Party is the sole owner of its material Intellectual Property free and clear of any Liens other than Permitted Liens. No part of the Material Intangible Assets has been judged invalid or unenforceable, in whole or in part, and to the Borrower’s knowledge, no claim has been made in writing that any part of the Intellectual Property violates the rights of any third party where the effect of such violation would reasonably be expected to have a Material Adverse Effect.</w:t>
      </w:r>
    </w:p>
    <w:p>
      <w:pPr>
        <w:spacing w:after="0" w:line="268"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type w:val="continuous"/>
        </w:sectPr>
      </w:pPr>
    </w:p>
    <w:bookmarkStart w:id="103" w:name="page104"/>
    <w:bookmarkEnd w:id="103"/>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3.20 </w:t>
      </w:r>
      <w:r>
        <w:rPr>
          <w:rFonts w:ascii="Arial" w:cs="Arial" w:eastAsia="Arial" w:hAnsi="Arial"/>
          <w:sz w:val="14"/>
          <w:szCs w:val="14"/>
          <w:u w:val="single" w:color="auto"/>
          <w:color w:val="auto"/>
        </w:rPr>
        <w:t>Solvency</w:t>
      </w:r>
      <w:r>
        <w:rPr>
          <w:rFonts w:ascii="Arial" w:cs="Arial" w:eastAsia="Arial" w:hAnsi="Arial"/>
          <w:sz w:val="14"/>
          <w:szCs w:val="14"/>
          <w:color w:val="auto"/>
        </w:rPr>
        <w:t>. After giving effect to the Loan advances and the liabilities and obligations of each Borrower under the Operative Documents, each Borrower (after giving effect</w:t>
      </w:r>
      <w:r>
        <w:rPr>
          <w:rFonts w:ascii="Arial" w:cs="Arial" w:eastAsia="Arial" w:hAnsi="Arial"/>
          <w:sz w:val="14"/>
          <w:szCs w:val="14"/>
          <w:b w:val="1"/>
          <w:bCs w:val="1"/>
          <w:color w:val="auto"/>
        </w:rPr>
        <w:t xml:space="preserve"> </w:t>
      </w:r>
      <w:r>
        <w:rPr>
          <w:rFonts w:ascii="Arial" w:cs="Arial" w:eastAsia="Arial" w:hAnsi="Arial"/>
          <w:sz w:val="14"/>
          <w:szCs w:val="14"/>
          <w:color w:val="auto"/>
        </w:rPr>
        <w:t>to all rights of such Borrower arising by virtue of Section 2.10(b) and any other rights of contribution or similar rights of such Borrower) is Solvent and the Credit Parties (taken as a whole) are Solvent.</w:t>
      </w:r>
    </w:p>
    <w:p>
      <w:pPr>
        <w:spacing w:after="0" w:line="120" w:lineRule="exact"/>
        <w:rPr>
          <w:sz w:val="20"/>
          <w:szCs w:val="20"/>
          <w:color w:val="auto"/>
        </w:rPr>
      </w:pPr>
    </w:p>
    <w:p>
      <w:pPr>
        <w:jc w:val="both"/>
        <w:ind w:left="140" w:firstLine="837"/>
        <w:spacing w:after="0" w:line="293" w:lineRule="auto"/>
        <w:rPr>
          <w:sz w:val="20"/>
          <w:szCs w:val="20"/>
          <w:color w:val="auto"/>
        </w:rPr>
      </w:pPr>
      <w:r>
        <w:rPr>
          <w:rFonts w:ascii="Arial" w:cs="Arial" w:eastAsia="Arial" w:hAnsi="Arial"/>
          <w:sz w:val="12"/>
          <w:szCs w:val="12"/>
          <w:b w:val="1"/>
          <w:bCs w:val="1"/>
          <w:color w:val="auto"/>
        </w:rPr>
        <w:t xml:space="preserve">Section 3.21 </w:t>
      </w:r>
      <w:r>
        <w:rPr>
          <w:rFonts w:ascii="Arial" w:cs="Arial" w:eastAsia="Arial" w:hAnsi="Arial"/>
          <w:sz w:val="12"/>
          <w:szCs w:val="12"/>
          <w:u w:val="single" w:color="auto"/>
          <w:color w:val="auto"/>
        </w:rPr>
        <w:t>Full Disclosure</w:t>
      </w:r>
      <w:r>
        <w:rPr>
          <w:rFonts w:ascii="Arial" w:cs="Arial" w:eastAsia="Arial" w:hAnsi="Arial"/>
          <w:sz w:val="12"/>
          <w:szCs w:val="12"/>
          <w:color w:val="auto"/>
        </w:rPr>
        <w:t>. The material written information (financial or otherwise) relating to the Credit Parties, other than projections furnished by or on behalf of any Credit</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Party to Agent or any Lender in connection with the consummation of the transactions contemplated by the Operative Documents, when taken as a whole, is accurate and complete in all material respects and does not and will not, when taken as a whole, contain any untrue statement of a material fact or omit to state a material fact necessary to make the statements contained therein not materially misleading in light of the circumstances under which such statements were made. All financial projections delivered to Agent and Lenders by Borrowers (or their agents) have been prepared on the basis of the assumptions stated therein. Such projections represent each Borrower’s good faith estimate of such Borrower’s future financial performance and such assumptions are believed by such Borrower to be fair and reasonable in light of current business conditions;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it being understood that projections are as to future events and are not to be viewed as facts, projections are subject to significant uncertainties and contingencies, many of which are beyond Borrowers’ control, that Borrowers can give no assurance that such projections will be attained and that actual results during the period or periods covered by any such projections may differ significantly from the projected results and such differences may be material.</w:t>
      </w:r>
    </w:p>
    <w:p>
      <w:pPr>
        <w:spacing w:after="0" w:line="103"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b w:val="1"/>
          <w:bCs w:val="1"/>
          <w:color w:val="auto"/>
        </w:rPr>
        <w:t xml:space="preserve">Section 3.22 </w:t>
      </w:r>
      <w:r>
        <w:rPr>
          <w:rFonts w:ascii="Arial" w:cs="Arial" w:eastAsia="Arial" w:hAnsi="Arial"/>
          <w:sz w:val="14"/>
          <w:szCs w:val="14"/>
          <w:u w:val="single" w:color="auto"/>
          <w:color w:val="auto"/>
        </w:rPr>
        <w:t>Interest Rate</w:t>
      </w:r>
      <w:r>
        <w:rPr>
          <w:rFonts w:ascii="Arial" w:cs="Arial" w:eastAsia="Arial" w:hAnsi="Arial"/>
          <w:sz w:val="14"/>
          <w:szCs w:val="14"/>
          <w:color w:val="auto"/>
        </w:rPr>
        <w:t>. The rate of interest paid under the Notes and the method and manner of the calculation thereof do not violate any usury or other law or applicable Laws on</w:t>
      </w:r>
      <w:r>
        <w:rPr>
          <w:rFonts w:ascii="Arial" w:cs="Arial" w:eastAsia="Arial" w:hAnsi="Arial"/>
          <w:sz w:val="14"/>
          <w:szCs w:val="14"/>
          <w:b w:val="1"/>
          <w:bCs w:val="1"/>
          <w:color w:val="auto"/>
        </w:rPr>
        <w:t xml:space="preserve"> </w:t>
      </w:r>
      <w:r>
        <w:rPr>
          <w:rFonts w:ascii="Arial" w:cs="Arial" w:eastAsia="Arial" w:hAnsi="Arial"/>
          <w:sz w:val="14"/>
          <w:szCs w:val="14"/>
          <w:color w:val="auto"/>
        </w:rPr>
        <w:t>the Closing Date, any of the Organizational Documents, or any of the Operative Documents.</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 xml:space="preserve">Section 3.23 </w:t>
      </w:r>
      <w:r>
        <w:rPr>
          <w:rFonts w:ascii="Arial" w:cs="Arial" w:eastAsia="Arial" w:hAnsi="Arial"/>
          <w:sz w:val="13"/>
          <w:szCs w:val="13"/>
          <w:u w:val="single" w:color="auto"/>
          <w:color w:val="auto"/>
        </w:rPr>
        <w:t>Subsidiaries</w:t>
      </w:r>
      <w:r>
        <w:rPr>
          <w:rFonts w:ascii="Arial" w:cs="Arial" w:eastAsia="Arial" w:hAnsi="Arial"/>
          <w:sz w:val="13"/>
          <w:szCs w:val="13"/>
          <w:color w:val="auto"/>
        </w:rPr>
        <w:t>. Borrowers do not own any stock, partnership interests,  limited liability company interests or other equity securities or Subsidiaries except for Permitted</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Investments.</w:t>
      </w:r>
    </w:p>
    <w:p>
      <w:pPr>
        <w:spacing w:after="0" w:line="138"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3.24</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b w:val="1"/>
          <w:bCs w:val="1"/>
          <w:color w:val="auto"/>
        </w:rPr>
        <w:t xml:space="preserve">Section 3.25 </w:t>
      </w:r>
      <w:r>
        <w:rPr>
          <w:rFonts w:ascii="Arial" w:cs="Arial" w:eastAsia="Arial" w:hAnsi="Arial"/>
          <w:sz w:val="14"/>
          <w:szCs w:val="14"/>
          <w:u w:val="single" w:color="auto"/>
          <w:color w:val="auto"/>
        </w:rPr>
        <w:t>Accuracy of Schedules</w:t>
      </w:r>
      <w:r>
        <w:rPr>
          <w:rFonts w:ascii="Arial" w:cs="Arial" w:eastAsia="Arial" w:hAnsi="Arial"/>
          <w:sz w:val="14"/>
          <w:szCs w:val="14"/>
          <w:color w:val="auto"/>
        </w:rPr>
        <w:t>. All information set forth in the Schedules to this Agreement (including Schedule 3.19 and Schedule 8.2(a)) is true, accurate and complete as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Closing Date, the date of delivery of the last Compliance Certificate and any other subsequent date in which Borrower is requested to update such Schedules in accordance with this Agreement. All information set forth in the Perfection Certificate is true, accurate and complete as of the Closing Date and any other subsequent date in which Borrower is requested to update such certificate in accordance with this Agreement.</w:t>
      </w:r>
    </w:p>
    <w:p>
      <w:pPr>
        <w:spacing w:after="0" w:line="126" w:lineRule="exact"/>
        <w:rPr>
          <w:sz w:val="20"/>
          <w:szCs w:val="20"/>
          <w:color w:val="auto"/>
        </w:rPr>
      </w:pPr>
    </w:p>
    <w:p>
      <w:pPr>
        <w:ind w:left="3120"/>
        <w:spacing w:after="0"/>
        <w:rPr>
          <w:sz w:val="20"/>
          <w:szCs w:val="20"/>
          <w:color w:val="auto"/>
        </w:rPr>
      </w:pPr>
      <w:r>
        <w:rPr>
          <w:rFonts w:ascii="Arial" w:cs="Arial" w:eastAsia="Arial" w:hAnsi="Arial"/>
          <w:sz w:val="14"/>
          <w:szCs w:val="14"/>
          <w:b w:val="1"/>
          <w:bCs w:val="1"/>
          <w:color w:val="auto"/>
        </w:rPr>
        <w:t>ARTICLE 4 - AFFIRMATIVE COVENANTS</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Each Borrower agrees that, so long as any Credit Exposure exists:</w:t>
      </w:r>
    </w:p>
    <w:p>
      <w:pPr>
        <w:spacing w:after="0" w:line="150" w:lineRule="exact"/>
        <w:rPr>
          <w:sz w:val="20"/>
          <w:szCs w:val="20"/>
          <w:color w:val="auto"/>
        </w:rPr>
      </w:pPr>
    </w:p>
    <w:p>
      <w:pPr>
        <w:ind w:left="1000"/>
        <w:spacing w:after="0"/>
        <w:tabs>
          <w:tab w:leader="none" w:pos="3080" w:val="left"/>
        </w:tabs>
        <w:rPr>
          <w:sz w:val="20"/>
          <w:szCs w:val="20"/>
          <w:color w:val="auto"/>
        </w:rPr>
      </w:pPr>
      <w:r>
        <w:rPr>
          <w:rFonts w:ascii="Arial" w:cs="Arial" w:eastAsia="Arial" w:hAnsi="Arial"/>
          <w:sz w:val="14"/>
          <w:szCs w:val="14"/>
          <w:b w:val="1"/>
          <w:bCs w:val="1"/>
          <w:color w:val="auto"/>
        </w:rPr>
        <w:t>Section 4.1</w:t>
      </w:r>
      <w:r>
        <w:rPr>
          <w:sz w:val="20"/>
          <w:szCs w:val="20"/>
          <w:color w:val="auto"/>
        </w:rPr>
        <w:tab/>
      </w:r>
      <w:r>
        <w:rPr>
          <w:rFonts w:ascii="Arial" w:cs="Arial" w:eastAsia="Arial" w:hAnsi="Arial"/>
          <w:sz w:val="13"/>
          <w:szCs w:val="13"/>
          <w:u w:val="single" w:color="auto"/>
          <w:color w:val="auto"/>
        </w:rPr>
        <w:t>Financial Statements and Other Reports</w:t>
      </w:r>
      <w:r>
        <w:rPr>
          <w:rFonts w:ascii="Arial" w:cs="Arial" w:eastAsia="Arial" w:hAnsi="Arial"/>
          <w:sz w:val="13"/>
          <w:szCs w:val="13"/>
          <w:color w:val="auto"/>
        </w:rPr>
        <w:t>.  Each Borrower will deliver to Agent:</w:t>
      </w:r>
    </w:p>
    <w:p>
      <w:pPr>
        <w:spacing w:after="0" w:line="17" w:lineRule="exact"/>
        <w:rPr>
          <w:sz w:val="20"/>
          <w:szCs w:val="20"/>
          <w:color w:val="auto"/>
        </w:rPr>
      </w:pPr>
    </w:p>
    <w:p>
      <w:pPr>
        <w:jc w:val="both"/>
        <w:ind w:left="140" w:firstLine="4"/>
        <w:spacing w:after="0" w:line="241" w:lineRule="auto"/>
        <w:tabs>
          <w:tab w:leader="none" w:pos="571"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soon as available, but no later than thirty (30) days after the last day of each month, a bank statement of each Borrower certified by a Responsible Officer and in a form reasonably acceptable to the Agent; (b) as soon as available, but no later than forty-five (45) days after the last day of each fiscal quarter, a company prepared consolidated balance sheet, cash flow and income statement covering Borrowers’ and their Consolidated Subsidiaries’ consolidated operations during the period, prepared under GAAP, consistently applied, certified by a Responsible Officer and in a form reasonably acceptable to Agent; (c) as soon as available, but no later than one hundred twenty (120) days after the last day of Borrower’s fiscal year, audited consolidated financial statements prepared under GAAP, consistently</w:t>
      </w:r>
    </w:p>
    <w:p>
      <w:pPr>
        <w:spacing w:after="0" w:line="3" w:lineRule="exact"/>
        <w:rPr>
          <w:rFonts w:ascii="Arial" w:cs="Arial" w:eastAsia="Arial" w:hAnsi="Arial"/>
          <w:sz w:val="14"/>
          <w:szCs w:val="14"/>
          <w:color w:val="auto"/>
        </w:rPr>
      </w:pPr>
    </w:p>
    <w:p>
      <w:pPr>
        <w:spacing w:after="0"/>
        <w:tabs>
          <w:tab w:leader="none" w:pos="0" w:val="left"/>
        </w:tabs>
        <w:numPr>
          <w:ilvl w:val="0"/>
          <w:numId w:val="41"/>
        </w:numPr>
        <w:rPr>
          <w:rFonts w:ascii="Arial" w:cs="Arial" w:eastAsia="Arial" w:hAnsi="Arial"/>
          <w:sz w:val="14"/>
          <w:szCs w:val="14"/>
          <w:color w:val="auto"/>
        </w:rPr>
      </w:pP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04" w:name="page105"/>
    <w:bookmarkEnd w:id="104"/>
    <w:p>
      <w:pPr>
        <w:ind w:left="140"/>
        <w:spacing w:after="0"/>
        <w:rPr>
          <w:sz w:val="20"/>
          <w:szCs w:val="20"/>
          <w:color w:val="auto"/>
        </w:rPr>
      </w:pPr>
      <w:r>
        <w:rPr>
          <w:rFonts w:ascii="Arial" w:cs="Arial" w:eastAsia="Arial" w:hAnsi="Arial"/>
          <w:sz w:val="12"/>
          <w:szCs w:val="12"/>
          <w:color w:val="auto"/>
        </w:rPr>
        <w:t>applied, together with an unqualified opinion on the financial statements from Ernst &amp; Young or another independent certified public accounting firm acceptable to Agent in its reasonable discretion;</w:t>
      </w:r>
    </w:p>
    <w:p>
      <w:pPr>
        <w:spacing w:after="0" w:line="36" w:lineRule="exact"/>
        <w:rPr>
          <w:sz w:val="20"/>
          <w:szCs w:val="20"/>
          <w:color w:val="auto"/>
        </w:rPr>
      </w:pPr>
    </w:p>
    <w:p>
      <w:pPr>
        <w:jc w:val="both"/>
        <w:ind w:left="140" w:firstLine="2"/>
        <w:spacing w:after="0" w:line="288" w:lineRule="auto"/>
        <w:tabs>
          <w:tab w:leader="none" w:pos="338"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within five (5) Business Days of delivery or filing thereof, copies of all material statements, reports and notices made available to Borrowers’ security holders or to any holders of any Subordinated Debt and copies of all reports and other filings made by any Borrower with any stock exchange on which any securities of any Borrower are traded and/or the SEC; (e) a prompt written report of any legal actions pending or threatened in writing against any Borrower or any of its Subsidiaries that would reasonably be expected to result in damages or costs to any Borrower or any of its Subsidiaries of Five Hundred Thousand Dollars ($500,000) or more; (f) prompt written notice of an event that materially and adversely affects the value of any Intellectual Property; (g) within sixty (60) days after the start of each fiscal year, projections for the forthcoming two fiscal years, on a quarterly basis for the current year and on an annual basis for the subsequent year; and (h) promptly (and in any event within ten (10) days of any request therefor) such readily available other budgets, sales projections, operating plans and other financial information and information, reports or statements regarding the Borrowers, their business and the Collateral as Agent may from time to time reasonably request;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reporting related to Regulatory Required Permits and/or Regulatory Reporting Events shall be governed by Section 4.16. Each Borrower will, within thirty (30) days after the last day of each month, deliver to Agent with the monthly financial statements described in clause (a) above, a duly completed Compliance Certificate signed by a Responsible Officer setting forth calculations showing compliance with the financial covenants set forth in this Agreement.</w:t>
      </w:r>
    </w:p>
    <w:p>
      <w:pPr>
        <w:spacing w:after="0" w:line="107" w:lineRule="exact"/>
        <w:rPr>
          <w:sz w:val="20"/>
          <w:szCs w:val="20"/>
          <w:color w:val="auto"/>
        </w:rPr>
      </w:pPr>
    </w:p>
    <w:p>
      <w:pPr>
        <w:jc w:val="both"/>
        <w:ind w:left="140" w:firstLine="837"/>
        <w:spacing w:after="0" w:line="268" w:lineRule="auto"/>
        <w:rPr>
          <w:sz w:val="20"/>
          <w:szCs w:val="20"/>
          <w:color w:val="auto"/>
        </w:rPr>
      </w:pPr>
      <w:r>
        <w:rPr>
          <w:rFonts w:ascii="Arial" w:cs="Arial" w:eastAsia="Arial" w:hAnsi="Arial"/>
          <w:sz w:val="13"/>
          <w:szCs w:val="13"/>
          <w:b w:val="1"/>
          <w:bCs w:val="1"/>
          <w:color w:val="auto"/>
        </w:rPr>
        <w:t xml:space="preserve">Section 4.2 </w:t>
      </w:r>
      <w:r>
        <w:rPr>
          <w:rFonts w:ascii="Arial" w:cs="Arial" w:eastAsia="Arial" w:hAnsi="Arial"/>
          <w:sz w:val="13"/>
          <w:szCs w:val="13"/>
          <w:u w:val="single" w:color="auto"/>
          <w:color w:val="auto"/>
        </w:rPr>
        <w:t>Payment and Performance of Obligations</w:t>
      </w:r>
      <w:r>
        <w:rPr>
          <w:rFonts w:ascii="Arial" w:cs="Arial" w:eastAsia="Arial" w:hAnsi="Arial"/>
          <w:sz w:val="13"/>
          <w:szCs w:val="13"/>
          <w:color w:val="auto"/>
        </w:rPr>
        <w:t>. Each Borrower (a) will pay and discharge, and cause each Subsidiary to pay and discharge, on a timely basis as and when due,</w:t>
      </w:r>
      <w:r>
        <w:rPr>
          <w:rFonts w:ascii="Arial" w:cs="Arial" w:eastAsia="Arial" w:hAnsi="Arial"/>
          <w:sz w:val="13"/>
          <w:szCs w:val="13"/>
          <w:b w:val="1"/>
          <w:bCs w:val="1"/>
          <w:color w:val="auto"/>
        </w:rPr>
        <w:t xml:space="preserve"> </w:t>
      </w:r>
      <w:r>
        <w:rPr>
          <w:rFonts w:ascii="Arial" w:cs="Arial" w:eastAsia="Arial" w:hAnsi="Arial"/>
          <w:sz w:val="13"/>
          <w:szCs w:val="13"/>
          <w:color w:val="auto"/>
        </w:rPr>
        <w:t>all of their respective obligations and liabilities, except for such obligations and/or liabilities (i) that may be the subject of a Permitted Contest, and (ii) the nonpayment or nondischarge of which would not reasonably be expected to have a Material Adverse Effect or result in a Lien against any Collateral, except for Permitted Liens, (b) without limiting anything contained in the foregoing clause (a), and except to the extent subject to a Permitted Contest, pay all amounts due and owing in respect of taxes (including without limitation, payroll and withholding tax liabilities) on a timely basis as and when due, and in any case prior to the date on which any fine, penalty, interest, late charge or loss may be added thereto for nonpayment thereof, (c) will maintain, and cause each Subsidiary to maintain, in accordance with GAAP, reserves in respect of their respective obligations and liabilities as such obligations and liabilities are reasonably expected to become due and payable, and (d)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have a Material Adverse Effect.</w:t>
      </w:r>
    </w:p>
    <w:p>
      <w:pPr>
        <w:spacing w:after="0" w:line="116" w:lineRule="exact"/>
        <w:rPr>
          <w:sz w:val="20"/>
          <w:szCs w:val="20"/>
          <w:color w:val="auto"/>
        </w:rPr>
      </w:pPr>
    </w:p>
    <w:p>
      <w:pPr>
        <w:jc w:val="both"/>
        <w:ind w:left="140" w:right="20" w:firstLine="837"/>
        <w:spacing w:after="0" w:line="321" w:lineRule="auto"/>
        <w:rPr>
          <w:sz w:val="20"/>
          <w:szCs w:val="20"/>
          <w:color w:val="auto"/>
        </w:rPr>
      </w:pPr>
      <w:r>
        <w:rPr>
          <w:rFonts w:ascii="Arial" w:cs="Arial" w:eastAsia="Arial" w:hAnsi="Arial"/>
          <w:sz w:val="12"/>
          <w:szCs w:val="12"/>
          <w:b w:val="1"/>
          <w:bCs w:val="1"/>
          <w:color w:val="auto"/>
        </w:rPr>
        <w:t xml:space="preserve">Section 4.3 </w:t>
      </w:r>
      <w:r>
        <w:rPr>
          <w:rFonts w:ascii="Arial" w:cs="Arial" w:eastAsia="Arial" w:hAnsi="Arial"/>
          <w:sz w:val="12"/>
          <w:szCs w:val="12"/>
          <w:u w:val="single" w:color="auto"/>
          <w:color w:val="auto"/>
        </w:rPr>
        <w:t>Maintenance of Existence</w:t>
      </w:r>
      <w:r>
        <w:rPr>
          <w:rFonts w:ascii="Arial" w:cs="Arial" w:eastAsia="Arial" w:hAnsi="Arial"/>
          <w:sz w:val="12"/>
          <w:szCs w:val="12"/>
          <w:color w:val="auto"/>
        </w:rPr>
        <w:t>. Each Borrower will preserve, renew and keep in full force and effect and in good standing, and will cause each Subsidiary to preserve, renew</w:t>
      </w:r>
      <w:r>
        <w:rPr>
          <w:rFonts w:ascii="Arial" w:cs="Arial" w:eastAsia="Arial" w:hAnsi="Arial"/>
          <w:sz w:val="12"/>
          <w:szCs w:val="12"/>
          <w:b w:val="1"/>
          <w:bCs w:val="1"/>
          <w:color w:val="auto"/>
        </w:rPr>
        <w:t xml:space="preserve"> </w:t>
      </w:r>
      <w:r>
        <w:rPr>
          <w:rFonts w:ascii="Arial" w:cs="Arial" w:eastAsia="Arial" w:hAnsi="Arial"/>
          <w:sz w:val="12"/>
          <w:szCs w:val="12"/>
          <w:color w:val="auto"/>
        </w:rPr>
        <w:t>and keep in full force and effect and in good standing, (a) their respective existence (except as resulting from transactions permitted by Section 5.6) and (b) their respective rights, privileges and franchises necessary or desirable in the normal conduct of business except, in case of this clause (b) where a failure to do so would not reasonably be expected to result in a Material Adverse Effect.</w:t>
      </w:r>
    </w:p>
    <w:p>
      <w:pPr>
        <w:spacing w:after="0" w:line="7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40" w:type="dxa"/>
            <w:vAlign w:val="bottom"/>
          </w:tcPr>
          <w:p>
            <w:pPr>
              <w:ind w:left="780"/>
              <w:spacing w:after="0"/>
              <w:rPr>
                <w:sz w:val="20"/>
                <w:szCs w:val="20"/>
                <w:color w:val="auto"/>
              </w:rPr>
            </w:pPr>
            <w:r>
              <w:rPr>
                <w:rFonts w:ascii="Arial" w:cs="Arial" w:eastAsia="Arial" w:hAnsi="Arial"/>
                <w:sz w:val="14"/>
                <w:szCs w:val="14"/>
                <w:b w:val="1"/>
                <w:bCs w:val="1"/>
                <w:color w:val="auto"/>
              </w:rPr>
              <w:t>Section 4.4</w:t>
            </w:r>
          </w:p>
        </w:tc>
        <w:tc>
          <w:tcPr>
            <w:tcW w:w="8840" w:type="dxa"/>
            <w:vAlign w:val="bottom"/>
            <w:gridSpan w:val="3"/>
          </w:tcPr>
          <w:p>
            <w:pPr>
              <w:ind w:left="740"/>
              <w:spacing w:after="0"/>
              <w:rPr>
                <w:sz w:val="20"/>
                <w:szCs w:val="20"/>
                <w:color w:val="auto"/>
              </w:rPr>
            </w:pPr>
            <w:r>
              <w:rPr>
                <w:rFonts w:ascii="Arial" w:cs="Arial" w:eastAsia="Arial" w:hAnsi="Arial"/>
                <w:sz w:val="14"/>
                <w:szCs w:val="14"/>
                <w:color w:val="auto"/>
              </w:rPr>
              <w:t>Maintenance of Property; Insurance.</w:t>
            </w: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14"/>
        </w:trPr>
        <w:tc>
          <w:tcPr>
            <w:tcW w:w="2140" w:type="dxa"/>
            <w:vAlign w:val="bottom"/>
          </w:tcPr>
          <w:p>
            <w:pPr>
              <w:spacing w:after="0"/>
              <w:rPr>
                <w:sz w:val="20"/>
                <w:szCs w:val="20"/>
                <w:color w:val="auto"/>
              </w:rPr>
            </w:pPr>
            <w:r>
              <w:rPr>
                <w:rFonts w:ascii="Arial" w:cs="Arial" w:eastAsia="Arial" w:hAnsi="Arial"/>
                <w:sz w:val="14"/>
                <w:szCs w:val="14"/>
                <w:color w:val="auto"/>
              </w:rPr>
              <w:t>(a)</w:t>
            </w:r>
          </w:p>
        </w:tc>
        <w:tc>
          <w:tcPr>
            <w:tcW w:w="7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w w:val="92"/>
              </w:rPr>
              <w:t>Each Borrower will keep, and will cause each Subsidiary to keep, all property useful and necessary in its business in good working order and</w:t>
            </w:r>
          </w:p>
        </w:tc>
      </w:tr>
    </w:tbl>
    <w:p>
      <w:pPr>
        <w:ind w:left="1660" w:right="120"/>
        <w:spacing w:after="0" w:line="250" w:lineRule="auto"/>
        <w:rPr>
          <w:sz w:val="20"/>
          <w:szCs w:val="20"/>
          <w:color w:val="auto"/>
        </w:rPr>
      </w:pPr>
      <w:r>
        <w:rPr>
          <w:rFonts w:ascii="Arial" w:cs="Arial" w:eastAsia="Arial" w:hAnsi="Arial"/>
          <w:sz w:val="14"/>
          <w:szCs w:val="14"/>
          <w:color w:val="auto"/>
        </w:rPr>
        <w:t>condition, ordinary wear and tear excepted. If all or any part of the Collateral necessary in its business becomes damaged or destroyed, each Borrower will, and will cause each Subsidiary to, promptly and completely repair and/or restore the affected Collateral in a good and workmanlike manner.</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05" w:name="page106"/>
    <w:bookmarkEnd w:id="105"/>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Upon completion of any Permitted Contest, Borrowers shall, and will cause each Subsidiary to, promptly pay the amount due, if any, and deliver to</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Agent proof of the completion of the contest and payment of the amount due, if any.</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Each Borrower will maintain (i) property and casualty insurance on all real and personal property on an all risks basis (including the perils of flood,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windstorm and quake, if applicable), covering the repair and replacement cost of all such property and coverage, business interruption and rent loss coverages with extended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period of indemnity (for the period required by Agent from time to time) and indemnity for extra expense, in each case without application of coinsurance and with agreed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amount endorsements, (ii) general and professional liability insurance (including products/completed operations liability coverage), and (iii) such other insurance coverage, in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each case against loss or damage of the kinds customarily insured against by Persons engaged in the same or similar business, of such types and in such amounts as are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 xml:space="preserve">customarily carried under similar circumstances by such other Persons; </w:t>
            </w:r>
            <w:r>
              <w:rPr>
                <w:rFonts w:ascii="Arial" w:cs="Arial" w:eastAsia="Arial" w:hAnsi="Arial"/>
                <w:sz w:val="14"/>
                <w:szCs w:val="14"/>
                <w:i w:val="1"/>
                <w:iCs w:val="1"/>
                <w:color w:val="auto"/>
                <w:w w:val="88"/>
              </w:rPr>
              <w:t>provided</w:t>
            </w:r>
            <w:r>
              <w:rPr>
                <w:rFonts w:ascii="Arial" w:cs="Arial" w:eastAsia="Arial" w:hAnsi="Arial"/>
                <w:sz w:val="14"/>
                <w:szCs w:val="14"/>
                <w:color w:val="auto"/>
                <w:w w:val="88"/>
              </w:rPr>
              <w:t xml:space="preserve">, </w:t>
            </w:r>
            <w:r>
              <w:rPr>
                <w:rFonts w:ascii="Arial" w:cs="Arial" w:eastAsia="Arial" w:hAnsi="Arial"/>
                <w:sz w:val="14"/>
                <w:szCs w:val="14"/>
                <w:i w:val="1"/>
                <w:iCs w:val="1"/>
                <w:color w:val="auto"/>
                <w:w w:val="88"/>
              </w:rPr>
              <w:t>however</w:t>
            </w:r>
            <w:r>
              <w:rPr>
                <w:rFonts w:ascii="Arial" w:cs="Arial" w:eastAsia="Arial" w:hAnsi="Arial"/>
                <w:sz w:val="14"/>
                <w:szCs w:val="14"/>
                <w:color w:val="auto"/>
                <w:w w:val="88"/>
              </w:rPr>
              <w:t>, that, in no event shall such insurance be in amounts or with coverage less than,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with carriers with credit ratings materially inferior to, any of the insurance or carriers in existence as of the Closing Date (or required to be in existence after the Closing Date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under a Financing Document).</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ind w:left="2080"/>
              <w:spacing w:after="0"/>
              <w:rPr>
                <w:sz w:val="20"/>
                <w:szCs w:val="20"/>
                <w:color w:val="auto"/>
              </w:rPr>
            </w:pPr>
            <w:r>
              <w:rPr>
                <w:rFonts w:ascii="Arial" w:cs="Arial" w:eastAsia="Arial" w:hAnsi="Arial"/>
                <w:sz w:val="14"/>
                <w:szCs w:val="14"/>
                <w:color w:val="auto"/>
                <w:w w:val="91"/>
              </w:rPr>
              <w:t>On or prior to the Closing Date, and at all times thereafter, each Borrower will cause Agent to be named as an additional insured, assignee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lender loss payee (which shall include, as applicable, identification as mortgagee), as applicable, on each policy of property, casualty or liability insurance required to be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maintained pursuant to this Section 4.4 pursuant to endorsements in form and substance reasonably acceptable to Agent. Borrowers shall deliver to Agent and Lenders (i) 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the Closing Date, a certificate from Borrowers’ insurance broker dated such date showing the amount of coverage as of such date, and that such policies will include effective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waivers (whether under the terms of any such policy or otherwise) by the insurer of all claims for insurance premiums against all loss payees and additional insureds (other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than Credit Parties) and all rights of subrogation against all loss payees and additional insureds (other than Credit Parties), and that if all or any part of such policy is canceled,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terminated or expires, the insurer will forthwith give notice thereof to each additional insured or loss payee and that no cancellation, reduction in amount or material change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in coverage thereof shall be effective until at least thirty (30) days after receipt by each additional insured, assignee and loss payee of written notice thereof (ten (10) days in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the case of non-payment of premium), (ii) on an annual basis, and upon the request of any Lender through Agent from time to time all information as to the insurance carried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reasonably requested by Agent, (iii) within five (5) Business Days of receipt of notice from any insurer, a copy of any notice of cancellation, nonrenewal or material change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in coverage from that existing on the date of this Agreement, (iv) forthwith, notice of any cancellation or nonrenewal of coverage by any Borrower, and (v) at least twenty</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(20) Business Days prior to expiration of any policy of insurance, evidence of renewal of such insurance upon the terms and conditions herein required.</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(e)</w:t>
            </w:r>
          </w:p>
        </w:tc>
        <w:tc>
          <w:tcPr>
            <w:tcW w:w="10200" w:type="dxa"/>
            <w:vAlign w:val="bottom"/>
          </w:tcPr>
          <w:p>
            <w:pPr>
              <w:ind w:left="2080"/>
              <w:spacing w:after="0"/>
              <w:rPr>
                <w:sz w:val="20"/>
                <w:szCs w:val="20"/>
                <w:color w:val="auto"/>
              </w:rPr>
            </w:pPr>
            <w:r>
              <w:rPr>
                <w:rFonts w:ascii="Arial" w:cs="Arial" w:eastAsia="Arial" w:hAnsi="Arial"/>
                <w:sz w:val="14"/>
                <w:szCs w:val="14"/>
                <w:color w:val="auto"/>
                <w:w w:val="90"/>
              </w:rPr>
              <w:t>In the event any Borrower fails to provide Agent with evidence of the insurance coverage required by this Agreement promptly following request,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Agent may purchase insurance at Borrowers’ expense to protect Agent’s interests in the Collateral. This insurance may, but need not, protect such Borrower’s interests.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coverage purchased by Agent may not pay any claim made by such Borrower or any claim that is made against such Borrower in connection with the Collateral.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Borrower may later cancel any insurance purchased by Agent, but only after providing Agent with evidence that such Borrower has obtained insurance as required by this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Agreement. If Agent purchases insurance for the Collateral, Borrowers will be responsible for the costs of that insurance to the fullest extent provided by law, including</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interest and other charges imposed by Agent in connection with the placement of the insurance, until the effective date of the cancellation or expiration of the insurance. The</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costs of the insurance may be added to the Obligations. The costs of the insurance may be more than the cost of insurance such Borrower is able to obtain on its own.</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28" w:right="439" w:bottom="1440" w:gutter="0" w:footer="0" w:header="0"/>
        </w:sectPr>
      </w:pPr>
    </w:p>
    <w:bookmarkStart w:id="106" w:name="page107"/>
    <w:bookmarkEnd w:id="106"/>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4.5 </w:t>
      </w:r>
      <w:r>
        <w:rPr>
          <w:rFonts w:ascii="Arial" w:cs="Arial" w:eastAsia="Arial" w:hAnsi="Arial"/>
          <w:sz w:val="14"/>
          <w:szCs w:val="14"/>
          <w:u w:val="single" w:color="auto"/>
          <w:color w:val="auto"/>
        </w:rPr>
        <w:t>Compliance with Laws and Material Contracts</w:t>
      </w:r>
      <w:r>
        <w:rPr>
          <w:rFonts w:ascii="Arial" w:cs="Arial" w:eastAsia="Arial" w:hAnsi="Arial"/>
          <w:sz w:val="14"/>
          <w:szCs w:val="14"/>
          <w:color w:val="auto"/>
        </w:rPr>
        <w:t>. Each Borrower will comply, and cause each Subsidiary to comply, with the requirements of all applicable Laws and</w:t>
      </w:r>
      <w:r>
        <w:rPr>
          <w:rFonts w:ascii="Arial" w:cs="Arial" w:eastAsia="Arial" w:hAnsi="Arial"/>
          <w:sz w:val="14"/>
          <w:szCs w:val="14"/>
          <w:b w:val="1"/>
          <w:bCs w:val="1"/>
          <w:color w:val="auto"/>
        </w:rPr>
        <w:t xml:space="preserve"> </w:t>
      </w:r>
      <w:r>
        <w:rPr>
          <w:rFonts w:ascii="Arial" w:cs="Arial" w:eastAsia="Arial" w:hAnsi="Arial"/>
          <w:sz w:val="14"/>
          <w:szCs w:val="14"/>
          <w:color w:val="auto"/>
        </w:rPr>
        <w:t>Material Contracts, except to the extent that failure to so comply would not reasonably be expected to (a) have a Material Adverse Effect, or (b) result in any Lien upon a material portion of the assets of any such Person in favor of any Governmental Authority.</w:t>
      </w:r>
    </w:p>
    <w:p>
      <w:pPr>
        <w:spacing w:after="0" w:line="120" w:lineRule="exact"/>
        <w:rPr>
          <w:sz w:val="20"/>
          <w:szCs w:val="20"/>
          <w:color w:val="auto"/>
        </w:rPr>
      </w:pPr>
    </w:p>
    <w:p>
      <w:pPr>
        <w:jc w:val="both"/>
        <w:ind w:left="140" w:firstLine="837"/>
        <w:spacing w:after="0" w:line="245" w:lineRule="auto"/>
        <w:rPr>
          <w:sz w:val="20"/>
          <w:szCs w:val="20"/>
          <w:color w:val="auto"/>
        </w:rPr>
      </w:pPr>
      <w:r>
        <w:rPr>
          <w:rFonts w:ascii="Arial" w:cs="Arial" w:eastAsia="Arial" w:hAnsi="Arial"/>
          <w:sz w:val="14"/>
          <w:szCs w:val="14"/>
          <w:b w:val="1"/>
          <w:bCs w:val="1"/>
          <w:color w:val="auto"/>
        </w:rPr>
        <w:t xml:space="preserve">Section 4.6 </w:t>
      </w:r>
      <w:r>
        <w:rPr>
          <w:rFonts w:ascii="Arial" w:cs="Arial" w:eastAsia="Arial" w:hAnsi="Arial"/>
          <w:sz w:val="14"/>
          <w:szCs w:val="14"/>
          <w:u w:val="single" w:color="auto"/>
          <w:color w:val="auto"/>
        </w:rPr>
        <w:t>Inspection of Property, Books and Records</w:t>
      </w:r>
      <w:r>
        <w:rPr>
          <w:rFonts w:ascii="Arial" w:cs="Arial" w:eastAsia="Arial" w:hAnsi="Arial"/>
          <w:sz w:val="14"/>
          <w:szCs w:val="14"/>
          <w:color w:val="auto"/>
        </w:rPr>
        <w:t>. Each Borrower will keep, and will cause each Subsidiary to keep, proper books of record substantially in accordance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GAAP in which full, true and correct entries shall be made of all dealings and transactions in relation to its business and activities; and will permit, and will cause each Subsidiary to permit, at the sole cost of the applicable Borrower or any applicable Subsidiary, representatives of Agent and of any Lender (if accompanied by Agent) to visit and inspect any of their respective properties, to examine and make abstracts or copies from any of their respective books and records, to conduct a collateral audit and analysis of their respective operations and the Collateral, to verify the amount and age of the Accounts, the identity and credit of the respective Account Debtors, to review the billing practices of Borrowers and to discuss their respective affairs, finances and accounts with their respective officers, employees and independent public accountants as often as may reasonably be desired;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absence of a Default or an Event of Default, such rights pursuant to this Section 4.6 may be exercised (a) during reasonable business hours,</w:t>
      </w:r>
    </w:p>
    <w:p>
      <w:pPr>
        <w:spacing w:after="0" w:line="2" w:lineRule="exact"/>
        <w:rPr>
          <w:sz w:val="20"/>
          <w:szCs w:val="20"/>
          <w:color w:val="auto"/>
        </w:rPr>
      </w:pPr>
    </w:p>
    <w:p>
      <w:pPr>
        <w:ind w:left="140" w:right="40" w:firstLine="2"/>
        <w:spacing w:after="0" w:line="250" w:lineRule="auto"/>
        <w:tabs>
          <w:tab w:leader="none" w:pos="579"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at least two (2) Business Days advance written notice and (c) not more than twice per calendar year at the Borrowers’ expense; provided further that the restrictions set forth in clause (a) through (c) shall not apply during the existence and continuance of any Event of Default.</w:t>
      </w:r>
    </w:p>
    <w:p>
      <w:pPr>
        <w:spacing w:after="0" w:line="126" w:lineRule="exact"/>
        <w:rPr>
          <w:sz w:val="20"/>
          <w:szCs w:val="20"/>
          <w:color w:val="auto"/>
        </w:rPr>
      </w:pPr>
    </w:p>
    <w:p>
      <w:pPr>
        <w:ind w:left="1000"/>
        <w:spacing w:after="0"/>
        <w:tabs>
          <w:tab w:leader="none" w:pos="3080" w:val="left"/>
          <w:tab w:leader="none" w:pos="5520" w:val="left"/>
        </w:tabs>
        <w:rPr>
          <w:sz w:val="20"/>
          <w:szCs w:val="20"/>
          <w:color w:val="auto"/>
        </w:rPr>
      </w:pPr>
      <w:r>
        <w:rPr>
          <w:rFonts w:ascii="Arial" w:cs="Arial" w:eastAsia="Arial" w:hAnsi="Arial"/>
          <w:sz w:val="14"/>
          <w:szCs w:val="14"/>
          <w:b w:val="1"/>
          <w:bCs w:val="1"/>
          <w:color w:val="auto"/>
        </w:rPr>
        <w:t>Section 4.7</w:t>
      </w:r>
      <w:r>
        <w:rPr>
          <w:sz w:val="20"/>
          <w:szCs w:val="20"/>
          <w:color w:val="auto"/>
        </w:rPr>
        <w:tab/>
      </w:r>
      <w:r>
        <w:rPr>
          <w:rFonts w:ascii="Arial" w:cs="Arial" w:eastAsia="Arial" w:hAnsi="Arial"/>
          <w:sz w:val="14"/>
          <w:szCs w:val="14"/>
          <w:u w:val="single" w:color="auto"/>
          <w:color w:val="auto"/>
        </w:rPr>
        <w:t>Use of Proceeds</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Borrowers shall use the proceeds of the Loans solely for</w:t>
      </w:r>
    </w:p>
    <w:p>
      <w:pPr>
        <w:spacing w:after="0" w:line="17" w:lineRule="exact"/>
        <w:rPr>
          <w:sz w:val="20"/>
          <w:szCs w:val="20"/>
          <w:color w:val="auto"/>
        </w:rPr>
      </w:pPr>
    </w:p>
    <w:p>
      <w:pPr>
        <w:ind w:left="140" w:right="20" w:firstLine="4"/>
        <w:spacing w:after="0" w:line="250" w:lineRule="auto"/>
        <w:tabs>
          <w:tab w:leader="none" w:pos="57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transaction fees incurred in connection with the Financing Documents, and (b) for working capital needs of Borrowers and their Subsidiaries. No portion of the proceeds of the Loans will be used for family, personal, agricultural or household use.</w:t>
      </w:r>
    </w:p>
    <w:p>
      <w:pPr>
        <w:spacing w:after="0" w:line="126" w:lineRule="exact"/>
        <w:rPr>
          <w:sz w:val="20"/>
          <w:szCs w:val="20"/>
          <w:color w:val="auto"/>
        </w:rPr>
      </w:pPr>
    </w:p>
    <w:p>
      <w:pPr>
        <w:jc w:val="both"/>
        <w:ind w:left="140" w:firstLine="837"/>
        <w:spacing w:after="0" w:line="266" w:lineRule="auto"/>
        <w:rPr>
          <w:sz w:val="20"/>
          <w:szCs w:val="20"/>
          <w:color w:val="auto"/>
        </w:rPr>
      </w:pPr>
      <w:r>
        <w:rPr>
          <w:rFonts w:ascii="Arial" w:cs="Arial" w:eastAsia="Arial" w:hAnsi="Arial"/>
          <w:sz w:val="13"/>
          <w:szCs w:val="13"/>
          <w:b w:val="1"/>
          <w:bCs w:val="1"/>
          <w:color w:val="auto"/>
        </w:rPr>
        <w:t xml:space="preserve">Section 4.8 </w:t>
      </w:r>
      <w:r>
        <w:rPr>
          <w:rFonts w:ascii="Arial" w:cs="Arial" w:eastAsia="Arial" w:hAnsi="Arial"/>
          <w:sz w:val="13"/>
          <w:szCs w:val="13"/>
          <w:u w:val="single" w:color="auto"/>
          <w:color w:val="auto"/>
        </w:rPr>
        <w:t>Estoppel Certificates</w:t>
      </w:r>
      <w:r>
        <w:rPr>
          <w:rFonts w:ascii="Arial" w:cs="Arial" w:eastAsia="Arial" w:hAnsi="Arial"/>
          <w:sz w:val="13"/>
          <w:szCs w:val="13"/>
          <w:color w:val="auto"/>
        </w:rPr>
        <w:t>. After written request by Agent which, so long as no Event of Default has occurred and is continuing, shall be limited to one (1) such request per</w:t>
      </w:r>
      <w:r>
        <w:rPr>
          <w:rFonts w:ascii="Arial" w:cs="Arial" w:eastAsia="Arial" w:hAnsi="Arial"/>
          <w:sz w:val="13"/>
          <w:szCs w:val="13"/>
          <w:b w:val="1"/>
          <w:bCs w:val="1"/>
          <w:color w:val="auto"/>
        </w:rPr>
        <w:t xml:space="preserve"> </w:t>
      </w:r>
      <w:r>
        <w:rPr>
          <w:rFonts w:ascii="Arial" w:cs="Arial" w:eastAsia="Arial" w:hAnsi="Arial"/>
          <w:sz w:val="13"/>
          <w:szCs w:val="13"/>
          <w:color w:val="auto"/>
        </w:rPr>
        <w:t>fiscal year of Borrowers, Borrowers, within fifteen (15) days and at their expense, will furnish Agent with a statement, duly acknowledged and certified, setting forth (a) the amount of the original principal amount of the Notes, and the unpaid principal amount of the Notes, (b) the rate of interest of the Notes, (c) the date payments of interest and/or principal were last paid, (d) any offsets or defenses to the payment of the Obligations, and if any are alleged, the nature thereof, (e) that the Notes and this Agreement have not been modified or if modified, giving particulars of such modification, and (f) that there has occurred and is then continuing no Default or if such Default exists, the nature thereof, the period of time it has existed, and the action being taken to remedy such Default. After written request by Agent, which, so long as no Event of Default has occurred and is continuing, shall be limited to one (1) such request per fiscal year of Borrowers, Borrowers, within fifteen (15) days and at their expense, will furnish Agent with a certificate, signed by a Responsible Officer of Borrowers, updating all of the representations and warranties contained in this Agreement and the other Financing Documents and making any required disclosures required to make such representations and warranties to be true, accurate and complete (after taking into such disclosures as if such representations and warranties provided for disclosure schedules) and certifying that all of the representations and warranties contained in this Agreement and the other Financing Documents, as updated pursuant to such certificate and such required disclosures, are true, accurate and complete in all material respects as of the date of such certificate.</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40" w:type="dxa"/>
            <w:vAlign w:val="bottom"/>
          </w:tcPr>
          <w:p>
            <w:pPr>
              <w:ind w:left="780"/>
              <w:spacing w:after="0"/>
              <w:rPr>
                <w:sz w:val="20"/>
                <w:szCs w:val="20"/>
                <w:color w:val="auto"/>
              </w:rPr>
            </w:pPr>
            <w:r>
              <w:rPr>
                <w:rFonts w:ascii="Arial" w:cs="Arial" w:eastAsia="Arial" w:hAnsi="Arial"/>
                <w:sz w:val="14"/>
                <w:szCs w:val="14"/>
                <w:b w:val="1"/>
                <w:bCs w:val="1"/>
                <w:color w:val="auto"/>
              </w:rPr>
              <w:t>Section 4.9</w:t>
            </w:r>
          </w:p>
        </w:tc>
        <w:tc>
          <w:tcPr>
            <w:tcW w:w="8520" w:type="dxa"/>
            <w:vAlign w:val="bottom"/>
            <w:gridSpan w:val="3"/>
          </w:tcPr>
          <w:p>
            <w:pPr>
              <w:ind w:left="740"/>
              <w:spacing w:after="0"/>
              <w:rPr>
                <w:sz w:val="20"/>
                <w:szCs w:val="20"/>
                <w:color w:val="auto"/>
              </w:rPr>
            </w:pPr>
            <w:r>
              <w:rPr>
                <w:rFonts w:ascii="Arial" w:cs="Arial" w:eastAsia="Arial" w:hAnsi="Arial"/>
                <w:sz w:val="14"/>
                <w:szCs w:val="14"/>
                <w:color w:val="auto"/>
              </w:rPr>
              <w:t>Notices of Material Contracts, Litigation and Defaults.</w:t>
            </w: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314"/>
        </w:trPr>
        <w:tc>
          <w:tcPr>
            <w:tcW w:w="2140" w:type="dxa"/>
            <w:vAlign w:val="bottom"/>
          </w:tcPr>
          <w:p>
            <w:pPr>
              <w:spacing w:after="0"/>
              <w:rPr>
                <w:sz w:val="20"/>
                <w:szCs w:val="20"/>
                <w:color w:val="auto"/>
              </w:rPr>
            </w:pPr>
            <w:r>
              <w:rPr>
                <w:rFonts w:ascii="Arial" w:cs="Arial" w:eastAsia="Arial" w:hAnsi="Arial"/>
                <w:sz w:val="14"/>
                <w:szCs w:val="14"/>
                <w:color w:val="auto"/>
              </w:rPr>
              <w:t>(a)</w:t>
            </w:r>
          </w:p>
        </w:tc>
        <w:tc>
          <w:tcPr>
            <w:tcW w:w="7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4"/>
                <w:szCs w:val="14"/>
                <w:color w:val="auto"/>
                <w:w w:val="89"/>
              </w:rPr>
              <w:t>Borrower shall provide three (3) Business Days (i) written notice to Agent of Borrower (1) executing and delivering any amendment, consent,</w:t>
            </w:r>
          </w:p>
        </w:tc>
      </w:tr>
    </w:tbl>
    <w:p>
      <w:pPr>
        <w:ind w:left="1660"/>
        <w:spacing w:after="0"/>
        <w:rPr>
          <w:sz w:val="20"/>
          <w:szCs w:val="20"/>
          <w:color w:val="auto"/>
        </w:rPr>
      </w:pPr>
      <w:r>
        <w:rPr>
          <w:rFonts w:ascii="Arial" w:cs="Arial" w:eastAsia="Arial" w:hAnsi="Arial"/>
          <w:sz w:val="14"/>
          <w:szCs w:val="14"/>
          <w:color w:val="auto"/>
        </w:rPr>
        <w:t>waiver or other modification to any</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07" w:name="page108"/>
    <w:bookmarkEnd w:id="107"/>
    <w:p>
      <w:pPr>
        <w:jc w:val="both"/>
        <w:ind w:left="260"/>
        <w:spacing w:after="0" w:line="250" w:lineRule="auto"/>
        <w:rPr>
          <w:sz w:val="20"/>
          <w:szCs w:val="20"/>
          <w:color w:val="auto"/>
        </w:rPr>
      </w:pPr>
      <w:r>
        <w:rPr>
          <w:rFonts w:ascii="Arial" w:cs="Arial" w:eastAsia="Arial" w:hAnsi="Arial"/>
          <w:sz w:val="14"/>
          <w:szCs w:val="14"/>
          <w:color w:val="auto"/>
        </w:rPr>
        <w:t>Material Contract which is material and adverse to such Material Contract or which would reasonably be expected to have a Material Adverse Effect or (2) receiving or delivering any notice of termination or default or similar notice in connection with any Material Contract and (ii) together with delivery of the Compliance Certificate due after such date (included as an update to any such schedule delivered therewith) the execution of any new Material Contract and/or any new material amendment, consent, waiver or other modification to any Material Contract not previously disclosed.</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Borrowers will give prompt written notice to Agent (i) of any litigation or governmental proceedings pending or threatened (in writing) against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Borrowers or other Credit Party which would reasonably be expected to have a Material Adverse Effect with respect to Borrowers or any other Credit Party or which in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9"/>
              </w:rPr>
              <w:t>manner calls into question the validity or enforceability of any Financing Document, (ii) upon any Borrower becoming aware of the existence of any Default or Event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9"/>
              </w:rPr>
              <w:t>Default, (iii) of any strikes or other labor disputes pending or, to any Borrower’s knowledge, threatened in writing against any Credit Party, which would reasonably be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expected to have a Material Adverse Effect (iv) if there is any infringement or written claim of infringement by any other Person with respect to any Intellectual Property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7"/>
              </w:rPr>
              <w:t>rights of any Credit Party that would reasonably be expected to have a Material Adverse Effect, or if there is any written claim by any other Person that any Credit Party in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the conduct of its business is infringing on the Intellectual Property rights of others and an adverse resolution of such claim would reasonably be expected to have a Material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Adverse Effect, and (v) of all returns, recoveries, disputes and claims that involve more than $250,000. Borrowers represent and warrant that Schedule 4.9 sets forth a</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7"/>
              </w:rPr>
              <w:t>complete list of all matters existing as of the Closing Date for which notice could be required under this Section and all litigation or governmental proceedings pending or</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threatened (in writing) against Borrowers or other Credit Party as of the Closing Date.</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 shall, and shall cause each Credit Party, to provide such further information (including copies of such documentation) as Agent or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9"/>
              </w:rPr>
              <w:t>Lender shall reasonably request with respect to any of the events or notices described in clauses (a) and (b) above. From the date hereof and continuing through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termination of this Agreement, Borrower shall, and shall cause each Credit Party to, make reasonably available to Agent and each Lender, without expense to Agent or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2"/>
              </w:rPr>
              <w:t>Lender, each Credit Party’s officers, employees and agents and books, to the extent that Agent or any Lender may deem them reasonably necessary to prosecute or defend any</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third-party suit or proceeding instituted by or against Agent or any Lender with respect to any Collateral or relating to a Credit Party.</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 shall, and shall cause each Credit Party to, promptly (but in any event within five (5) Business Days of any request therefor) deliver to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Agent information and documentation reasonably requested by Agent or any Lender for purposes of compliance with applicable “know your customer” requirements under</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the PATRIOT Act or other applicable anti-money laundering laws.</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108" w:name="page109"/>
    <w:bookmarkEnd w:id="108"/>
    <w:p>
      <w:pPr>
        <w:jc w:val="both"/>
        <w:ind w:left="140" w:firstLine="837"/>
        <w:spacing w:after="0" w:line="248" w:lineRule="auto"/>
        <w:rPr>
          <w:sz w:val="20"/>
          <w:szCs w:val="20"/>
          <w:color w:val="auto"/>
        </w:rPr>
      </w:pPr>
      <w:r>
        <w:rPr>
          <w:rFonts w:ascii="Arial" w:cs="Arial" w:eastAsia="Arial" w:hAnsi="Arial"/>
          <w:sz w:val="14"/>
          <w:szCs w:val="14"/>
          <w:b w:val="1"/>
          <w:bCs w:val="1"/>
          <w:color w:val="auto"/>
        </w:rPr>
        <w:t xml:space="preserve">Section 4.10 </w:t>
      </w:r>
      <w:r>
        <w:rPr>
          <w:rFonts w:ascii="Arial" w:cs="Arial" w:eastAsia="Arial" w:hAnsi="Arial"/>
          <w:sz w:val="14"/>
          <w:szCs w:val="14"/>
          <w:u w:val="single" w:color="auto"/>
          <w:color w:val="auto"/>
        </w:rPr>
        <w:t>Hazardous Materials; Remediation</w:t>
      </w:r>
      <w:r>
        <w:rPr>
          <w:rFonts w:ascii="Arial" w:cs="Arial" w:eastAsia="Arial" w:hAnsi="Arial"/>
          <w:sz w:val="14"/>
          <w:szCs w:val="14"/>
          <w:color w:val="auto"/>
        </w:rPr>
        <w:t>. If any release or disposal of Hazardous Materials shall occur or shall have occurred on any real property owned or leased by a Credit</w:t>
      </w:r>
      <w:r>
        <w:rPr>
          <w:rFonts w:ascii="Arial" w:cs="Arial" w:eastAsia="Arial" w:hAnsi="Arial"/>
          <w:sz w:val="14"/>
          <w:szCs w:val="14"/>
          <w:b w:val="1"/>
          <w:bCs w:val="1"/>
          <w:color w:val="auto"/>
        </w:rPr>
        <w:t xml:space="preserve"> </w:t>
      </w:r>
      <w:r>
        <w:rPr>
          <w:rFonts w:ascii="Arial" w:cs="Arial" w:eastAsia="Arial" w:hAnsi="Arial"/>
          <w:sz w:val="14"/>
          <w:szCs w:val="14"/>
          <w:color w:val="auto"/>
        </w:rPr>
        <w:t>Party or any other assets of any Borrower or any other Credit Party, such Borrower will cause, or direct the applicable Credit Party to cause, the prompt containment and removal of such Hazardous Materials and the remediation of such real property or other assets to the extent required to comply with all applicable Environmental Laws and to preserve the value of such real property or other assets except as would not reasonably be expected to result in a Material Adverse Effect. Without limiting the generality of the foregoing, each Borrower shall, and shall cause each other Credit Party to, comply with each Environmental Law requiring the performance at any real property by any Credit Party of activities in response to the release or threatened release of a Hazardous Material except as would not reasonably be expected to have a Material Adverse Effect</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4.11</w:t>
            </w:r>
          </w:p>
        </w:tc>
        <w:tc>
          <w:tcPr>
            <w:tcW w:w="76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Further Assurances.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304"/>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ind w:left="700"/>
              <w:spacing w:after="0"/>
              <w:rPr>
                <w:sz w:val="20"/>
                <w:szCs w:val="20"/>
                <w:color w:val="auto"/>
              </w:rPr>
            </w:pPr>
            <w:r>
              <w:rPr>
                <w:rFonts w:ascii="Arial" w:cs="Arial" w:eastAsia="Arial" w:hAnsi="Arial"/>
                <w:sz w:val="14"/>
                <w:szCs w:val="14"/>
                <w:color w:val="auto"/>
                <w:w w:val="90"/>
              </w:rPr>
              <w:t>Each Borrower will, and will cause each Subsidiary to, at its own cost and expense, promptly and duly take, execute, acknowledge and deliver all</w:t>
            </w:r>
          </w:p>
        </w:tc>
      </w:tr>
    </w:tbl>
    <w:p>
      <w:pPr>
        <w:jc w:val="both"/>
        <w:ind w:left="1660" w:right="120"/>
        <w:spacing w:after="0" w:line="241" w:lineRule="auto"/>
        <w:rPr>
          <w:sz w:val="20"/>
          <w:szCs w:val="20"/>
          <w:color w:val="auto"/>
        </w:rPr>
      </w:pPr>
      <w:r>
        <w:rPr>
          <w:rFonts w:ascii="Arial" w:cs="Arial" w:eastAsia="Arial" w:hAnsi="Arial"/>
          <w:sz w:val="14"/>
          <w:szCs w:val="14"/>
          <w:color w:val="auto"/>
        </w:rPr>
        <w:t>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Lenders on the Collateral (including Collateral acquired after the Original Closing Date),</w:t>
      </w:r>
    </w:p>
    <w:p>
      <w:pPr>
        <w:spacing w:after="0" w:line="3" w:lineRule="exact"/>
        <w:rPr>
          <w:sz w:val="20"/>
          <w:szCs w:val="20"/>
          <w:color w:val="auto"/>
        </w:rPr>
      </w:pPr>
    </w:p>
    <w:p>
      <w:pPr>
        <w:ind w:left="260" w:hanging="8"/>
        <w:spacing w:after="0" w:line="250" w:lineRule="auto"/>
        <w:tabs>
          <w:tab w:leader="none" w:pos="764"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unless Agent shall agree otherwise in writing, cause all Subsidiaries of Borrowers (other than Excluded Foreign Subsidiaries) to be jointly and severally obligated with the other Borrowers under all covenants and obligations under this Agreement, including the obligation to repay the Obligations.</w:t>
      </w:r>
    </w:p>
    <w:p>
      <w:pPr>
        <w:spacing w:after="0" w:line="130"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jc w:val="right"/>
              <w:spacing w:after="0"/>
              <w:rPr>
                <w:sz w:val="20"/>
                <w:szCs w:val="20"/>
                <w:color w:val="auto"/>
              </w:rPr>
            </w:pPr>
            <w:r>
              <w:rPr>
                <w:rFonts w:ascii="Arial" w:cs="Arial" w:eastAsia="Arial" w:hAnsi="Arial"/>
                <w:sz w:val="14"/>
                <w:szCs w:val="14"/>
                <w:color w:val="auto"/>
              </w:rPr>
              <w:t>Upon receipt of an affidavit of an authorized representative of Agent or a Lender as to the loss, theft, destruction or mutilation of any Note or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other Financing Document which is not of public record, and, in the case of any such mutilation, upon surrender and cancellation of such Note or other applicable Financing</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Document, Borrowers will issue, in lieu thereof, a replacement Note or other applicable Financing Document, dated the date of such lost, stolen, destroyed or mutilated Note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or other Financing Document in the same principal amount thereof and otherwise of like tenor.</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jc w:val="right"/>
              <w:spacing w:after="0"/>
              <w:rPr>
                <w:sz w:val="20"/>
                <w:szCs w:val="20"/>
                <w:color w:val="auto"/>
              </w:rPr>
            </w:pPr>
            <w:r>
              <w:rPr>
                <w:rFonts w:ascii="Arial" w:cs="Arial" w:eastAsia="Arial" w:hAnsi="Arial"/>
                <w:sz w:val="14"/>
                <w:szCs w:val="14"/>
                <w:color w:val="auto"/>
              </w:rPr>
              <w:t>Upon the request of Agent, Borrowers shall obtain a landlord’s agreement or mortgagee agreement, as applicable, from the lessor of each leased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property or mortgagee of owned property with respect to any business location where any material portion of the Collateral included or the records relating to such Collateral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and/or software and equipment relating to such records or Collateral, is stored or located (unless such books and records are also located at another business location that is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subject to landlord’s or mortgagee agreement in favor of Agent), which agreement or letter shall be reasonably satisfactory in form and substance to Agent. Borrowers shall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timely and fully pay and perform its obligations under all leases and other agreements with respect to each leased  location where any Collateral, or any records related</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thereto, is or may be located.</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 shall provide Agent with at least thirty (30) days (or such shorter period as Agent may accept in its sole discretion) prior written notice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its intention to create (or to the extent permitted under this Agreement, acquire) a new Subsidiary. Upon the formation (or to the extent permitted under this Agreement,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acquisition) of a new Subsidiary, Borrowers shall (i) pledge, have pledged or cause or have caused to be pledged to Agent pursuant to a pledge agreement in form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substance satisfactory to Agent, all of the outstanding shares of equity interests or other equity interests of such new Subsidiary owned directly or indirectly by any Borrower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(unless such shares constitute Excluded Property or are held by an Excluded Foreign Subsidiary or an Excluded Domestic Holdco), along with undated stock or equivalent</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powers for such certificates, executed in blank; (ii) unless Agent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09" w:name="page110"/>
    <w:bookmarkEnd w:id="109"/>
    <w:p>
      <w:pPr>
        <w:jc w:val="both"/>
        <w:ind w:left="260"/>
        <w:spacing w:after="0" w:line="290" w:lineRule="auto"/>
        <w:rPr>
          <w:sz w:val="20"/>
          <w:szCs w:val="20"/>
          <w:color w:val="auto"/>
        </w:rPr>
      </w:pPr>
      <w:r>
        <w:rPr>
          <w:rFonts w:ascii="Arial" w:cs="Arial" w:eastAsia="Arial" w:hAnsi="Arial"/>
          <w:sz w:val="12"/>
          <w:szCs w:val="12"/>
          <w:color w:val="auto"/>
        </w:rPr>
        <w:t>shall agree otherwise in writing, cause such new Subsidiary (other than an Excluded Foreign Subsidiary or an Excluded Domestic Holdco) to take such other actions (including entering into or joining any Security Documents) as are necessary or advisable in the reasonable opinion of Agent in order to grant Agent, acting on behalf of the Lenders, a first priority Lien (subject to Permitted Liens) on all real and personal property of such Subsidiary in existence as of such date and in all after acquired property, which first priority Liens are required to be granted pursuant to this Agreement; (iii) unless Agent shall agree otherwise in writing, cause such new Subsidiary (other than an Excluded Foreign Subsidiary or an Excluded Domestic Holdco) to either (at the election of Agent) become a Borrower hereunder with joint and several liability for all obligations of Borrowers hereunder and under the other Financing Documents pursuant to a joinder agreement or other similar agreement in form and substance reasonably satisfactory to Agent or to become a Guarantor of the obligations of Borrowers hereunder and under the other Financing Documents pursuant to a guaranty and suretyship agreement in form and substance satisfactory to Agent; and (iv) cause such new Subsidiary (other than an Excluded Foreign Subsidiary or an Excluded Domestic Holdco) to deliver certified copies of such Subsidiary’s certificate or articles of incorporation, together with good standing certificates, by-laws (or other operating agreement or governing documents), resolutions of the Board of Directors or other governing body, approving and authorize the execution and delivery of the Security Documents, incumbency certificates and to execute and/or deliver such other documents and legal opinions or to take such other actions as may be reasonably requested by Agent, in each case, in form and substance reasonably satisfactory to Agent.</w:t>
      </w:r>
    </w:p>
    <w:p>
      <w:pPr>
        <w:spacing w:after="0" w:line="108" w:lineRule="exact"/>
        <w:rPr>
          <w:sz w:val="20"/>
          <w:szCs w:val="20"/>
          <w:color w:val="auto"/>
        </w:rPr>
      </w:pPr>
    </w:p>
    <w:p>
      <w:pPr>
        <w:jc w:val="both"/>
        <w:ind w:left="1660" w:right="120" w:hanging="1436"/>
        <w:spacing w:after="0" w:line="266" w:lineRule="auto"/>
        <w:tabs>
          <w:tab w:leader="none" w:pos="164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3"/>
          <w:szCs w:val="13"/>
          <w:color w:val="auto"/>
        </w:rPr>
        <w:t>Borrower further agrees to comply, and cause its respective Subsidiaries to comply with the following requirements with respect to the Excluded Foreign Subsidiaries the total amount of cash and cash equivalents held by the Excluded Foreign Subsidiaries (collectively) shall not at any time exceed the lesser of (i) $3,000,000 in the aggregate; and (ii) the aggregate amount necessary to fund the current and projected operating expenses of each Excluded Foreign Subsidiary (after taking</w:t>
      </w:r>
    </w:p>
    <w:p>
      <w:pPr>
        <w:spacing w:after="0" w:line="2" w:lineRule="exact"/>
        <w:rPr>
          <w:sz w:val="20"/>
          <w:szCs w:val="20"/>
          <w:color w:val="auto"/>
        </w:rPr>
      </w:pPr>
    </w:p>
    <w:p>
      <w:pPr>
        <w:jc w:val="both"/>
        <w:ind w:left="1660" w:right="120"/>
        <w:spacing w:after="0" w:line="250" w:lineRule="auto"/>
        <w:rPr>
          <w:sz w:val="20"/>
          <w:szCs w:val="20"/>
          <w:color w:val="auto"/>
        </w:rPr>
      </w:pPr>
      <w:r>
        <w:rPr>
          <w:rFonts w:ascii="Arial" w:cs="Arial" w:eastAsia="Arial" w:hAnsi="Arial"/>
          <w:sz w:val="14"/>
          <w:szCs w:val="14"/>
          <w:color w:val="auto"/>
        </w:rPr>
        <w:t>into account its revenue from other sources, in each case) as determined based on projections prepared by Borrower and approved by Agent (such approval not to be unreasonably withheld or delayed).</w:t>
      </w:r>
    </w:p>
    <w:p>
      <w:pPr>
        <w:sectPr>
          <w:pgSz w:w="11900" w:h="16838" w:orient="portrait"/>
          <w:cols w:equalWidth="0" w:num="1">
            <w:col w:w="11340"/>
          </w:cols>
          <w:pgMar w:left="240" w:top="165" w:right="319" w:bottom="1440" w:gutter="0" w:footer="0" w:header="0"/>
        </w:sectPr>
      </w:pPr>
    </w:p>
    <w:p>
      <w:pPr>
        <w:spacing w:after="0" w:line="13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both"/>
        <w:ind w:right="120" w:firstLine="1429"/>
        <w:spacing w:after="0" w:line="296" w:lineRule="auto"/>
        <w:rPr>
          <w:sz w:val="20"/>
          <w:szCs w:val="20"/>
          <w:color w:val="auto"/>
        </w:rPr>
      </w:pPr>
      <w:r>
        <w:rPr>
          <w:rFonts w:ascii="Arial" w:cs="Arial" w:eastAsia="Arial" w:hAnsi="Arial"/>
          <w:sz w:val="12"/>
          <w:szCs w:val="12"/>
          <w:color w:val="auto"/>
        </w:rPr>
        <w:t>Following (a) the occurrence and continuation of an Event of Default and (b) the exercise by Agent of any right, option or remedy provided for hereunder, under any Financing Document or at law or in equity, Credit Parties shall cause each Excluded Foreign Subsidiary to declare and pay to the applicable Credit Party</w:t>
      </w:r>
    </w:p>
    <w:p>
      <w:pPr>
        <w:spacing w:after="0" w:line="1"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jc w:val="both"/>
        <w:ind w:left="1660" w:right="120"/>
        <w:spacing w:after="0" w:line="242" w:lineRule="auto"/>
        <w:rPr>
          <w:sz w:val="20"/>
          <w:szCs w:val="20"/>
          <w:color w:val="auto"/>
        </w:rPr>
      </w:pPr>
      <w:r>
        <w:rPr>
          <w:rFonts w:ascii="Arial" w:cs="Arial" w:eastAsia="Arial" w:hAnsi="Arial"/>
          <w:sz w:val="14"/>
          <w:szCs w:val="14"/>
          <w:color w:val="auto"/>
        </w:rPr>
        <w:t xml:space="preserve">the maximum amount of dividends and other distributions in respect of its capital stock or other equity interest legally permitted to be paid by each such Excluded Foreign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Excluded Foreign Subsidiary shall be able to retain for working capital purposes such other amounts used by such Excluded Foreign Subsidiaries in the Ordinary Course of Business and as are reasonable necessary for its operations based on its current projections, as provided to the Agent pursuant to Section 4.1.</w:t>
      </w:r>
    </w:p>
    <w:p>
      <w:pPr>
        <w:spacing w:after="0" w:line="132"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4.12</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35" w:lineRule="exact"/>
        <w:rPr>
          <w:sz w:val="20"/>
          <w:szCs w:val="20"/>
          <w:color w:val="auto"/>
        </w:rPr>
      </w:pPr>
    </w:p>
    <w:p>
      <w:pPr>
        <w:jc w:val="both"/>
        <w:ind w:left="140" w:firstLine="837"/>
        <w:spacing w:after="0" w:line="271" w:lineRule="auto"/>
        <w:rPr>
          <w:sz w:val="20"/>
          <w:szCs w:val="20"/>
          <w:color w:val="auto"/>
        </w:rPr>
      </w:pPr>
      <w:r>
        <w:rPr>
          <w:rFonts w:ascii="Arial" w:cs="Arial" w:eastAsia="Arial" w:hAnsi="Arial"/>
          <w:sz w:val="13"/>
          <w:szCs w:val="13"/>
          <w:b w:val="1"/>
          <w:bCs w:val="1"/>
          <w:color w:val="auto"/>
        </w:rPr>
        <w:t xml:space="preserve">Section 4.13 </w:t>
      </w:r>
      <w:r>
        <w:rPr>
          <w:rFonts w:ascii="Arial" w:cs="Arial" w:eastAsia="Arial" w:hAnsi="Arial"/>
          <w:sz w:val="13"/>
          <w:szCs w:val="13"/>
          <w:u w:val="single" w:color="auto"/>
          <w:color w:val="auto"/>
        </w:rPr>
        <w:t>Power of Attorney</w:t>
      </w:r>
      <w:r>
        <w:rPr>
          <w:rFonts w:ascii="Arial" w:cs="Arial" w:eastAsia="Arial" w:hAnsi="Arial"/>
          <w:sz w:val="13"/>
          <w:szCs w:val="13"/>
          <w:color w:val="auto"/>
        </w:rPr>
        <w:t>. Each of the authorized representatives of Agent is hereby irrevocably made, constituted and appointed the true and lawful attorney for Borrowers</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requiring any of them to act as such) with full power of substitution to do the following: (a) endorse the name of Borrowers upon any and all checks, drafts, money orders, and other instruments for the payment of money that are payable to Borrowers and constitute collections on Borrowers’ Accounts; (b) so long as Agent has provided not less than five (5) Business Days’ prior written notice to Borrower to perform the same and Borrower has failed to take such action, execute in the name of Borrowers any schedules, assignments, instruments, documents, and statements that Borrowers are obligated to give Agent under this Agreement; (c) after the occurrence and during the continuance of an Event of Default, take any action Borrowers are required to take under this Agreement; (d) so long as Agent has provided not less than five (5) Business Days’ prior written notice to Borrower to perform the same and Borrower has</w:t>
      </w:r>
    </w:p>
    <w:p>
      <w:pPr>
        <w:spacing w:after="0" w:line="337"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48</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10" w:name="page111"/>
    <w:bookmarkEnd w:id="110"/>
    <w:p>
      <w:pPr>
        <w:jc w:val="both"/>
        <w:ind w:left="140"/>
        <w:spacing w:after="0" w:line="283" w:lineRule="auto"/>
        <w:rPr>
          <w:sz w:val="20"/>
          <w:szCs w:val="20"/>
          <w:color w:val="auto"/>
        </w:rPr>
      </w:pPr>
      <w:r>
        <w:rPr>
          <w:rFonts w:ascii="Arial" w:cs="Arial" w:eastAsia="Arial" w:hAnsi="Arial"/>
          <w:sz w:val="13"/>
          <w:szCs w:val="13"/>
          <w:color w:val="auto"/>
        </w:rPr>
        <w:t>failed to take such action, do such other and further acts and deeds in the name of Borrowers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Borrowers that Agent may deem necessary or desirable to enforce its rights with regard to any Account or other Collateral. This power of attorney shall be irrevocable and coupled with an interest.</w:t>
      </w:r>
    </w:p>
    <w:p>
      <w:pPr>
        <w:spacing w:after="0" w:line="107"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4.14</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b w:val="1"/>
          <w:bCs w:val="1"/>
          <w:color w:val="auto"/>
        </w:rPr>
        <w:t xml:space="preserve">Section 4.15 </w:t>
      </w:r>
      <w:r>
        <w:rPr>
          <w:rFonts w:ascii="Arial" w:cs="Arial" w:eastAsia="Arial" w:hAnsi="Arial"/>
          <w:sz w:val="14"/>
          <w:szCs w:val="14"/>
          <w:u w:val="single" w:color="auto"/>
          <w:color w:val="auto"/>
        </w:rPr>
        <w:t>Schedule Updates</w:t>
      </w:r>
      <w:r>
        <w:rPr>
          <w:rFonts w:ascii="Arial" w:cs="Arial" w:eastAsia="Arial" w:hAnsi="Arial"/>
          <w:sz w:val="14"/>
          <w:szCs w:val="14"/>
          <w:color w:val="auto"/>
        </w:rPr>
        <w:t>. Borrower shall, in the event of any information in the Schedules becoming outdated, inaccurate, incomplete or misleading, deliver to Agent, together</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next Compliance Certificate required to be delivered under this Agreement after such event a proposed update to such Schedule correcting all outdated, inaccurate, incomplete or misleading information; provided, however, with respect to any proposed updates to the Schedules involving Permitted Liens, Permitted Debt or Permitted Investments, Agent will replace the respective Schedule attached hereto with such proposed update only if such updated information is consistent with the definitions of and limitations herein pertaining to Permitted Liens, Permitted Debt or Permitted Investments.</w:t>
      </w:r>
    </w:p>
    <w:p>
      <w:pPr>
        <w:spacing w:after="0" w:line="11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4.16</w:t>
            </w:r>
          </w:p>
        </w:tc>
        <w:tc>
          <w:tcPr>
            <w:tcW w:w="760" w:type="dxa"/>
            <w:vAlign w:val="bottom"/>
          </w:tcPr>
          <w:p>
            <w:pPr>
              <w:spacing w:after="0"/>
              <w:rPr>
                <w:sz w:val="14"/>
                <w:szCs w:val="14"/>
                <w:color w:val="auto"/>
              </w:rPr>
            </w:pPr>
          </w:p>
        </w:tc>
        <w:tc>
          <w:tcPr>
            <w:tcW w:w="8040" w:type="dxa"/>
            <w:vAlign w:val="bottom"/>
            <w:gridSpan w:val="2"/>
          </w:tcPr>
          <w:p>
            <w:pPr>
              <w:jc w:val="right"/>
              <w:ind w:right="6040"/>
              <w:spacing w:after="0"/>
              <w:rPr>
                <w:sz w:val="20"/>
                <w:szCs w:val="20"/>
                <w:color w:val="auto"/>
              </w:rPr>
            </w:pPr>
            <w:r>
              <w:rPr>
                <w:rFonts w:ascii="Arial" w:cs="Arial" w:eastAsia="Arial" w:hAnsi="Arial"/>
                <w:sz w:val="14"/>
                <w:szCs w:val="14"/>
                <w:color w:val="auto"/>
                <w:w w:val="90"/>
              </w:rPr>
              <w:t>Intellectual Property and Licensing.</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02"/>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jc w:val="right"/>
              <w:spacing w:after="0"/>
              <w:rPr>
                <w:sz w:val="20"/>
                <w:szCs w:val="20"/>
                <w:color w:val="auto"/>
              </w:rPr>
            </w:pPr>
            <w:r>
              <w:rPr>
                <w:rFonts w:ascii="Arial" w:cs="Arial" w:eastAsia="Arial" w:hAnsi="Arial"/>
                <w:sz w:val="14"/>
                <w:szCs w:val="14"/>
                <w:color w:val="auto"/>
                <w:w w:val="99"/>
              </w:rPr>
              <w:t>Together with each quarterly Compliance Certificate required to be delivered pursuant to Section 4.1 to the extent (A) Borrower acquires and/or</w:t>
            </w:r>
          </w:p>
        </w:tc>
      </w:tr>
      <w:tr>
        <w:trPr>
          <w:trHeight w:val="174"/>
        </w:trPr>
        <w:tc>
          <w:tcPr>
            <w:tcW w:w="10980" w:type="dxa"/>
            <w:vAlign w:val="bottom"/>
            <w:gridSpan w:val="4"/>
          </w:tcPr>
          <w:p>
            <w:pPr>
              <w:jc w:val="right"/>
              <w:spacing w:after="0"/>
              <w:rPr>
                <w:sz w:val="20"/>
                <w:szCs w:val="20"/>
                <w:color w:val="auto"/>
              </w:rPr>
            </w:pPr>
            <w:r>
              <w:rPr>
                <w:rFonts w:ascii="Arial" w:cs="Arial" w:eastAsia="Arial" w:hAnsi="Arial"/>
                <w:sz w:val="14"/>
                <w:szCs w:val="14"/>
                <w:color w:val="auto"/>
              </w:rPr>
              <w:t>develops any new Registered Intellectual Property registered in the United States or any new material foreign Registered Intellectual Property, in each case, for which it is the</w:t>
            </w:r>
          </w:p>
        </w:tc>
      </w:tr>
    </w:tbl>
    <w:p>
      <w:pPr>
        <w:jc w:val="both"/>
        <w:ind w:left="1660" w:right="120"/>
        <w:spacing w:after="0" w:line="278" w:lineRule="auto"/>
        <w:rPr>
          <w:sz w:val="20"/>
          <w:szCs w:val="20"/>
          <w:color w:val="auto"/>
        </w:rPr>
      </w:pPr>
      <w:r>
        <w:rPr>
          <w:rFonts w:ascii="Arial" w:cs="Arial" w:eastAsia="Arial" w:hAnsi="Arial"/>
          <w:sz w:val="12"/>
          <w:szCs w:val="12"/>
          <w:color w:val="auto"/>
        </w:rPr>
        <w:t>registered owner, or (B) Borrower enters into or becomes bound by any additional in-bound license or sublicense agreement, any additional exclusive out-bound license or sublicense agreement with respect to rights in Intellectual Property (other than (i) over-the-counter software that is commercially available to the public and (ii) in-bound license or sublicense agreements that are not material to Borrower’s business), or (C) there occurs any other material change in Borrower’s Registered Intellectual Property, in-bound licenses or sublicenses or exclusive out-bound licenses or sublicenses from that listed on Schedule 3.19 together with such Compliance Certificate, deliver to Agent</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20"/>
        </w:trPr>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0" w:type="dxa"/>
            <w:vAlign w:val="bottom"/>
            <w:gridSpan w:val="7"/>
          </w:tcPr>
          <w:p>
            <w:pPr>
              <w:ind w:left="640"/>
              <w:spacing w:after="0" w:line="123" w:lineRule="exact"/>
              <w:rPr>
                <w:sz w:val="20"/>
                <w:szCs w:val="20"/>
                <w:color w:val="auto"/>
              </w:rPr>
            </w:pPr>
            <w:r>
              <w:rPr>
                <w:rFonts w:ascii="Arial" w:cs="Arial" w:eastAsia="Arial" w:hAnsi="Arial"/>
                <w:sz w:val="14"/>
                <w:szCs w:val="14"/>
                <w:color w:val="auto"/>
              </w:rPr>
              <w:t>an updated Schedule 3.19 reflecting such updated information. With respect to any updates to Schedule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80" w:type="dxa"/>
            <w:vAlign w:val="bottom"/>
            <w:gridSpan w:val="9"/>
          </w:tcPr>
          <w:p>
            <w:pPr>
              <w:spacing w:after="0" w:line="133" w:lineRule="exact"/>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19</w:t>
            </w:r>
            <w:r>
              <w:rPr>
                <w:rFonts w:ascii="Arial" w:cs="Arial" w:eastAsia="Arial" w:hAnsi="Arial"/>
                <w:sz w:val="14"/>
                <w:szCs w:val="14"/>
                <w:color w:val="auto"/>
              </w:rPr>
              <w:t xml:space="preserve"> involving exclusive out-bound licenses or sublicenses, such licenses shall be consistent with the definitions of and limitations herein pertaining to Permitted Licenses.</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80" w:type="dxa"/>
            <w:vAlign w:val="bottom"/>
            <w:gridSpan w:val="2"/>
          </w:tcPr>
          <w:p>
            <w:pPr>
              <w:ind w:left="80"/>
              <w:spacing w:after="0"/>
              <w:rPr>
                <w:sz w:val="20"/>
                <w:szCs w:val="20"/>
                <w:color w:val="auto"/>
              </w:rPr>
            </w:pPr>
            <w:r>
              <w:rPr>
                <w:rFonts w:ascii="Arial" w:cs="Arial" w:eastAsia="Arial" w:hAnsi="Arial"/>
                <w:sz w:val="14"/>
                <w:szCs w:val="14"/>
                <w:color w:val="auto"/>
              </w:rPr>
              <w:t>(b)</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120" w:type="dxa"/>
            <w:vAlign w:val="bottom"/>
            <w:gridSpan w:val="5"/>
          </w:tcPr>
          <w:p>
            <w:pPr>
              <w:spacing w:after="0"/>
              <w:rPr>
                <w:sz w:val="20"/>
                <w:szCs w:val="20"/>
                <w:color w:val="auto"/>
              </w:rPr>
            </w:pPr>
            <w:r>
              <w:rPr>
                <w:rFonts w:ascii="Arial" w:cs="Arial" w:eastAsia="Arial" w:hAnsi="Arial"/>
                <w:sz w:val="14"/>
                <w:szCs w:val="14"/>
                <w:color w:val="auto"/>
                <w:w w:val="90"/>
              </w:rPr>
              <w:t>If Borrower obtains any Registered Intellectual Property registered in the United States or any material foreign Registered Intellectual Property, in</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91"/>
              </w:rPr>
              <w:t>each case, for which it is the registered owner, other than copyrights, mask works and related applications, which are addressed below, Borrower shall notify Agent on a</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90"/>
              </w:rPr>
              <w:t>quarterly basis and execute such documents and provide such other information (including, without limitation, copies of applications) and take such other actions as Agent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89"/>
              </w:rPr>
              <w:t>shall request in its good faith business judgment to perfect and maintain a first priority perfected security interest (subject to Permitted Liens) in favor of Agent, for the ratable</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92"/>
              </w:rPr>
              <w:t>benefit of Lenders, in (x) prior to the occurrence of a Springing IP Event, the IP Proceeds or (y) upon the occurrence of a Springing IP Event, the Registered Intellectual</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89"/>
              </w:rPr>
              <w:t>Property (other than Excluded Property and any security interest that is not required to be perfected under the terms of this Agreement). Upon the occurrence of a Springing</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89"/>
              </w:rPr>
              <w:t>IP Event, Borrower shall take such actions as Agent shall request in its good faith business judgment to perfect and maintain a first priority perfected security interest (subject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w w:val="89"/>
              </w:rPr>
              <w:t>to Permitted Liens) in favor of Agent, for the ratable benefit of Lenders, in the Registered Intellectual Property (other than Excluded Property and any security interest that is</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rPr>
              <w:t>not required to be perfected under the terms of this Agreement).</w:t>
            </w:r>
          </w:p>
        </w:tc>
        <w:tc>
          <w:tcPr>
            <w:tcW w:w="0" w:type="dxa"/>
            <w:vAlign w:val="bottom"/>
          </w:tcPr>
          <w:p>
            <w:pPr>
              <w:spacing w:after="0"/>
              <w:rPr>
                <w:sz w:val="1"/>
                <w:szCs w:val="1"/>
                <w:color w:val="auto"/>
              </w:rPr>
            </w:pPr>
          </w:p>
        </w:tc>
      </w:tr>
      <w:tr>
        <w:trPr>
          <w:trHeight w:val="299"/>
        </w:trPr>
        <w:tc>
          <w:tcPr>
            <w:tcW w:w="880" w:type="dxa"/>
            <w:vAlign w:val="bottom"/>
            <w:gridSpan w:val="2"/>
          </w:tcPr>
          <w:p>
            <w:pPr>
              <w:ind w:left="80"/>
              <w:spacing w:after="0"/>
              <w:rPr>
                <w:sz w:val="20"/>
                <w:szCs w:val="20"/>
                <w:color w:val="auto"/>
              </w:rPr>
            </w:pPr>
            <w:r>
              <w:rPr>
                <w:rFonts w:ascii="Arial" w:cs="Arial" w:eastAsia="Arial" w:hAnsi="Arial"/>
                <w:sz w:val="14"/>
                <w:szCs w:val="14"/>
                <w:color w:val="auto"/>
              </w:rPr>
              <w:t>(c)</w:t>
            </w:r>
          </w:p>
        </w:tc>
        <w:tc>
          <w:tcPr>
            <w:tcW w:w="1280" w:type="dxa"/>
            <w:vAlign w:val="bottom"/>
          </w:tcPr>
          <w:p>
            <w:pPr>
              <w:spacing w:after="0"/>
              <w:rPr>
                <w:sz w:val="24"/>
                <w:szCs w:val="24"/>
                <w:color w:val="auto"/>
              </w:rPr>
            </w:pPr>
          </w:p>
        </w:tc>
        <w:tc>
          <w:tcPr>
            <w:tcW w:w="8920" w:type="dxa"/>
            <w:vAlign w:val="bottom"/>
            <w:gridSpan w:val="6"/>
          </w:tcPr>
          <w:p>
            <w:pPr>
              <w:ind w:left="780"/>
              <w:spacing w:after="0"/>
              <w:rPr>
                <w:sz w:val="20"/>
                <w:szCs w:val="20"/>
                <w:color w:val="auto"/>
              </w:rPr>
            </w:pPr>
            <w:r>
              <w:rPr>
                <w:rFonts w:ascii="Arial" w:cs="Arial" w:eastAsia="Arial" w:hAnsi="Arial"/>
                <w:sz w:val="14"/>
                <w:szCs w:val="14"/>
                <w:color w:val="auto"/>
                <w:w w:val="94"/>
              </w:rPr>
              <w:t>Borrower shall, if requested by Agent, take commercially reasonable steps (not involving the payment of money) to obtain the consent of, or</w:t>
            </w:r>
          </w:p>
        </w:tc>
        <w:tc>
          <w:tcPr>
            <w:tcW w:w="0" w:type="dxa"/>
            <w:vAlign w:val="bottom"/>
          </w:tcPr>
          <w:p>
            <w:pPr>
              <w:spacing w:after="0"/>
              <w:rPr>
                <w:sz w:val="1"/>
                <w:szCs w:val="1"/>
                <w:color w:val="auto"/>
              </w:rPr>
            </w:pPr>
          </w:p>
        </w:tc>
      </w:tr>
      <w:tr>
        <w:trPr>
          <w:trHeight w:val="179"/>
        </w:trPr>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auto"/>
              </w:rPr>
              <w:t>(a)</w:t>
            </w:r>
          </w:p>
        </w:tc>
        <w:tc>
          <w:tcPr>
            <w:tcW w:w="10200" w:type="dxa"/>
            <w:vAlign w:val="bottom"/>
            <w:gridSpan w:val="7"/>
          </w:tcPr>
          <w:p>
            <w:pPr>
              <w:ind w:left="640"/>
              <w:spacing w:after="0"/>
              <w:rPr>
                <w:sz w:val="20"/>
                <w:szCs w:val="20"/>
                <w:color w:val="auto"/>
              </w:rPr>
            </w:pPr>
            <w:r>
              <w:rPr>
                <w:rFonts w:ascii="Arial" w:cs="Arial" w:eastAsia="Arial" w:hAnsi="Arial"/>
                <w:sz w:val="14"/>
                <w:szCs w:val="14"/>
                <w:color w:val="auto"/>
              </w:rPr>
              <w:t>waiver by, any person whose consent or</w:t>
            </w:r>
          </w:p>
        </w:tc>
        <w:tc>
          <w:tcPr>
            <w:tcW w:w="0" w:type="dxa"/>
            <w:vAlign w:val="bottom"/>
          </w:tcPr>
          <w:p>
            <w:pPr>
              <w:spacing w:after="0"/>
              <w:rPr>
                <w:sz w:val="1"/>
                <w:szCs w:val="1"/>
                <w:color w:val="auto"/>
              </w:rPr>
            </w:pPr>
          </w:p>
        </w:tc>
      </w:tr>
      <w:tr>
        <w:trPr>
          <w:trHeight w:val="162"/>
        </w:trPr>
        <w:tc>
          <w:tcPr>
            <w:tcW w:w="8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0" w:type="dxa"/>
            <w:vAlign w:val="bottom"/>
            <w:gridSpan w:val="7"/>
          </w:tcPr>
          <w:p>
            <w:pPr>
              <w:ind w:left="930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11" w:name="page112"/>
    <w:bookmarkEnd w:id="111"/>
    <w:p>
      <w:pPr>
        <w:jc w:val="both"/>
        <w:ind w:left="140" w:right="20"/>
        <w:spacing w:after="0" w:line="255" w:lineRule="auto"/>
        <w:rPr>
          <w:sz w:val="20"/>
          <w:szCs w:val="20"/>
          <w:color w:val="auto"/>
        </w:rPr>
      </w:pPr>
      <w:r>
        <w:rPr>
          <w:rFonts w:ascii="Arial" w:cs="Arial" w:eastAsia="Arial" w:hAnsi="Arial"/>
          <w:sz w:val="14"/>
          <w:szCs w:val="14"/>
          <w:color w:val="auto"/>
        </w:rPr>
        <w:t>waiver is necessary for (x) all licenses or agreements to be deemed “Collateral” and for Agent to have a security interest in it that might otherwise be restricted or prohibited by Law or by the terms of any such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sectPr>
          <w:pgSz w:w="11900" w:h="16838" w:orient="portrait"/>
          <w:cols w:equalWidth="0" w:num="1">
            <w:col w:w="11340"/>
          </w:cols>
          <w:pgMar w:left="240" w:top="165" w:right="319" w:bottom="1440" w:gutter="0" w:footer="0" w:header="0"/>
        </w:sectPr>
      </w:pPr>
    </w:p>
    <w:p>
      <w:pPr>
        <w:spacing w:after="0" w:line="1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right="120" w:firstLine="1429"/>
        <w:spacing w:after="0" w:line="296" w:lineRule="auto"/>
        <w:rPr>
          <w:sz w:val="20"/>
          <w:szCs w:val="20"/>
          <w:color w:val="auto"/>
        </w:rPr>
      </w:pPr>
      <w:r>
        <w:rPr>
          <w:rFonts w:ascii="Arial" w:cs="Arial" w:eastAsia="Arial" w:hAnsi="Arial"/>
          <w:sz w:val="12"/>
          <w:szCs w:val="12"/>
          <w:color w:val="auto"/>
        </w:rPr>
        <w:t>Borrower shall own, or be licensed to use or otherwise have the right to use, all Material Intangible Assets. Borrower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Borrower shall at all times conduct its business without material infringement of any Intellectual Property rights of others. Borrower shall (i) protect, defend and maintain the validity and enforceability of its Material Intangible Assets (ii) promptly advise Agent in writing of material infringements of its Material Intangible Assets, or of a material claim of infringement by Borrower on the Intellectual Property rights of others; and (iii) not allow any of Borrower’s Material Intangible Assets to be abandoned, invalidated, forfeited or dedicated to the public or to become unenforceable.</w:t>
      </w:r>
    </w:p>
    <w:p>
      <w:pPr>
        <w:spacing w:after="0" w:line="105"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right="120" w:firstLine="1429"/>
        <w:spacing w:after="0" w:line="250" w:lineRule="auto"/>
        <w:rPr>
          <w:sz w:val="20"/>
          <w:szCs w:val="20"/>
          <w:color w:val="auto"/>
        </w:rPr>
      </w:pPr>
      <w:r>
        <w:rPr>
          <w:rFonts w:ascii="Arial" w:cs="Arial" w:eastAsia="Arial" w:hAnsi="Arial"/>
          <w:sz w:val="14"/>
          <w:szCs w:val="14"/>
          <w:color w:val="auto"/>
        </w:rPr>
        <w:t xml:space="preserve">Borrower shall not become a party to, nor become bound by, any new material license or other agreement after the Closing Date with respect to which Borrower is the licensee that prohibits or otherwise restricts Borrower from granting a security interest in Borrower’s interest in such license or agreement or other property;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clause (e) shall not prohibit the inclusion of customary anti-assignment provisions in such licenses or other agreements so long as the effect of such provisions would not cause such license or other agreement to be Excluded Property.</w:t>
      </w:r>
    </w:p>
    <w:p>
      <w:pPr>
        <w:spacing w:after="0" w:line="131"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1660" w:right="140" w:hanging="1436"/>
        <w:spacing w:after="0" w:line="254" w:lineRule="auto"/>
        <w:tabs>
          <w:tab w:leader="none" w:pos="1640" w:val="left"/>
        </w:tabs>
        <w:rPr>
          <w:sz w:val="20"/>
          <w:szCs w:val="20"/>
          <w:color w:val="auto"/>
        </w:rPr>
      </w:pPr>
      <w:r>
        <w:rPr>
          <w:rFonts w:ascii="Arial" w:cs="Arial" w:eastAsia="Arial" w:hAnsi="Arial"/>
          <w:sz w:val="14"/>
          <w:szCs w:val="14"/>
          <w:color w:val="auto"/>
        </w:rPr>
        <w:t>(f)</w:t>
      </w:r>
      <w:r>
        <w:rPr>
          <w:sz w:val="20"/>
          <w:szCs w:val="20"/>
          <w:color w:val="auto"/>
        </w:rPr>
        <w:tab/>
      </w:r>
      <w:r>
        <w:rPr>
          <w:rFonts w:ascii="Arial" w:cs="Arial" w:eastAsia="Arial" w:hAnsi="Arial"/>
          <w:sz w:val="14"/>
          <w:szCs w:val="14"/>
          <w:color w:val="auto"/>
        </w:rPr>
        <w:t>Each Borrower has executed and delivered to Agent the Intellectual Property Security Agreement. The Intellectual Property Security Agreement shall be held in escrow by Agent, and shall not be in force and effect, unless and until the occurrence of the Springing IP Event, at which time</w:t>
      </w:r>
    </w:p>
    <w:p>
      <w:pPr>
        <w:sectPr>
          <w:pgSz w:w="11900" w:h="16838" w:orient="portrait"/>
          <w:cols w:equalWidth="0" w:num="1">
            <w:col w:w="11340"/>
          </w:cols>
          <w:pgMar w:left="240" w:top="165" w:right="319" w:bottom="1440" w:gutter="0" w:footer="0" w:header="0"/>
          <w:type w:val="continuous"/>
        </w:sectPr>
      </w:pPr>
    </w:p>
    <w:p>
      <w:pPr>
        <w:jc w:val="both"/>
        <w:ind w:left="140" w:right="20" w:firstLine="4"/>
        <w:spacing w:after="0" w:line="242" w:lineRule="auto"/>
        <w:tabs>
          <w:tab w:leader="none" w:pos="31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Intellectual Property Security Agreement shall immediately and automatically become effective without any further action or consent by any Borrower and (ii) Agent shall be automatically authorized to file the Intellectual Property Security Agreement (including any updated schedules thereto delivered pursuant to Section 4.16(h)) with the United States Patent and Trademark Office and/or United States Copyright Office, as applicable.</w:t>
      </w:r>
    </w:p>
    <w:p>
      <w:pPr>
        <w:spacing w:after="0" w:line="136" w:lineRule="exact"/>
        <w:rPr>
          <w:sz w:val="20"/>
          <w:szCs w:val="20"/>
          <w:color w:val="auto"/>
        </w:rPr>
      </w:pPr>
    </w:p>
    <w:p>
      <w:pPr>
        <w:jc w:val="both"/>
        <w:ind w:left="140" w:firstLine="1676"/>
        <w:spacing w:after="0" w:line="247" w:lineRule="auto"/>
        <w:rPr>
          <w:sz w:val="20"/>
          <w:szCs w:val="20"/>
          <w:color w:val="auto"/>
        </w:rPr>
      </w:pPr>
      <w:r>
        <w:rPr>
          <w:rFonts w:ascii="Arial" w:cs="Arial" w:eastAsia="Arial" w:hAnsi="Arial"/>
          <w:sz w:val="14"/>
          <w:szCs w:val="14"/>
          <w:color w:val="auto"/>
        </w:rPr>
        <w:t>(g) Upon the occurrence of a Springing IP Event and continuing at all times thereafter (whether or not the Springing IP Event continues), then automatically and without notice or any further action by Agent, any Lender or any Borrower (i) Agent shall be authorized to file UCC financing statements, financing statement amendments and security agreements (including any Intellectual Property Security Agreement) necessary or desirable to perfect such security interest in the Intellectual Property (other than Excluded Property and any security interest that is not required to be perfected under the terms of this Agreement), and (ii) each Borrower shall execute such other agreements and take such other actions as Agent may reasonably request to establish, perfect or protect Agent’s security interest in the Intellectual Property (other than Excluded Property and any security interest that is not required to be perfected under the terms of this Agreement).</w:t>
      </w:r>
    </w:p>
    <w:p>
      <w:pPr>
        <w:spacing w:after="0" w:line="13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(h)</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Borrowers shall promptly (and in any event within three (3) Business Days of the occurrence thereof) provide Agent and each Lender with written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rPr>
              <w:t>notice of the occurrence of a Springing IP Event, which notice shall be accompanied by a certificate from an authorized executive officer from each Borrower (A)</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acknowledging that the Springing IP Event has occurred, (B) specifying the date on which the Springing IP Event occurred, and (C) acknowledging that Agent may exercise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rPr>
              <w:t>any rights it may have under this Agreement or any other Financing Document with respect to the Springing IP Event. Without limiting the foregoing, Borrowers shall</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jc w:val="right"/>
              <w:ind w:right="6390"/>
              <w:spacing w:after="0"/>
              <w:rPr>
                <w:sz w:val="20"/>
                <w:szCs w:val="20"/>
                <w:color w:val="auto"/>
              </w:rPr>
            </w:pPr>
            <w:r>
              <w:rPr>
                <w:rFonts w:ascii="Arial" w:cs="Arial" w:eastAsia="Arial" w:hAnsi="Arial"/>
                <w:sz w:val="14"/>
                <w:szCs w:val="14"/>
                <w:color w:val="auto"/>
              </w:rPr>
              <w:t>promptly (and in any event within ten (10) days of the</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12" w:name="page113"/>
    <w:bookmarkEnd w:id="112"/>
    <w:p>
      <w:pPr>
        <w:jc w:val="both"/>
        <w:ind w:left="140" w:right="20"/>
        <w:spacing w:after="0" w:line="255" w:lineRule="auto"/>
        <w:rPr>
          <w:sz w:val="20"/>
          <w:szCs w:val="20"/>
          <w:color w:val="auto"/>
        </w:rPr>
      </w:pPr>
      <w:r>
        <w:rPr>
          <w:rFonts w:ascii="Arial" w:cs="Arial" w:eastAsia="Arial" w:hAnsi="Arial"/>
          <w:sz w:val="14"/>
          <w:szCs w:val="14"/>
          <w:color w:val="auto"/>
        </w:rPr>
        <w:t>occurrence of a Springing IP Event) provide Agent a supplement to the Intellectual Property Security Agreement certifying to and attaching true, correct and complete copies of updated schedules to the Intellectual Property Security Agreement and certifying that all Intellectual Property owned by each Borrower and registered in the United States as of the date of such certification is reflected on such schedules (other than Excluded Property).</w:t>
      </w:r>
    </w:p>
    <w:p>
      <w:pPr>
        <w:spacing w:after="0" w:line="11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b w:val="1"/>
                <w:bCs w:val="1"/>
                <w:color w:val="auto"/>
              </w:rPr>
              <w:t>Section 4.17</w:t>
            </w:r>
          </w:p>
        </w:tc>
        <w:tc>
          <w:tcPr>
            <w:tcW w:w="600" w:type="dxa"/>
            <w:vAlign w:val="bottom"/>
          </w:tcPr>
          <w:p>
            <w:pPr>
              <w:spacing w:after="0"/>
              <w:rPr>
                <w:sz w:val="14"/>
                <w:szCs w:val="14"/>
                <w:color w:val="auto"/>
              </w:rPr>
            </w:pPr>
          </w:p>
        </w:tc>
        <w:tc>
          <w:tcPr>
            <w:tcW w:w="8180" w:type="dxa"/>
            <w:vAlign w:val="bottom"/>
            <w:gridSpan w:val="2"/>
          </w:tcPr>
          <w:p>
            <w:pPr>
              <w:spacing w:after="0"/>
              <w:rPr>
                <w:sz w:val="20"/>
                <w:szCs w:val="20"/>
                <w:color w:val="auto"/>
              </w:rPr>
            </w:pPr>
            <w:r>
              <w:rPr>
                <w:rFonts w:ascii="Arial" w:cs="Arial" w:eastAsia="Arial" w:hAnsi="Arial"/>
                <w:sz w:val="14"/>
                <w:szCs w:val="14"/>
                <w:color w:val="auto"/>
              </w:rPr>
              <w:t>Regulatory Reporting and Covenants.</w:t>
            </w:r>
          </w:p>
        </w:tc>
      </w:tr>
      <w:tr>
        <w:trPr>
          <w:trHeight w:val="20"/>
        </w:trPr>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304"/>
        </w:trPr>
        <w:tc>
          <w:tcPr>
            <w:tcW w:w="1560" w:type="dxa"/>
            <w:vAlign w:val="bottom"/>
          </w:tcPr>
          <w:p>
            <w:pPr>
              <w:ind w:left="820"/>
              <w:spacing w:after="0"/>
              <w:rPr>
                <w:sz w:val="20"/>
                <w:szCs w:val="20"/>
                <w:color w:val="auto"/>
              </w:rPr>
            </w:pPr>
            <w:r>
              <w:rPr>
                <w:rFonts w:ascii="Arial" w:cs="Arial" w:eastAsia="Arial" w:hAnsi="Arial"/>
                <w:sz w:val="14"/>
                <w:szCs w:val="14"/>
                <w:color w:val="auto"/>
              </w:rPr>
              <w:t>(a)</w:t>
            </w:r>
          </w:p>
        </w:tc>
        <w:tc>
          <w:tcPr>
            <w:tcW w:w="600" w:type="dxa"/>
            <w:vAlign w:val="bottom"/>
          </w:tcPr>
          <w:p>
            <w:pPr>
              <w:spacing w:after="0"/>
              <w:rPr>
                <w:sz w:val="24"/>
                <w:szCs w:val="24"/>
                <w:color w:val="auto"/>
              </w:rPr>
            </w:pPr>
          </w:p>
        </w:tc>
        <w:tc>
          <w:tcPr>
            <w:tcW w:w="8180" w:type="dxa"/>
            <w:vAlign w:val="bottom"/>
            <w:gridSpan w:val="2"/>
          </w:tcPr>
          <w:p>
            <w:pPr>
              <w:ind w:left="280"/>
              <w:spacing w:after="0"/>
              <w:rPr>
                <w:sz w:val="20"/>
                <w:szCs w:val="20"/>
                <w:color w:val="auto"/>
              </w:rPr>
            </w:pPr>
            <w:r>
              <w:rPr>
                <w:rFonts w:ascii="Arial" w:cs="Arial" w:eastAsia="Arial" w:hAnsi="Arial"/>
                <w:sz w:val="14"/>
                <w:szCs w:val="14"/>
                <w:color w:val="auto"/>
                <w:w w:val="97"/>
              </w:rPr>
              <w:t>Borrower shall notify Agent and each Lender promptly, and in any event within 3 Business Days of receiving, becoming aware of or</w:t>
            </w:r>
          </w:p>
        </w:tc>
      </w:tr>
    </w:tbl>
    <w:p>
      <w:pPr>
        <w:jc w:val="both"/>
        <w:ind w:left="140"/>
        <w:spacing w:after="0" w:line="263" w:lineRule="auto"/>
        <w:rPr>
          <w:sz w:val="20"/>
          <w:szCs w:val="20"/>
          <w:color w:val="auto"/>
        </w:rPr>
      </w:pPr>
      <w:r>
        <w:rPr>
          <w:rFonts w:ascii="Arial" w:cs="Arial" w:eastAsia="Arial" w:hAnsi="Arial"/>
          <w:sz w:val="13"/>
          <w:szCs w:val="13"/>
          <w:color w:val="auto"/>
        </w:rPr>
        <w:t>determining that, (each, a “Regulatory Reporting Event” and collectively, the “Regulatory Reporting Events”): (i) any Governmental Authority, specifically including the FDA is conducting or has conducted (A) if applicable, an inspection of any of Borrower’s or its Subsidiaries’ manufacturing facilities and processes for any Product which inspection has disclosed, and notification of which has been provided to Borrower in writing, of any material deficiencies or violations of Laws and/or the Regulatory Required Permits related to such thereto or (B) a material investigation or review of any Regulatory Required Permit (other than routine reviews in the Ordinary Course of Business associated with the renewal or maintenance of a Regulatory Required Permit which would not reasonably be expected to result in a Material Adverse Effect), (ii) development, testing, and/or manufacturing of any Product or provision of any service that is material to the business of Borrower or its Subsidiaries should cease, (iii) a Product that is material to the business of the Borrower or its Subsidiaries has been approved for marketing and sale, any marketing or sales of such Product should cease or such Product should be withdrawn from the marketplace, (v) adverse clinical trial test results with respect to any Product which have or would reasonably be expected to result in a Material Adverse Effect, (vi) any Product Recalls or voluntary Product withdrawals from any market which have or would reasonably be expected to result in a Material Adverse Effect or (vii) any significant failures in the manufacturing of any Product such that the amount of such Product successfully manufactured in accordance with all specifications thereof and any required payments to be made to Borrower therefor in any month shall decrease significantly with respect to the quantities of such Product and payments produced in the prior month, in each case, which would reasonably be expected to result in a Material Adverse Effect. Borrower shall provide to Agent or any Lender such further information (including copies of such documentation) as Agent or any Lender shall reasonably request with respect to any such Regulatory Reporting Event.</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jc w:val="right"/>
              <w:spacing w:after="0"/>
              <w:rPr>
                <w:sz w:val="20"/>
                <w:szCs w:val="20"/>
                <w:color w:val="auto"/>
              </w:rPr>
            </w:pPr>
            <w:r>
              <w:rPr>
                <w:rFonts w:ascii="Arial" w:cs="Arial" w:eastAsia="Arial" w:hAnsi="Arial"/>
                <w:sz w:val="14"/>
                <w:szCs w:val="14"/>
                <w:color w:val="auto"/>
              </w:rPr>
              <w:t>Borrower shall, and shall cause each Credit Party to, obtain all Regulatory Required Permits necessary for compliance in all material respects with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Laws with respect to testing, manufacturing, developing, selling or marketing of Products and shall, and shall cause each Credit Party to, maintain and comply in all material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respects with all such Regulatory Required Permits, the noncompliance with which would have a Material Adverse Effect. In the event Borrower or any Credit Party obtains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6"/>
              </w:rPr>
              <w:t>any new material Regulatory Required Permit or any information on the Schedule 8.2(a) becomes outdated, inaccurate, incomplete or misleading, Borrower shall, together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with the next Compliance Certificate required to be delivered under this Agreement after such event, provide Agent with an updated Schedule 8.2(a) including such updated</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information.</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jc w:val="right"/>
              <w:spacing w:after="0"/>
              <w:rPr>
                <w:sz w:val="20"/>
                <w:szCs w:val="20"/>
                <w:color w:val="auto"/>
              </w:rPr>
            </w:pPr>
            <w:r>
              <w:rPr>
                <w:rFonts w:ascii="Arial" w:cs="Arial" w:eastAsia="Arial" w:hAnsi="Arial"/>
                <w:sz w:val="14"/>
                <w:szCs w:val="14"/>
                <w:color w:val="auto"/>
              </w:rPr>
              <w:t>If, after the Closing Date, (i) Borrower determines to manufacture, sell, develop, test or market any new Product, Borrower shall deliver prior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written notice to Agent of such determination (which shall include a brief description of such Product) and, together with delivery of the next Compliance Certificate shall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8"/>
              </w:rPr>
              <w:t>provide an updated Schedule 3.19 and Schedule 8.2(a) (Licensing and Products) (and copies of such Permits as Agent may request) reflecting updates related to such</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determination</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13" w:name="page114"/>
    <w:bookmarkEnd w:id="113"/>
    <w:p>
      <w:pPr>
        <w:ind w:left="3360"/>
        <w:spacing w:after="0"/>
        <w:rPr>
          <w:sz w:val="20"/>
          <w:szCs w:val="20"/>
          <w:color w:val="auto"/>
        </w:rPr>
      </w:pPr>
      <w:r>
        <w:rPr>
          <w:rFonts w:ascii="Arial" w:cs="Arial" w:eastAsia="Arial" w:hAnsi="Arial"/>
          <w:sz w:val="14"/>
          <w:szCs w:val="14"/>
          <w:b w:val="1"/>
          <w:bCs w:val="1"/>
          <w:color w:val="auto"/>
        </w:rPr>
        <w:t>ARTICLE 5 - NEGATIVE COVENANTS</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Each Borrower agrees that, so long as any Credit Exposure exists:</w:t>
      </w:r>
    </w:p>
    <w:p>
      <w:pPr>
        <w:spacing w:after="0" w:line="150"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5.1 </w:t>
      </w:r>
      <w:r>
        <w:rPr>
          <w:rFonts w:ascii="Arial" w:cs="Arial" w:eastAsia="Arial" w:hAnsi="Arial"/>
          <w:sz w:val="14"/>
          <w:szCs w:val="14"/>
          <w:u w:val="single" w:color="auto"/>
          <w:color w:val="auto"/>
        </w:rPr>
        <w:t>Debt; Contingent Obligations</w:t>
      </w:r>
      <w:r>
        <w:rPr>
          <w:rFonts w:ascii="Arial" w:cs="Arial" w:eastAsia="Arial" w:hAnsi="Arial"/>
          <w:sz w:val="14"/>
          <w:szCs w:val="14"/>
          <w:color w:val="auto"/>
        </w:rPr>
        <w:t>. No Borrower will, or will permit any Subsidiary to, directly or indirectly, create, incur, assume, guarantee or otherwise become or remain</w:t>
      </w:r>
      <w:r>
        <w:rPr>
          <w:rFonts w:ascii="Arial" w:cs="Arial" w:eastAsia="Arial" w:hAnsi="Arial"/>
          <w:sz w:val="14"/>
          <w:szCs w:val="14"/>
          <w:b w:val="1"/>
          <w:bCs w:val="1"/>
          <w:color w:val="auto"/>
        </w:rPr>
        <w:t xml:space="preserve"> </w:t>
      </w:r>
      <w:r>
        <w:rPr>
          <w:rFonts w:ascii="Arial" w:cs="Arial" w:eastAsia="Arial" w:hAnsi="Arial"/>
          <w:sz w:val="14"/>
          <w:szCs w:val="14"/>
          <w:color w:val="auto"/>
        </w:rPr>
        <w:t>directly or indirectly liable with respect to, any Debt, except for Permitted Debt. No Borrower will, or will permit any Subsidiary to, directly or indirectly, create, assume, incur or suffer to exist any Contingent Obligations, except for Permitted Contingent Obligations.</w:t>
      </w:r>
    </w:p>
    <w:p>
      <w:pPr>
        <w:spacing w:after="0" w:line="120" w:lineRule="exact"/>
        <w:rPr>
          <w:sz w:val="20"/>
          <w:szCs w:val="20"/>
          <w:color w:val="auto"/>
        </w:rPr>
      </w:pPr>
    </w:p>
    <w:p>
      <w:pPr>
        <w:ind w:left="140" w:right="40" w:firstLine="835"/>
        <w:spacing w:after="0" w:line="274" w:lineRule="auto"/>
        <w:rPr>
          <w:sz w:val="20"/>
          <w:szCs w:val="20"/>
          <w:color w:val="auto"/>
        </w:rPr>
      </w:pPr>
      <w:r>
        <w:rPr>
          <w:rFonts w:ascii="Arial" w:cs="Arial" w:eastAsia="Arial" w:hAnsi="Arial"/>
          <w:sz w:val="14"/>
          <w:szCs w:val="14"/>
          <w:b w:val="1"/>
          <w:bCs w:val="1"/>
          <w:color w:val="auto"/>
        </w:rPr>
        <w:t xml:space="preserve">Section 5.2 </w:t>
      </w:r>
      <w:r>
        <w:rPr>
          <w:rFonts w:ascii="Arial" w:cs="Arial" w:eastAsia="Arial" w:hAnsi="Arial"/>
          <w:sz w:val="14"/>
          <w:szCs w:val="14"/>
          <w:u w:val="single" w:color="auto"/>
          <w:color w:val="auto"/>
        </w:rPr>
        <w:t>Liens</w:t>
      </w:r>
      <w:r>
        <w:rPr>
          <w:rFonts w:ascii="Arial" w:cs="Arial" w:eastAsia="Arial" w:hAnsi="Arial"/>
          <w:sz w:val="14"/>
          <w:szCs w:val="14"/>
          <w:color w:val="auto"/>
        </w:rPr>
        <w:t>. No Borrower will, or will permit any Subsidiary to, directly or indirectly, create, assume or suffer to exist any Lien on any asset now owned or hereafter acquired by</w:t>
      </w:r>
      <w:r>
        <w:rPr>
          <w:rFonts w:ascii="Arial" w:cs="Arial" w:eastAsia="Arial" w:hAnsi="Arial"/>
          <w:sz w:val="14"/>
          <w:szCs w:val="14"/>
          <w:b w:val="1"/>
          <w:bCs w:val="1"/>
          <w:color w:val="auto"/>
        </w:rPr>
        <w:t xml:space="preserve"> </w:t>
      </w:r>
      <w:r>
        <w:rPr>
          <w:rFonts w:ascii="Arial" w:cs="Arial" w:eastAsia="Arial" w:hAnsi="Arial"/>
          <w:sz w:val="14"/>
          <w:szCs w:val="14"/>
          <w:color w:val="auto"/>
        </w:rPr>
        <w:t>it, except for Permitted Liens.</w:t>
      </w:r>
    </w:p>
    <w:p>
      <w:pPr>
        <w:spacing w:after="0" w:line="110"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b w:val="1"/>
          <w:bCs w:val="1"/>
          <w:color w:val="auto"/>
        </w:rPr>
        <w:t xml:space="preserve">Section 5.3 </w:t>
      </w:r>
      <w:r>
        <w:rPr>
          <w:rFonts w:ascii="Arial" w:cs="Arial" w:eastAsia="Arial" w:hAnsi="Arial"/>
          <w:sz w:val="14"/>
          <w:szCs w:val="14"/>
          <w:u w:val="single" w:color="auto"/>
          <w:color w:val="auto"/>
        </w:rPr>
        <w:t>Distributions</w:t>
      </w:r>
      <w:r>
        <w:rPr>
          <w:rFonts w:ascii="Arial" w:cs="Arial" w:eastAsia="Arial" w:hAnsi="Arial"/>
          <w:sz w:val="14"/>
          <w:szCs w:val="14"/>
          <w:color w:val="auto"/>
        </w:rPr>
        <w:t>. No Borrower will, or will permit any Subsidiary to, directly or indirectly, declare, order, pay, make or set apart any sum for any Distribution, except for</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Distributions.</w:t>
      </w:r>
    </w:p>
    <w:p>
      <w:pPr>
        <w:spacing w:after="0" w:line="110" w:lineRule="exact"/>
        <w:rPr>
          <w:sz w:val="20"/>
          <w:szCs w:val="20"/>
          <w:color w:val="auto"/>
        </w:rPr>
      </w:pPr>
    </w:p>
    <w:p>
      <w:pPr>
        <w:jc w:val="both"/>
        <w:ind w:left="140" w:firstLine="837"/>
        <w:spacing w:after="0" w:line="273" w:lineRule="auto"/>
        <w:rPr>
          <w:sz w:val="20"/>
          <w:szCs w:val="20"/>
          <w:color w:val="auto"/>
        </w:rPr>
      </w:pPr>
      <w:r>
        <w:rPr>
          <w:rFonts w:ascii="Arial" w:cs="Arial" w:eastAsia="Arial" w:hAnsi="Arial"/>
          <w:sz w:val="13"/>
          <w:szCs w:val="13"/>
          <w:b w:val="1"/>
          <w:bCs w:val="1"/>
          <w:color w:val="auto"/>
        </w:rPr>
        <w:t xml:space="preserve">Section 5.4 </w:t>
      </w:r>
      <w:r>
        <w:rPr>
          <w:rFonts w:ascii="Arial" w:cs="Arial" w:eastAsia="Arial" w:hAnsi="Arial"/>
          <w:sz w:val="13"/>
          <w:szCs w:val="13"/>
          <w:u w:val="single" w:color="auto"/>
          <w:color w:val="auto"/>
        </w:rPr>
        <w:t>Restrictive Agreements</w:t>
      </w:r>
      <w:r>
        <w:rPr>
          <w:rFonts w:ascii="Arial" w:cs="Arial" w:eastAsia="Arial" w:hAnsi="Arial"/>
          <w:sz w:val="13"/>
          <w:szCs w:val="13"/>
          <w:color w:val="auto"/>
        </w:rPr>
        <w:t>. No Borrower will, or will permit any Subsidiary to, directly or indirectly (a) enter into or assume any agreement (other than the Financing</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any Subordinated Debt Documents, and any agreements for purchase money debt permitted under clause (c) of the definition of Permitted Debt) prohibiting the creation or assumption of any Lien upon its properties or assets, whether now owned or hereafter acquired, or (b) create or otherwise cause or suffer to exist or become effective any consensual encumbrance or restriction of any kind (except as provided by the Financing Documents) on the ability of any Subsidiary to: (i) pay or make Distributions to any Borrower or any Subsidiary; (ii) pay any Debt owed to any Borrower or any Subsidiary; (iii) make loans or advances to any Borrower or any Subsidiary; or (iv) transfer any of its property or assets to any Borrower or any Subsidiary.</w:t>
      </w:r>
    </w:p>
    <w:p>
      <w:pPr>
        <w:spacing w:after="0" w:line="114" w:lineRule="exact"/>
        <w:rPr>
          <w:sz w:val="20"/>
          <w:szCs w:val="20"/>
          <w:color w:val="auto"/>
        </w:rPr>
      </w:pPr>
    </w:p>
    <w:p>
      <w:pPr>
        <w:jc w:val="both"/>
        <w:ind w:left="140" w:firstLine="837"/>
        <w:spacing w:after="0" w:line="248" w:lineRule="auto"/>
        <w:rPr>
          <w:sz w:val="20"/>
          <w:szCs w:val="20"/>
          <w:color w:val="auto"/>
        </w:rPr>
      </w:pPr>
      <w:r>
        <w:rPr>
          <w:rFonts w:ascii="Arial" w:cs="Arial" w:eastAsia="Arial" w:hAnsi="Arial"/>
          <w:sz w:val="14"/>
          <w:szCs w:val="14"/>
          <w:b w:val="1"/>
          <w:bCs w:val="1"/>
          <w:color w:val="auto"/>
        </w:rPr>
        <w:t xml:space="preserve">Section 5.5 </w:t>
      </w:r>
      <w:r>
        <w:rPr>
          <w:rFonts w:ascii="Arial" w:cs="Arial" w:eastAsia="Arial" w:hAnsi="Arial"/>
          <w:sz w:val="14"/>
          <w:szCs w:val="14"/>
          <w:u w:val="single" w:color="auto"/>
          <w:color w:val="auto"/>
        </w:rPr>
        <w:t>Payments and Modifications of Subordinated Debt</w:t>
      </w:r>
      <w:r>
        <w:rPr>
          <w:rFonts w:ascii="Arial" w:cs="Arial" w:eastAsia="Arial" w:hAnsi="Arial"/>
          <w:sz w:val="14"/>
          <w:szCs w:val="14"/>
          <w:color w:val="auto"/>
        </w:rPr>
        <w:t>. No Borrower will, or will permit any Subsidiary to, directly or indirectly (a) declare, pay, make or set aside any amount</w:t>
      </w:r>
      <w:r>
        <w:rPr>
          <w:rFonts w:ascii="Arial" w:cs="Arial" w:eastAsia="Arial" w:hAnsi="Arial"/>
          <w:sz w:val="14"/>
          <w:szCs w:val="14"/>
          <w:b w:val="1"/>
          <w:bCs w:val="1"/>
          <w:color w:val="auto"/>
        </w:rPr>
        <w:t xml:space="preserve"> </w:t>
      </w:r>
      <w:r>
        <w:rPr>
          <w:rFonts w:ascii="Arial" w:cs="Arial" w:eastAsia="Arial" w:hAnsi="Arial"/>
          <w:sz w:val="14"/>
          <w:szCs w:val="14"/>
          <w:color w:val="auto"/>
        </w:rPr>
        <w:t>for payment in respect of Subordinated Debt, except for payments made in full compliance with and expressly permitted under the Subordination Agreement, (b) amend or otherwise modify the terms of any Subordinated Debt, except for amendments or modifications made in full compliance with the Subordination Agreement relating thereto, or (c) declare, pay, make or set aside any amount for payment in respect of any Debt hereinafter incurred that, by its terms, or by separate agreement, is subordinated to the Obligations, except for payments permitted under the subordination provisions applicable thereto. Borrowers shall, prior to entering into any such amendment or modification, deliver to Agent reasonably in advance of the execution thereof, any final or execution form copy thereof.</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40" w:type="dxa"/>
            <w:vAlign w:val="bottom"/>
          </w:tcPr>
          <w:p>
            <w:pPr>
              <w:ind w:left="780"/>
              <w:spacing w:after="0"/>
              <w:rPr>
                <w:sz w:val="20"/>
                <w:szCs w:val="20"/>
                <w:color w:val="auto"/>
              </w:rPr>
            </w:pPr>
            <w:r>
              <w:rPr>
                <w:rFonts w:ascii="Arial" w:cs="Arial" w:eastAsia="Arial" w:hAnsi="Arial"/>
                <w:sz w:val="14"/>
                <w:szCs w:val="14"/>
                <w:b w:val="1"/>
                <w:bCs w:val="1"/>
                <w:color w:val="auto"/>
              </w:rPr>
              <w:t>Section 5.6</w:t>
            </w:r>
          </w:p>
        </w:tc>
        <w:tc>
          <w:tcPr>
            <w:tcW w:w="8840" w:type="dxa"/>
            <w:vAlign w:val="bottom"/>
            <w:gridSpan w:val="3"/>
          </w:tcPr>
          <w:p>
            <w:pPr>
              <w:ind w:left="740"/>
              <w:spacing w:after="0"/>
              <w:rPr>
                <w:sz w:val="20"/>
                <w:szCs w:val="20"/>
                <w:color w:val="auto"/>
              </w:rPr>
            </w:pPr>
            <w:r>
              <w:rPr>
                <w:rFonts w:ascii="Arial" w:cs="Arial" w:eastAsia="Arial" w:hAnsi="Arial"/>
                <w:sz w:val="14"/>
                <w:szCs w:val="14"/>
                <w:color w:val="auto"/>
              </w:rPr>
              <w:t>Consolidations, Mergers and Sales of Assets; Change in Control.</w:t>
            </w: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14"/>
        </w:trPr>
        <w:tc>
          <w:tcPr>
            <w:tcW w:w="2140" w:type="dxa"/>
            <w:vAlign w:val="bottom"/>
          </w:tcPr>
          <w:p>
            <w:pPr>
              <w:spacing w:after="0"/>
              <w:rPr>
                <w:sz w:val="20"/>
                <w:szCs w:val="20"/>
                <w:color w:val="auto"/>
              </w:rPr>
            </w:pPr>
            <w:r>
              <w:rPr>
                <w:rFonts w:ascii="Arial" w:cs="Arial" w:eastAsia="Arial" w:hAnsi="Arial"/>
                <w:sz w:val="14"/>
                <w:szCs w:val="14"/>
                <w:color w:val="auto"/>
              </w:rPr>
              <w:t>(a)</w:t>
            </w:r>
          </w:p>
        </w:tc>
        <w:tc>
          <w:tcPr>
            <w:tcW w:w="7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w w:val="92"/>
              </w:rPr>
              <w:t>No Borrower will, or will permit any Subsidiary to, directly or indirectly consolidate or merge or amalgamate with or into any other Person other</w:t>
            </w:r>
          </w:p>
        </w:tc>
      </w:tr>
    </w:tbl>
    <w:p>
      <w:pPr>
        <w:jc w:val="both"/>
        <w:ind w:left="1660" w:right="120"/>
        <w:spacing w:after="0" w:line="282" w:lineRule="auto"/>
        <w:rPr>
          <w:sz w:val="20"/>
          <w:szCs w:val="20"/>
          <w:color w:val="auto"/>
        </w:rPr>
      </w:pPr>
      <w:r>
        <w:rPr>
          <w:rFonts w:ascii="Arial" w:cs="Arial" w:eastAsia="Arial" w:hAnsi="Arial"/>
          <w:sz w:val="12"/>
          <w:szCs w:val="12"/>
          <w:color w:val="auto"/>
        </w:rPr>
        <w:t>than (a) consolidations or mergers among Borrowers where a Borrower is the surviving entity (provided that in the case of any consolidation or merger involving Aptevo Therapeutics, Aptevo Therapeutics shall be the surviving entity), (b) consolidations or mergers among a Guarantor and a Borrower so long as the Borrower is the surviving entity, (c) consolidations or mergers among Guarantors where the Guarantor is the surviving entity, (d) consolidations or mergers among Excluded Foreign Subsidiaries and</w:t>
      </w:r>
    </w:p>
    <w:p>
      <w:pPr>
        <w:jc w:val="both"/>
        <w:ind w:left="1660" w:right="120"/>
        <w:spacing w:after="0" w:line="250" w:lineRule="auto"/>
        <w:rPr>
          <w:sz w:val="20"/>
          <w:szCs w:val="20"/>
          <w:color w:val="auto"/>
        </w:rPr>
      </w:pPr>
      <w:r>
        <w:rPr>
          <w:rFonts w:ascii="Arial" w:cs="Arial" w:eastAsia="Arial" w:hAnsi="Arial"/>
          <w:sz w:val="14"/>
          <w:szCs w:val="14"/>
          <w:color w:val="auto"/>
        </w:rPr>
        <w:t>(e) dissolutions or liquidations of Credit Parties (other than Aptevo Therapeutics) or their Subsidiaries so long as any assets of such dissolved or liquidated Person are transferred to a Borrower.</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5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52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14" w:name="page115"/>
    <w:bookmarkEnd w:id="114"/>
    <w:p>
      <w:pPr>
        <w:ind w:left="1660" w:right="780" w:hanging="1436"/>
        <w:spacing w:after="0" w:line="267" w:lineRule="auto"/>
        <w:tabs>
          <w:tab w:leader="none" w:pos="164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No Borrower will, or will permit any Subsidiary to, directly or indirectly consummate any Asset Dispositions other than Permitted Asset Dispositions.</w:t>
      </w:r>
    </w:p>
    <w:p>
      <w:pPr>
        <w:spacing w:after="0" w:line="119" w:lineRule="exact"/>
        <w:rPr>
          <w:sz w:val="20"/>
          <w:szCs w:val="20"/>
          <w:color w:val="auto"/>
        </w:rPr>
      </w:pPr>
    </w:p>
    <w:p>
      <w:pPr>
        <w:ind w:left="2820" w:hanging="858"/>
        <w:spacing w:after="0"/>
        <w:tabs>
          <w:tab w:leader="none" w:pos="28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 Borrower will suffer or permit to occur any Change in Control.</w:t>
      </w:r>
    </w:p>
    <w:p>
      <w:pPr>
        <w:spacing w:after="0" w:line="150" w:lineRule="exact"/>
        <w:rPr>
          <w:sz w:val="20"/>
          <w:szCs w:val="20"/>
          <w:color w:val="auto"/>
        </w:rPr>
      </w:pPr>
    </w:p>
    <w:p>
      <w:pPr>
        <w:jc w:val="both"/>
        <w:ind w:left="140" w:right="20" w:firstLine="837"/>
        <w:spacing w:after="0" w:line="252" w:lineRule="auto"/>
        <w:rPr>
          <w:sz w:val="20"/>
          <w:szCs w:val="20"/>
          <w:color w:val="auto"/>
        </w:rPr>
      </w:pPr>
      <w:r>
        <w:rPr>
          <w:rFonts w:ascii="Arial" w:cs="Arial" w:eastAsia="Arial" w:hAnsi="Arial"/>
          <w:sz w:val="14"/>
          <w:szCs w:val="14"/>
          <w:b w:val="1"/>
          <w:bCs w:val="1"/>
          <w:color w:val="auto"/>
        </w:rPr>
        <w:t xml:space="preserve">Section 5.7 </w:t>
      </w:r>
      <w:r>
        <w:rPr>
          <w:rFonts w:ascii="Arial" w:cs="Arial" w:eastAsia="Arial" w:hAnsi="Arial"/>
          <w:sz w:val="14"/>
          <w:szCs w:val="14"/>
          <w:u w:val="single" w:color="auto"/>
          <w:color w:val="auto"/>
        </w:rPr>
        <w:t>Purchase of Assets, Investments</w:t>
      </w:r>
      <w:r>
        <w:rPr>
          <w:rFonts w:ascii="Arial" w:cs="Arial" w:eastAsia="Arial" w:hAnsi="Arial"/>
          <w:sz w:val="14"/>
          <w:szCs w:val="14"/>
          <w:color w:val="auto"/>
        </w:rPr>
        <w:t>. No Borrower will, or will permit any Subsidiary to, directly or indirectly (a) without limiting clause (c) below, acquire or enter into</w:t>
      </w:r>
      <w:r>
        <w:rPr>
          <w:rFonts w:ascii="Arial" w:cs="Arial" w:eastAsia="Arial" w:hAnsi="Arial"/>
          <w:sz w:val="14"/>
          <w:szCs w:val="14"/>
          <w:b w:val="1"/>
          <w:bCs w:val="1"/>
          <w:color w:val="auto"/>
        </w:rPr>
        <w:t xml:space="preserve"> </w:t>
      </w:r>
      <w:r>
        <w:rPr>
          <w:rFonts w:ascii="Arial" w:cs="Arial" w:eastAsia="Arial" w:hAnsi="Arial"/>
          <w:sz w:val="14"/>
          <w:szCs w:val="14"/>
          <w:color w:val="auto"/>
        </w:rPr>
        <w:t>any agreement to acquire any assets other than in the Ordinary Course of Business or as permitted under the definition of Permitted Investments; (b) engage or enter into any agreement to engage in any joint venture or statutory or common law partnership with any other Person; or (c) acquire or own or enter into any agreement to acquire or own any Investment in any Person other than Permitted Investments.</w:t>
      </w:r>
    </w:p>
    <w:p>
      <w:pPr>
        <w:spacing w:after="0" w:line="126" w:lineRule="exact"/>
        <w:rPr>
          <w:sz w:val="20"/>
          <w:szCs w:val="20"/>
          <w:color w:val="auto"/>
        </w:rPr>
      </w:pPr>
    </w:p>
    <w:p>
      <w:pPr>
        <w:jc w:val="both"/>
        <w:ind w:left="140" w:right="20" w:firstLine="837"/>
        <w:spacing w:after="0" w:line="252" w:lineRule="auto"/>
        <w:rPr>
          <w:sz w:val="20"/>
          <w:szCs w:val="20"/>
          <w:color w:val="auto"/>
        </w:rPr>
      </w:pPr>
      <w:r>
        <w:rPr>
          <w:rFonts w:ascii="Arial" w:cs="Arial" w:eastAsia="Arial" w:hAnsi="Arial"/>
          <w:sz w:val="14"/>
          <w:szCs w:val="14"/>
          <w:b w:val="1"/>
          <w:bCs w:val="1"/>
          <w:color w:val="auto"/>
        </w:rPr>
        <w:t xml:space="preserve">Section 5.8 </w:t>
      </w:r>
      <w:r>
        <w:rPr>
          <w:rFonts w:ascii="Arial" w:cs="Arial" w:eastAsia="Arial" w:hAnsi="Arial"/>
          <w:sz w:val="14"/>
          <w:szCs w:val="14"/>
          <w:u w:val="single" w:color="auto"/>
          <w:color w:val="auto"/>
        </w:rPr>
        <w:t>Transactions with Affiliates</w:t>
      </w:r>
      <w:r>
        <w:rPr>
          <w:rFonts w:ascii="Arial" w:cs="Arial" w:eastAsia="Arial" w:hAnsi="Arial"/>
          <w:sz w:val="14"/>
          <w:szCs w:val="14"/>
          <w:color w:val="auto"/>
        </w:rPr>
        <w:t>. Except as otherwise disclosed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5.8</w:t>
      </w:r>
      <w:r>
        <w:rPr>
          <w:rFonts w:ascii="Arial" w:cs="Arial" w:eastAsia="Arial" w:hAnsi="Arial"/>
          <w:sz w:val="14"/>
          <w:szCs w:val="14"/>
          <w:color w:val="auto"/>
        </w:rPr>
        <w:t>, and except for transactions that are disclosed to Agent in advance of being entered into and</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transactions which contain terms that are no less favorable to the applicable Borrower or any Subsidiary, as the case may be, than those which might be obtained from a third party not an Affiliate of any Credit Party, no Borrower will, or will permit any Subsidiary to, directly or indirectly, enter into or permit to exist any transaction (including the purchase, sale, lease or exchange of any property or the rendering of any service) with any Affiliate of any Borrower.</w:t>
      </w:r>
    </w:p>
    <w:p>
      <w:pPr>
        <w:spacing w:after="0" w:line="126" w:lineRule="exact"/>
        <w:rPr>
          <w:sz w:val="20"/>
          <w:szCs w:val="20"/>
          <w:color w:val="auto"/>
        </w:rPr>
      </w:pPr>
    </w:p>
    <w:p>
      <w:pPr>
        <w:ind w:left="140" w:right="40" w:firstLine="834"/>
        <w:spacing w:after="0" w:line="274" w:lineRule="auto"/>
        <w:rPr>
          <w:sz w:val="20"/>
          <w:szCs w:val="20"/>
          <w:color w:val="auto"/>
        </w:rPr>
      </w:pPr>
      <w:r>
        <w:rPr>
          <w:rFonts w:ascii="Arial" w:cs="Arial" w:eastAsia="Arial" w:hAnsi="Arial"/>
          <w:sz w:val="14"/>
          <w:szCs w:val="14"/>
          <w:b w:val="1"/>
          <w:bCs w:val="1"/>
          <w:color w:val="auto"/>
        </w:rPr>
        <w:t xml:space="preserve">Section 5.9 </w:t>
      </w:r>
      <w:r>
        <w:rPr>
          <w:rFonts w:ascii="Arial" w:cs="Arial" w:eastAsia="Arial" w:hAnsi="Arial"/>
          <w:sz w:val="14"/>
          <w:szCs w:val="14"/>
          <w:u w:val="single" w:color="auto"/>
          <w:color w:val="auto"/>
        </w:rPr>
        <w:t>Modification of Organizational Documents</w:t>
      </w:r>
      <w:r>
        <w:rPr>
          <w:rFonts w:ascii="Arial" w:cs="Arial" w:eastAsia="Arial" w:hAnsi="Arial"/>
          <w:sz w:val="14"/>
          <w:szCs w:val="14"/>
          <w:color w:val="auto"/>
        </w:rPr>
        <w:t>. No Borrower will, or will permit any Subsidiary to, directly or indirectly, amend or otherwise modify any Organizational</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Documents of such Person, except for Permitted Modifications.</w:t>
      </w:r>
    </w:p>
    <w:p>
      <w:pPr>
        <w:spacing w:after="0" w:line="110" w:lineRule="exact"/>
        <w:rPr>
          <w:sz w:val="20"/>
          <w:szCs w:val="20"/>
          <w:color w:val="auto"/>
        </w:rPr>
      </w:pPr>
    </w:p>
    <w:p>
      <w:pPr>
        <w:jc w:val="both"/>
        <w:ind w:left="140" w:firstLine="837"/>
        <w:spacing w:after="0" w:line="250" w:lineRule="auto"/>
        <w:rPr>
          <w:sz w:val="20"/>
          <w:szCs w:val="20"/>
          <w:color w:val="auto"/>
        </w:rPr>
      </w:pPr>
      <w:r>
        <w:rPr>
          <w:rFonts w:ascii="Arial" w:cs="Arial" w:eastAsia="Arial" w:hAnsi="Arial"/>
          <w:sz w:val="14"/>
          <w:szCs w:val="14"/>
          <w:b w:val="1"/>
          <w:bCs w:val="1"/>
          <w:color w:val="auto"/>
        </w:rPr>
        <w:t xml:space="preserve">Section 5.10 </w:t>
      </w:r>
      <w:r>
        <w:rPr>
          <w:rFonts w:ascii="Arial" w:cs="Arial" w:eastAsia="Arial" w:hAnsi="Arial"/>
          <w:sz w:val="14"/>
          <w:szCs w:val="14"/>
          <w:u w:val="single" w:color="auto"/>
          <w:color w:val="auto"/>
        </w:rPr>
        <w:t>Modification of Certain Agreements</w:t>
      </w:r>
      <w:r>
        <w:rPr>
          <w:rFonts w:ascii="Arial" w:cs="Arial" w:eastAsia="Arial" w:hAnsi="Arial"/>
          <w:sz w:val="14"/>
          <w:szCs w:val="14"/>
          <w:color w:val="auto"/>
        </w:rPr>
        <w:t>. No Borrower will, or will permit any Subsidiary to, directly or indirectly, amend or otherwise modify any Material Contract, which</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or modification in any case: (a) is contrary to the terms of this Agreement or any other Financing Document; (b) would reasonably be expected to be materially adverse to the rights, interests or privileges of Agent or the Lenders or their ability to enforce the same; or (c) would reasonably be expected to result in a Material Adverse Effect. Each Borrower shall, prior to entering into any amendment or other modification of any of the foregoing documents, deliver to Agent reasonably in advance of the execution thereof, any final or execution form copy of amendments or other modifications to such documents.</w:t>
      </w:r>
    </w:p>
    <w:p>
      <w:pPr>
        <w:spacing w:after="0" w:line="126" w:lineRule="exact"/>
        <w:rPr>
          <w:sz w:val="20"/>
          <w:szCs w:val="20"/>
          <w:color w:val="auto"/>
        </w:rPr>
      </w:pPr>
    </w:p>
    <w:p>
      <w:pPr>
        <w:jc w:val="both"/>
        <w:ind w:left="140" w:right="20" w:firstLine="837"/>
        <w:spacing w:after="0" w:line="287" w:lineRule="auto"/>
        <w:rPr>
          <w:sz w:val="20"/>
          <w:szCs w:val="20"/>
          <w:color w:val="auto"/>
        </w:rPr>
      </w:pPr>
      <w:r>
        <w:rPr>
          <w:rFonts w:ascii="Arial" w:cs="Arial" w:eastAsia="Arial" w:hAnsi="Arial"/>
          <w:sz w:val="13"/>
          <w:szCs w:val="13"/>
          <w:b w:val="1"/>
          <w:bCs w:val="1"/>
          <w:color w:val="auto"/>
        </w:rPr>
        <w:t xml:space="preserve">Section 5.11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No Borrower will, or will permit any Subsidiary to, directly or indirectly, engage in any line of business other than those businesses engaged in on</w:t>
      </w:r>
      <w:r>
        <w:rPr>
          <w:rFonts w:ascii="Arial" w:cs="Arial" w:eastAsia="Arial" w:hAnsi="Arial"/>
          <w:sz w:val="13"/>
          <w:szCs w:val="13"/>
          <w:b w:val="1"/>
          <w:bCs w:val="1"/>
          <w:color w:val="auto"/>
        </w:rPr>
        <w:t xml:space="preserve"> </w:t>
      </w:r>
      <w:r>
        <w:rPr>
          <w:rFonts w:ascii="Arial" w:cs="Arial" w:eastAsia="Arial" w:hAnsi="Arial"/>
          <w:sz w:val="13"/>
          <w:szCs w:val="13"/>
          <w:color w:val="auto"/>
        </w:rPr>
        <w:t>the Closing Date and other businesses reasonably related thereto. No Borrower will, or will permit any Subsidiary to, other than in the Ordinary Course of Business, change its normal billing payment and reimbursement policies and procedures with respect to its Accounts (including, without limitation, the amount and timing of finance charges, fees and write-offs).</w:t>
      </w:r>
    </w:p>
    <w:p>
      <w:pPr>
        <w:spacing w:after="0" w:line="103"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5.12</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b w:val="1"/>
          <w:bCs w:val="1"/>
          <w:color w:val="auto"/>
        </w:rPr>
        <w:t xml:space="preserve">Section 5.13 </w:t>
      </w:r>
      <w:r>
        <w:rPr>
          <w:rFonts w:ascii="Arial" w:cs="Arial" w:eastAsia="Arial" w:hAnsi="Arial"/>
          <w:sz w:val="14"/>
          <w:szCs w:val="14"/>
          <w:u w:val="single" w:color="auto"/>
          <w:color w:val="auto"/>
        </w:rPr>
        <w:t>Limitation on Sale and Leaseback Transactions</w:t>
      </w:r>
      <w:r>
        <w:rPr>
          <w:rFonts w:ascii="Arial" w:cs="Arial" w:eastAsia="Arial" w:hAnsi="Arial"/>
          <w:sz w:val="14"/>
          <w:szCs w:val="14"/>
          <w:color w:val="auto"/>
        </w:rPr>
        <w:t>. No Borrower will, or will permit any Subsidiary to, directly or indirectly, enter into any arrangement with any Person</w:t>
      </w:r>
      <w:r>
        <w:rPr>
          <w:rFonts w:ascii="Arial" w:cs="Arial" w:eastAsia="Arial" w:hAnsi="Arial"/>
          <w:sz w:val="14"/>
          <w:szCs w:val="14"/>
          <w:b w:val="1"/>
          <w:bCs w:val="1"/>
          <w:color w:val="auto"/>
        </w:rPr>
        <w:t xml:space="preserve"> </w:t>
      </w:r>
      <w:r>
        <w:rPr>
          <w:rFonts w:ascii="Arial" w:cs="Arial" w:eastAsia="Arial" w:hAnsi="Arial"/>
          <w:sz w:val="14"/>
          <w:szCs w:val="14"/>
          <w:color w:val="auto"/>
        </w:rPr>
        <w:t>whereby, in a substantially contemporaneous transaction, any Borrower or any Subsidiaries sells or transfers all or substantially all of its right, title and interest in an asset and, in connection therewith, acquires or leases back the right to use such asset.</w:t>
      </w:r>
    </w:p>
    <w:p>
      <w:pPr>
        <w:spacing w:after="0" w:line="120"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b w:val="1"/>
          <w:bCs w:val="1"/>
          <w:color w:val="auto"/>
        </w:rPr>
        <w:t xml:space="preserve">Section 5.14 </w:t>
      </w:r>
      <w:r>
        <w:rPr>
          <w:rFonts w:ascii="Arial" w:cs="Arial" w:eastAsia="Arial" w:hAnsi="Arial"/>
          <w:sz w:val="14"/>
          <w:szCs w:val="14"/>
          <w:u w:val="single" w:color="auto"/>
          <w:color w:val="auto"/>
        </w:rPr>
        <w:t>Deposit Accounts and Securities Accounts; Payroll and Benefits Accounts</w:t>
      </w:r>
      <w:r>
        <w:rPr>
          <w:rFonts w:ascii="Arial" w:cs="Arial" w:eastAsia="Arial" w:hAnsi="Arial"/>
          <w:sz w:val="14"/>
          <w:szCs w:val="14"/>
          <w:color w:val="auto"/>
        </w:rPr>
        <w:t>. No Borrower will, or will permit any Subsidiary (other than an Excluded Foreign Subsidiary or</w:t>
      </w:r>
      <w:r>
        <w:rPr>
          <w:rFonts w:ascii="Arial" w:cs="Arial" w:eastAsia="Arial" w:hAnsi="Arial"/>
          <w:sz w:val="14"/>
          <w:szCs w:val="14"/>
          <w:b w:val="1"/>
          <w:bCs w:val="1"/>
          <w:color w:val="auto"/>
        </w:rPr>
        <w:t xml:space="preserve"> </w:t>
      </w:r>
      <w:r>
        <w:rPr>
          <w:rFonts w:ascii="Arial" w:cs="Arial" w:eastAsia="Arial" w:hAnsi="Arial"/>
          <w:sz w:val="14"/>
          <w:szCs w:val="14"/>
          <w:color w:val="auto"/>
        </w:rPr>
        <w:t>an Excluded Domestic Holdco) to, directly or indirectly, establish any new Deposit Account or Securities Account</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53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28" w:right="319" w:bottom="1440" w:gutter="0" w:footer="0" w:header="0"/>
        </w:sectPr>
      </w:pPr>
    </w:p>
    <w:bookmarkStart w:id="115" w:name="page116"/>
    <w:bookmarkEnd w:id="115"/>
    <w:p>
      <w:pPr>
        <w:jc w:val="both"/>
        <w:ind w:left="140"/>
        <w:spacing w:after="0" w:line="263" w:lineRule="auto"/>
        <w:rPr>
          <w:sz w:val="20"/>
          <w:szCs w:val="20"/>
          <w:color w:val="auto"/>
        </w:rPr>
      </w:pPr>
      <w:r>
        <w:rPr>
          <w:rFonts w:ascii="Arial" w:cs="Arial" w:eastAsia="Arial" w:hAnsi="Arial"/>
          <w:sz w:val="13"/>
          <w:szCs w:val="13"/>
          <w:color w:val="auto"/>
        </w:rPr>
        <w:t xml:space="preserve">without prior written notice to Agent, and unless Agent, such Borrower or such Subsidiary and the bank, financial institution or securities intermediary at which the account is to be opened enter into a Deposit Account Control Agreement or Securities Account Control Agreement prior to or concurrently with the establishment of such Deposit Account or Securities Account. Borrowers represent and warrant that </w:t>
      </w:r>
      <w:r>
        <w:rPr>
          <w:rFonts w:ascii="Arial" w:cs="Arial" w:eastAsia="Arial" w:hAnsi="Arial"/>
          <w:sz w:val="13"/>
          <w:szCs w:val="13"/>
          <w:u w:val="single" w:color="auto"/>
          <w:color w:val="auto"/>
        </w:rPr>
        <w:t>Schedule 5.14</w:t>
      </w:r>
      <w:r>
        <w:rPr>
          <w:rFonts w:ascii="Arial" w:cs="Arial" w:eastAsia="Arial" w:hAnsi="Arial"/>
          <w:sz w:val="13"/>
          <w:szCs w:val="13"/>
          <w:color w:val="auto"/>
        </w:rPr>
        <w:t xml:space="preserve"> lists all of the Deposit Accounts and Securities Accounts of each Borrower. The provisions of this Section requiring Deposit Account Control Agreements shall not apply to (a) the Wells Fargo Cash Collateral Account, (b) the Wells Fargo LC Cash Collateral Account during the Wells Fargo LC Period, and (c) Deposit Accounts exclusively used for payroll, payroll taxes and other employee wage and benefit payments to or for the benefit of Borrowers’ employees and identified to Agent by Borrowers as such (the Deposit Accounts in clauses (a) through (c), collectively, “</w:t>
      </w:r>
      <w:r>
        <w:rPr>
          <w:rFonts w:ascii="Arial" w:cs="Arial" w:eastAsia="Arial" w:hAnsi="Arial"/>
          <w:sz w:val="13"/>
          <w:szCs w:val="13"/>
          <w:b w:val="1"/>
          <w:bCs w:val="1"/>
          <w:color w:val="auto"/>
        </w:rPr>
        <w:t>Excluded Accounts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 however</w:t>
      </w:r>
      <w:r>
        <w:rPr>
          <w:rFonts w:ascii="Arial" w:cs="Arial" w:eastAsia="Arial" w:hAnsi="Arial"/>
          <w:sz w:val="13"/>
          <w:szCs w:val="13"/>
          <w:color w:val="auto"/>
        </w:rPr>
        <w:t>, that at all times that any Obligations remain outstanding following the date that is thirty (30) days following the Closing Date (the “</w:t>
      </w:r>
      <w:r>
        <w:rPr>
          <w:rFonts w:ascii="Arial" w:cs="Arial" w:eastAsia="Arial" w:hAnsi="Arial"/>
          <w:sz w:val="13"/>
          <w:szCs w:val="13"/>
          <w:b w:val="1"/>
          <w:bCs w:val="1"/>
          <w:color w:val="auto"/>
        </w:rPr>
        <w:t>Post-Closing Payroll Account Period</w:t>
      </w:r>
      <w:r>
        <w:rPr>
          <w:rFonts w:ascii="Arial" w:cs="Arial" w:eastAsia="Arial" w:hAnsi="Arial"/>
          <w:sz w:val="13"/>
          <w:szCs w:val="13"/>
          <w:color w:val="auto"/>
        </w:rPr>
        <w:t>”), Borrower shall maintain one or more separate Deposit Accounts to hold any and all amounts to be used for payroll, payroll taxes and other employee wage and</w:t>
      </w:r>
      <w:r>
        <w:rPr>
          <w:rFonts w:ascii="Arial" w:cs="Arial" w:eastAsia="Arial" w:hAnsi="Arial"/>
          <w:sz w:val="13"/>
          <w:szCs w:val="13"/>
          <w:b w:val="1"/>
          <w:bCs w:val="1"/>
          <w:color w:val="auto"/>
        </w:rPr>
        <w:t xml:space="preserve"> </w:t>
      </w:r>
      <w:r>
        <w:rPr>
          <w:rFonts w:ascii="Arial" w:cs="Arial" w:eastAsia="Arial" w:hAnsi="Arial"/>
          <w:sz w:val="13"/>
          <w:szCs w:val="13"/>
          <w:color w:val="auto"/>
        </w:rPr>
        <w:t>benefit payments, and shall not commingle any monies allocated for such purposes with funds in any other Deposit Account. Without limiting the foregoing, to the extent that any Deposit Account that is a subject to a Deposit Account Control Agreement holds any amounts to be used for payroll, payroll taxes and other employee wage and benefit payments (collectively, “</w:t>
      </w:r>
      <w:r>
        <w:rPr>
          <w:rFonts w:ascii="Arial" w:cs="Arial" w:eastAsia="Arial" w:hAnsi="Arial"/>
          <w:sz w:val="13"/>
          <w:szCs w:val="13"/>
          <w:b w:val="1"/>
          <w:bCs w:val="1"/>
          <w:color w:val="auto"/>
        </w:rPr>
        <w:t>Payroll Amounts</w:t>
      </w:r>
      <w:r>
        <w:rPr>
          <w:rFonts w:ascii="Arial" w:cs="Arial" w:eastAsia="Arial" w:hAnsi="Arial"/>
          <w:sz w:val="13"/>
          <w:szCs w:val="13"/>
          <w:color w:val="auto"/>
        </w:rPr>
        <w:t>”) during the Post-Closing Payroll Account Period, Agent agrees that, upon its exercise of remedies following an Event of Default during such period, it will not direct any Payroll Amounts (that have been reasonably identified by Borrower to Agent as such) to be disposed of other than to pay the applicable payroll, payroll taxes and other employee wage and benefit payments obligations. With respect to accounts subject to a Deposit Account Control Agreement or Securities Account Control Agreement, Agent shall not deliver to the relevant depository, securities intermediary or commodities intermediary a notice or other instruction (i) directing disposition of funds in such account or (ii) which provides for exclusive control over such account by Agent, unless in either case an Event of Default has occurred and is continuing. Notwithstanding any other provision to the contrary contained herein, upon the expiration of the Wells Fargo LC Period, Borrowers shall promptly transfer all funds on deposit in the Wells Fargo LC Cash Collateral Account to a Deposit Account or Securities Account subject to a Deposit Account Control Agreement or a Securities Account Control Agreement in favor of Agent.</w:t>
      </w:r>
    </w:p>
    <w:p>
      <w:pPr>
        <w:spacing w:after="0" w:line="124" w:lineRule="exact"/>
        <w:rPr>
          <w:sz w:val="20"/>
          <w:szCs w:val="20"/>
          <w:color w:val="auto"/>
        </w:rPr>
      </w:pPr>
    </w:p>
    <w:p>
      <w:pPr>
        <w:jc w:val="both"/>
        <w:ind w:left="140" w:firstLine="836"/>
        <w:spacing w:after="0" w:line="245" w:lineRule="auto"/>
        <w:rPr>
          <w:sz w:val="20"/>
          <w:szCs w:val="20"/>
          <w:color w:val="auto"/>
        </w:rPr>
      </w:pPr>
      <w:r>
        <w:rPr>
          <w:rFonts w:ascii="Arial" w:cs="Arial" w:eastAsia="Arial" w:hAnsi="Arial"/>
          <w:sz w:val="14"/>
          <w:szCs w:val="14"/>
          <w:b w:val="1"/>
          <w:bCs w:val="1"/>
          <w:color w:val="auto"/>
        </w:rPr>
        <w:t xml:space="preserve">Section 5.15 </w:t>
      </w:r>
      <w:r>
        <w:rPr>
          <w:rFonts w:ascii="Arial" w:cs="Arial" w:eastAsia="Arial" w:hAnsi="Arial"/>
          <w:sz w:val="14"/>
          <w:szCs w:val="14"/>
          <w:u w:val="single" w:color="auto"/>
          <w:color w:val="auto"/>
        </w:rPr>
        <w:t>Compliance with Anti-Terrorism Laws</w:t>
      </w:r>
      <w:r>
        <w:rPr>
          <w:rFonts w:ascii="Arial" w:cs="Arial" w:eastAsia="Arial" w:hAnsi="Arial"/>
          <w:sz w:val="14"/>
          <w:szCs w:val="14"/>
          <w:color w:val="auto"/>
        </w:rPr>
        <w:t>. Agent hereby notifies Borrowers that pursuant to the requirements of Anti-Terrorism Laws, and Agent’s policies and practices,</w:t>
      </w:r>
      <w:r>
        <w:rPr>
          <w:rFonts w:ascii="Arial" w:cs="Arial" w:eastAsia="Arial" w:hAnsi="Arial"/>
          <w:sz w:val="14"/>
          <w:szCs w:val="14"/>
          <w:b w:val="1"/>
          <w:bCs w:val="1"/>
          <w:color w:val="auto"/>
        </w:rPr>
        <w:t xml:space="preserve"> </w:t>
      </w:r>
      <w:r>
        <w:rPr>
          <w:rFonts w:ascii="Arial" w:cs="Arial" w:eastAsia="Arial" w:hAnsi="Arial"/>
          <w:sz w:val="14"/>
          <w:szCs w:val="14"/>
          <w:color w:val="auto"/>
        </w:rPr>
        <w:t>Agent is required to obtain, verify and record certain information and documentation that identifies Borrowers and their principals, which information includes the name and address of each Borrower and its principals and such other information that will allow Agent to identify such party in accordance with Anti-Terrorism Laws. No Borrower will, or will permit any Subsidiary to, directly or indirectly, knowingly enter into any Material Contracts with any Blocked Person or any Person listed on the OFAC Lists. Each Borrower shall immediately notify Agent if such Borrower has knowledge that any Borrower, any additional Credit Party or any of their respective Affiliates or agents acting or benefiting in any capacity in connection with the transactions contemplated by this Agreement is or becomes a Blocked Person or (a) is convicted on,</w:t>
      </w:r>
    </w:p>
    <w:p>
      <w:pPr>
        <w:spacing w:after="0" w:line="4" w:lineRule="exact"/>
        <w:rPr>
          <w:sz w:val="20"/>
          <w:szCs w:val="20"/>
          <w:color w:val="auto"/>
        </w:rPr>
      </w:pPr>
    </w:p>
    <w:p>
      <w:pPr>
        <w:jc w:val="both"/>
        <w:ind w:left="140" w:firstLine="2"/>
        <w:spacing w:after="0" w:line="260" w:lineRule="auto"/>
        <w:tabs>
          <w:tab w:leader="none" w:pos="344" w:val="left"/>
        </w:tabs>
        <w:numPr>
          <w:ilvl w:val="0"/>
          <w:numId w:val="48"/>
        </w:numPr>
        <w:rPr>
          <w:rFonts w:ascii="Arial" w:cs="Arial" w:eastAsia="Arial" w:hAnsi="Arial"/>
          <w:sz w:val="13"/>
          <w:szCs w:val="13"/>
          <w:color w:val="auto"/>
        </w:rPr>
      </w:pPr>
      <w:r>
        <w:rPr>
          <w:rFonts w:ascii="Arial" w:cs="Arial" w:eastAsia="Arial" w:hAnsi="Arial"/>
          <w:sz w:val="13"/>
          <w:szCs w:val="13"/>
          <w:color w:val="auto"/>
        </w:rPr>
        <w:t>pleads nolo contendere to, (c) is indicted on, or (d) is arraigned and held over on charges involving money laundering or predicate crimes to money laundering. No Borrower will, or will permit any Subsidiary to, directly or indirectly, (i) conduct any business or engage in any transaction or dealing with any Blocked Person, including, without limitation, the making or receiving of any</w:t>
      </w:r>
    </w:p>
    <w:p>
      <w:pPr>
        <w:spacing w:after="0" w:line="1" w:lineRule="exact"/>
        <w:rPr>
          <w:sz w:val="20"/>
          <w:szCs w:val="20"/>
          <w:color w:val="auto"/>
        </w:rPr>
      </w:pPr>
    </w:p>
    <w:p>
      <w:pPr>
        <w:jc w:val="both"/>
        <w:ind w:left="140"/>
        <w:spacing w:after="0" w:line="246" w:lineRule="auto"/>
        <w:rPr>
          <w:sz w:val="20"/>
          <w:szCs w:val="20"/>
          <w:color w:val="auto"/>
        </w:rPr>
      </w:pPr>
      <w:r>
        <w:rPr>
          <w:rFonts w:ascii="Arial" w:cs="Arial" w:eastAsia="Arial" w:hAnsi="Arial"/>
          <w:sz w:val="14"/>
          <w:szCs w:val="14"/>
          <w:color w:val="auto"/>
        </w:rPr>
        <w:t>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295"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54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16" w:name="page117"/>
    <w:bookmarkEnd w:id="116"/>
    <w:p>
      <w:pPr>
        <w:jc w:val="both"/>
        <w:ind w:left="140" w:right="20" w:firstLine="837"/>
        <w:spacing w:after="0" w:line="313" w:lineRule="auto"/>
        <w:rPr>
          <w:sz w:val="20"/>
          <w:szCs w:val="20"/>
          <w:color w:val="auto"/>
        </w:rPr>
      </w:pPr>
      <w:r>
        <w:rPr>
          <w:rFonts w:ascii="Arial" w:cs="Arial" w:eastAsia="Arial" w:hAnsi="Arial"/>
          <w:sz w:val="13"/>
          <w:szCs w:val="13"/>
          <w:b w:val="1"/>
          <w:bCs w:val="1"/>
          <w:color w:val="auto"/>
        </w:rPr>
        <w:t xml:space="preserve">Section 5.16 </w:t>
      </w:r>
      <w:r>
        <w:rPr>
          <w:rFonts w:ascii="Arial" w:cs="Arial" w:eastAsia="Arial" w:hAnsi="Arial"/>
          <w:sz w:val="13"/>
          <w:szCs w:val="13"/>
          <w:u w:val="single" w:color="auto"/>
          <w:color w:val="auto"/>
        </w:rPr>
        <w:t>Change in Accounting</w:t>
      </w:r>
      <w:r>
        <w:rPr>
          <w:rFonts w:ascii="Arial" w:cs="Arial" w:eastAsia="Arial" w:hAnsi="Arial"/>
          <w:sz w:val="13"/>
          <w:szCs w:val="13"/>
          <w:color w:val="auto"/>
        </w:rPr>
        <w:t>. No Borrower shall, and no Borrower shall suffer or permit any of its Subsidiaries to, (i) make any significant change in accounting treatment or</w:t>
      </w:r>
      <w:r>
        <w:rPr>
          <w:rFonts w:ascii="Arial" w:cs="Arial" w:eastAsia="Arial" w:hAnsi="Arial"/>
          <w:sz w:val="13"/>
          <w:szCs w:val="13"/>
          <w:b w:val="1"/>
          <w:bCs w:val="1"/>
          <w:color w:val="auto"/>
        </w:rPr>
        <w:t xml:space="preserve"> </w:t>
      </w:r>
      <w:r>
        <w:rPr>
          <w:rFonts w:ascii="Arial" w:cs="Arial" w:eastAsia="Arial" w:hAnsi="Arial"/>
          <w:sz w:val="13"/>
          <w:szCs w:val="13"/>
          <w:color w:val="auto"/>
        </w:rPr>
        <w:t>reporting practices, except as required by GAAP or (ii) change the fiscal year or method for determining fiscal quarters of any Credit Party or of any consolidated Subsidiary of any Credit Party.</w:t>
      </w:r>
    </w:p>
    <w:p>
      <w:pPr>
        <w:spacing w:after="0" w:line="87" w:lineRule="exact"/>
        <w:rPr>
          <w:sz w:val="20"/>
          <w:szCs w:val="20"/>
          <w:color w:val="auto"/>
        </w:rPr>
      </w:pPr>
    </w:p>
    <w:p>
      <w:pPr>
        <w:jc w:val="center"/>
        <w:ind w:right="2140"/>
        <w:spacing w:after="0"/>
        <w:rPr>
          <w:sz w:val="20"/>
          <w:szCs w:val="20"/>
          <w:color w:val="auto"/>
        </w:rPr>
      </w:pPr>
      <w:r>
        <w:rPr>
          <w:rFonts w:ascii="Arial" w:cs="Arial" w:eastAsia="Arial" w:hAnsi="Arial"/>
          <w:sz w:val="14"/>
          <w:szCs w:val="14"/>
          <w:b w:val="1"/>
          <w:bCs w:val="1"/>
          <w:color w:val="auto"/>
        </w:rPr>
        <w:t>ARTICLE 6 - FINANCIAL COVENANTS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xml:space="preserve">Section 6.1 </w:t>
      </w:r>
      <w:r>
        <w:rPr>
          <w:rFonts w:ascii="Arial" w:cs="Arial" w:eastAsia="Arial" w:hAnsi="Arial"/>
          <w:sz w:val="14"/>
          <w:szCs w:val="14"/>
          <w:u w:val="single" w:color="auto"/>
          <w:color w:val="auto"/>
        </w:rPr>
        <w:t>Additional Defined Terms</w:t>
      </w:r>
      <w:r>
        <w:rPr>
          <w:rFonts w:ascii="Arial" w:cs="Arial" w:eastAsia="Arial" w:hAnsi="Arial"/>
          <w:sz w:val="14"/>
          <w:szCs w:val="14"/>
          <w:color w:val="auto"/>
        </w:rPr>
        <w:t>. The following additional definitions are hereby appended to Section 1.1 of this Agreement:</w:t>
      </w:r>
    </w:p>
    <w:p>
      <w:pPr>
        <w:spacing w:after="0" w:line="154" w:lineRule="exact"/>
        <w:rPr>
          <w:sz w:val="20"/>
          <w:szCs w:val="20"/>
          <w:color w:val="auto"/>
        </w:rPr>
      </w:pPr>
    </w:p>
    <w:p>
      <w:pPr>
        <w:jc w:val="both"/>
        <w:ind w:left="140" w:firstLine="837"/>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Borrower Unrestricted Cash</w:t>
      </w:r>
      <w:r>
        <w:rPr>
          <w:rFonts w:ascii="Arial" w:cs="Arial" w:eastAsia="Arial" w:hAnsi="Arial"/>
          <w:sz w:val="13"/>
          <w:szCs w:val="13"/>
          <w:color w:val="auto"/>
        </w:rPr>
        <w:t>” means the aggregate amount of unrestricted cash and cash equivalents of the Borrowers (including any such cash and cash equivalents that are restricted solely as a result of compliance with Section 6.3 of this Agreement) that (a) is held in the name of a Borrower in a Deposit Account or Securities Account that is subject to a Deposit Account Control Agreement or Securities Account Control Agreement, as applicable, in favor of Agent at a depository bank or financial institution located in the United States, (b) is not subject to any Lien (other than Permitted Liens), and (c) are not funds for the payment of a drawn or committed but unpaid draft, ACH or EFT transaction.</w:t>
      </w:r>
    </w:p>
    <w:p>
      <w:pPr>
        <w:spacing w:after="0" w:line="109"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Defined Period</w:t>
      </w:r>
      <w:r>
        <w:rPr>
          <w:rFonts w:ascii="Arial" w:cs="Arial" w:eastAsia="Arial" w:hAnsi="Arial"/>
          <w:sz w:val="14"/>
          <w:szCs w:val="14"/>
          <w:color w:val="auto"/>
        </w:rPr>
        <w:t>” means, for purposes of calculating minimum Net Commercial Product Revenue, for any given calendar quarter, the twelve (12) month period ending on the last day of such calendar quarter.</w:t>
      </w:r>
    </w:p>
    <w:p>
      <w:pPr>
        <w:spacing w:after="0" w:line="110" w:lineRule="exact"/>
        <w:rPr>
          <w:sz w:val="20"/>
          <w:szCs w:val="20"/>
          <w:color w:val="auto"/>
        </w:rPr>
      </w:pPr>
    </w:p>
    <w:p>
      <w:pPr>
        <w:jc w:val="both"/>
        <w:ind w:left="140" w:firstLine="837"/>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Commercial Product Revenue</w:t>
      </w:r>
      <w:r>
        <w:rPr>
          <w:rFonts w:ascii="Arial" w:cs="Arial" w:eastAsia="Arial" w:hAnsi="Arial"/>
          <w:sz w:val="14"/>
          <w:szCs w:val="14"/>
          <w:color w:val="auto"/>
        </w:rPr>
        <w:t>” means, for any period, (a) the consolidated gross revenues of Borrowers and their Subsidiaries generated solely through the commercial sale of the IXINITY product by Borrowers and their Subsidiaries during such period, less (b)(i) trade, quantity and cash discounts allowed by Borrowers, (ii) discounts, refunds, rebates, charge backs, retroactive price adjustments and any other allowances which effectively reduce net selling price and are not reflected in gross revenues,</w:t>
      </w:r>
    </w:p>
    <w:p>
      <w:pPr>
        <w:spacing w:after="0" w:line="2" w:lineRule="exact"/>
        <w:rPr>
          <w:sz w:val="20"/>
          <w:szCs w:val="20"/>
          <w:color w:val="auto"/>
        </w:rPr>
      </w:pPr>
    </w:p>
    <w:p>
      <w:pPr>
        <w:ind w:left="140" w:right="20" w:firstLine="2"/>
        <w:spacing w:after="0" w:line="250" w:lineRule="auto"/>
        <w:tabs>
          <w:tab w:leader="none" w:pos="668"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product returns and allowances, (iv) allowances for shipping or other distribution expenses, (iv) set- offs and counterclaims by customers, and (v) any other similar and customary deductions made by Borrowers and their Subsidiaries in determining net revenues, all, in respect of (a) and (b), as determined in accordance with GAAP.</w:t>
      </w:r>
    </w:p>
    <w:p>
      <w:pPr>
        <w:spacing w:after="0" w:line="116" w:lineRule="exact"/>
        <w:rPr>
          <w:sz w:val="20"/>
          <w:szCs w:val="20"/>
          <w:color w:val="auto"/>
        </w:rPr>
      </w:pPr>
    </w:p>
    <w:p>
      <w:pPr>
        <w:jc w:val="both"/>
        <w:ind w:left="140" w:right="20" w:firstLine="837"/>
        <w:spacing w:after="0" w:line="287" w:lineRule="auto"/>
        <w:rPr>
          <w:sz w:val="20"/>
          <w:szCs w:val="20"/>
          <w:color w:val="auto"/>
        </w:rPr>
      </w:pPr>
      <w:r>
        <w:rPr>
          <w:rFonts w:ascii="Arial" w:cs="Arial" w:eastAsia="Arial" w:hAnsi="Arial"/>
          <w:sz w:val="13"/>
          <w:szCs w:val="13"/>
          <w:b w:val="1"/>
          <w:bCs w:val="1"/>
          <w:color w:val="auto"/>
        </w:rPr>
        <w:t xml:space="preserve">Section 6.2 </w:t>
      </w:r>
      <w:r>
        <w:rPr>
          <w:rFonts w:ascii="Arial" w:cs="Arial" w:eastAsia="Arial" w:hAnsi="Arial"/>
          <w:sz w:val="13"/>
          <w:szCs w:val="13"/>
          <w:u w:val="single" w:color="auto"/>
          <w:color w:val="auto"/>
        </w:rPr>
        <w:t>Minimum Net Commercial Product Revenue</w:t>
      </w:r>
      <w:r>
        <w:rPr>
          <w:rFonts w:ascii="Arial" w:cs="Arial" w:eastAsia="Arial" w:hAnsi="Arial"/>
          <w:sz w:val="13"/>
          <w:szCs w:val="13"/>
          <w:color w:val="auto"/>
        </w:rPr>
        <w:t>. Borrowers shall not permit consolidated Net Commercial Product Revenue for any Defined Period, as tested quarterly, to be</w:t>
      </w:r>
      <w:r>
        <w:rPr>
          <w:rFonts w:ascii="Arial" w:cs="Arial" w:eastAsia="Arial" w:hAnsi="Arial"/>
          <w:sz w:val="13"/>
          <w:szCs w:val="13"/>
          <w:b w:val="1"/>
          <w:bCs w:val="1"/>
          <w:color w:val="auto"/>
        </w:rPr>
        <w:t xml:space="preserve"> </w:t>
      </w:r>
      <w:r>
        <w:rPr>
          <w:rFonts w:ascii="Arial" w:cs="Arial" w:eastAsia="Arial" w:hAnsi="Arial"/>
          <w:sz w:val="13"/>
          <w:szCs w:val="13"/>
          <w:color w:val="auto"/>
        </w:rPr>
        <w:t>less than the minimum amount set forth on Schedule 6.2 for such Defined Period. A breach of a financial covenant contained in this Section 6.2 shall be deemed to have occurred as of any date of determination by Agent or as of the last day of any specified Defined Period, regardless of when the financial statements reflecting such breach are delivered to Agent.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xml:space="preserve">Section 6.3  </w:t>
      </w:r>
      <w:r>
        <w:rPr>
          <w:rFonts w:ascii="Arial" w:cs="Arial" w:eastAsia="Arial" w:hAnsi="Arial"/>
          <w:sz w:val="14"/>
          <w:szCs w:val="14"/>
          <w:u w:val="single" w:color="auto"/>
          <w:color w:val="auto"/>
        </w:rPr>
        <w:t>Minimum Cash</w:t>
      </w:r>
      <w:r>
        <w:rPr>
          <w:rFonts w:ascii="Arial" w:cs="Arial" w:eastAsia="Arial" w:hAnsi="Arial"/>
          <w:sz w:val="14"/>
          <w:szCs w:val="14"/>
          <w:color w:val="auto"/>
        </w:rPr>
        <w:t>. Borrower shall not permit the Borrower Unrestricted Cash as of the close of business on any day to be less than $5,000,000.</w:t>
      </w:r>
    </w:p>
    <w:p>
      <w:pPr>
        <w:spacing w:after="0" w:line="154" w:lineRule="exact"/>
        <w:rPr>
          <w:sz w:val="20"/>
          <w:szCs w:val="20"/>
          <w:color w:val="auto"/>
        </w:rPr>
      </w:pPr>
    </w:p>
    <w:p>
      <w:pPr>
        <w:jc w:val="both"/>
        <w:ind w:left="140" w:right="20" w:firstLine="837"/>
        <w:spacing w:after="0" w:line="278" w:lineRule="auto"/>
        <w:rPr>
          <w:sz w:val="20"/>
          <w:szCs w:val="20"/>
          <w:color w:val="auto"/>
        </w:rPr>
      </w:pPr>
      <w:r>
        <w:rPr>
          <w:rFonts w:ascii="Arial" w:cs="Arial" w:eastAsia="Arial" w:hAnsi="Arial"/>
          <w:sz w:val="13"/>
          <w:szCs w:val="13"/>
          <w:b w:val="1"/>
          <w:bCs w:val="1"/>
          <w:color w:val="auto"/>
        </w:rPr>
        <w:t xml:space="preserve">Section 6.4 </w:t>
      </w:r>
      <w:r>
        <w:rPr>
          <w:rFonts w:ascii="Arial" w:cs="Arial" w:eastAsia="Arial" w:hAnsi="Arial"/>
          <w:sz w:val="13"/>
          <w:szCs w:val="13"/>
          <w:u w:val="single" w:color="auto"/>
          <w:color w:val="auto"/>
        </w:rPr>
        <w:t>Evidence of Compliance</w:t>
      </w:r>
      <w:r>
        <w:rPr>
          <w:rFonts w:ascii="Arial" w:cs="Arial" w:eastAsia="Arial" w:hAnsi="Arial"/>
          <w:sz w:val="13"/>
          <w:szCs w:val="13"/>
          <w:color w:val="auto"/>
        </w:rPr>
        <w:t>. Borrowers shall furnish to Agent, together with the monthly financial reporting required of Borrowers in this Agreement, a Compliance</w:t>
      </w:r>
      <w:r>
        <w:rPr>
          <w:rFonts w:ascii="Arial" w:cs="Arial" w:eastAsia="Arial" w:hAnsi="Arial"/>
          <w:sz w:val="13"/>
          <w:szCs w:val="13"/>
          <w:b w:val="1"/>
          <w:bCs w:val="1"/>
          <w:color w:val="auto"/>
        </w:rPr>
        <w:t xml:space="preserve"> </w:t>
      </w:r>
      <w:r>
        <w:rPr>
          <w:rFonts w:ascii="Arial" w:cs="Arial" w:eastAsia="Arial" w:hAnsi="Arial"/>
          <w:sz w:val="13"/>
          <w:szCs w:val="13"/>
          <w:color w:val="auto"/>
        </w:rPr>
        <w:t>Certificate as evidence of Borrowers’ compliance with the covenants in this Article and evidence that no Event of Default specified in this Article has occurred. The Compliance Certificate shall include, without limitation, (a) a statement and report, on a form reasonably approved by Agent, detailing Borrowers’ calculations, and (b) if requested by Agent, back-up documentation (including, without limitation, bank statements, invoices, receipts and other evidence of costs incurred during such quarter as Agent shall reasonably require) evidencing the propriety of the calculations.</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55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17" w:name="page118"/>
    <w:bookmarkEnd w:id="117"/>
    <w:p>
      <w:pPr>
        <w:ind w:left="4080"/>
        <w:spacing w:after="0"/>
        <w:rPr>
          <w:sz w:val="20"/>
          <w:szCs w:val="20"/>
          <w:color w:val="auto"/>
        </w:rPr>
      </w:pPr>
      <w:r>
        <w:rPr>
          <w:rFonts w:ascii="Arial" w:cs="Arial" w:eastAsia="Arial" w:hAnsi="Arial"/>
          <w:sz w:val="14"/>
          <w:szCs w:val="14"/>
          <w:b w:val="1"/>
          <w:bCs w:val="1"/>
          <w:color w:val="auto"/>
        </w:rPr>
        <w:t>ARTICLE 7 - CONDITIONS</w:t>
      </w:r>
    </w:p>
    <w:p>
      <w:pPr>
        <w:spacing w:after="0" w:line="154"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7.1 </w:t>
      </w:r>
      <w:r>
        <w:rPr>
          <w:rFonts w:ascii="Arial" w:cs="Arial" w:eastAsia="Arial" w:hAnsi="Arial"/>
          <w:sz w:val="14"/>
          <w:szCs w:val="14"/>
          <w:u w:val="single" w:color="auto"/>
          <w:color w:val="auto"/>
        </w:rPr>
        <w:t>Conditions to Closing</w:t>
      </w:r>
      <w:r>
        <w:rPr>
          <w:rFonts w:ascii="Arial" w:cs="Arial" w:eastAsia="Arial" w:hAnsi="Arial"/>
          <w:sz w:val="14"/>
          <w:szCs w:val="14"/>
          <w:color w:val="auto"/>
        </w:rPr>
        <w:t>. The obligation of each Lender to make the initial Loans on the Closing Date shall be subject to the receipt by Agent of each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document and instrument set forth on the closing checklist attached hereto as </w:t>
      </w:r>
      <w:r>
        <w:rPr>
          <w:rFonts w:ascii="Arial" w:cs="Arial" w:eastAsia="Arial" w:hAnsi="Arial"/>
          <w:sz w:val="14"/>
          <w:szCs w:val="14"/>
          <w:u w:val="single" w:color="auto"/>
          <w:color w:val="auto"/>
        </w:rPr>
        <w:t>Exhibit F</w:t>
      </w:r>
      <w:r>
        <w:rPr>
          <w:rFonts w:ascii="Arial" w:cs="Arial" w:eastAsia="Arial" w:hAnsi="Arial"/>
          <w:sz w:val="14"/>
          <w:szCs w:val="14"/>
          <w:color w:val="auto"/>
        </w:rPr>
        <w:t>, each in form and substance reasonably satisfactory to Agent, and to the satisfaction of the following conditions precedent, each to the reasonable satisfaction of Agent:</w:t>
      </w:r>
    </w:p>
    <w:p>
      <w:pPr>
        <w:sectPr>
          <w:pgSz w:w="11900" w:h="16838" w:orient="portrait"/>
          <w:cols w:equalWidth="0" w:num="1">
            <w:col w:w="11340"/>
          </w:cols>
          <w:pgMar w:left="240" w:top="161" w:right="319" w:bottom="1440" w:gutter="0" w:footer="0" w:header="0"/>
        </w:sectPr>
      </w:pPr>
    </w:p>
    <w:p>
      <w:pPr>
        <w:spacing w:after="0" w:line="12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20" w:firstLine="1429"/>
        <w:spacing w:after="0" w:line="268" w:lineRule="auto"/>
        <w:rPr>
          <w:sz w:val="20"/>
          <w:szCs w:val="20"/>
          <w:color w:val="auto"/>
        </w:rPr>
      </w:pPr>
      <w:r>
        <w:rPr>
          <w:rFonts w:ascii="Arial" w:cs="Arial" w:eastAsia="Arial" w:hAnsi="Arial"/>
          <w:sz w:val="14"/>
          <w:szCs w:val="14"/>
          <w:color w:val="auto"/>
        </w:rPr>
        <w:t>the receipt by Agent of executed counterparts of this Agreement and the other Financing Documents as set forth in the closing checklist provided by Agent to the Borrowers prior to the Closing Date;</w:t>
      </w:r>
    </w:p>
    <w:p>
      <w:pPr>
        <w:spacing w:after="0" w:line="118" w:lineRule="exact"/>
        <w:rPr>
          <w:sz w:val="20"/>
          <w:szCs w:val="20"/>
          <w:color w:val="auto"/>
        </w:rPr>
      </w:pPr>
    </w:p>
    <w:p>
      <w:pPr>
        <w:sectPr>
          <w:pgSz w:w="11900" w:h="16838" w:orient="portrait"/>
          <w:cols w:equalWidth="0" w:num="2">
            <w:col w:w="940" w:space="720"/>
            <w:col w:w="9680"/>
          </w:cols>
          <w:pgMar w:left="240" w:top="161"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12"/>
          <w:szCs w:val="12"/>
          <w:color w:val="auto"/>
        </w:rPr>
        <w:t>the payment of all fees, expenses and other amounts due and payable under each Financing Document;</w:t>
      </w:r>
    </w:p>
    <w:p>
      <w:pPr>
        <w:spacing w:after="0" w:line="177" w:lineRule="exact"/>
        <w:rPr>
          <w:sz w:val="20"/>
          <w:szCs w:val="20"/>
          <w:color w:val="auto"/>
        </w:rPr>
      </w:pPr>
    </w:p>
    <w:p>
      <w:pPr>
        <w:sectPr>
          <w:pgSz w:w="11900" w:h="16838" w:orient="portrait"/>
          <w:cols w:equalWidth="0" w:num="2">
            <w:col w:w="2380" w:space="720"/>
            <w:col w:w="8240"/>
          </w:cols>
          <w:pgMar w:left="240" w:top="161"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ind w:right="140" w:firstLine="1429"/>
        <w:spacing w:after="0" w:line="268" w:lineRule="auto"/>
        <w:rPr>
          <w:sz w:val="20"/>
          <w:szCs w:val="20"/>
          <w:color w:val="auto"/>
        </w:rPr>
      </w:pPr>
      <w:r>
        <w:rPr>
          <w:rFonts w:ascii="Arial" w:cs="Arial" w:eastAsia="Arial" w:hAnsi="Arial"/>
          <w:sz w:val="14"/>
          <w:szCs w:val="14"/>
          <w:color w:val="auto"/>
        </w:rPr>
        <w:t>since December 31, 2017, the absence of any material adverse change in any aspect of the business, operations, properties, or financial condition of any Credit Party, or any event or condition which would reasonably be expected to result in such a material adverse change;</w:t>
      </w:r>
    </w:p>
    <w:p>
      <w:pPr>
        <w:spacing w:after="0" w:line="118" w:lineRule="exact"/>
        <w:rPr>
          <w:sz w:val="20"/>
          <w:szCs w:val="20"/>
          <w:color w:val="auto"/>
        </w:rPr>
      </w:pPr>
    </w:p>
    <w:p>
      <w:pPr>
        <w:sectPr>
          <w:pgSz w:w="11900" w:h="16838" w:orient="portrait"/>
          <w:cols w:equalWidth="0" w:num="2">
            <w:col w:w="940" w:space="720"/>
            <w:col w:w="9680"/>
          </w:cols>
          <w:pgMar w:left="240" w:top="161" w:right="319" w:bottom="1440" w:gutter="0" w:footer="0" w:header="0"/>
          <w:type w:val="continuous"/>
        </w:sectPr>
      </w:pPr>
    </w:p>
    <w:p>
      <w:pPr>
        <w:jc w:val="both"/>
        <w:ind w:left="140" w:right="20" w:firstLine="837"/>
        <w:spacing w:after="0" w:line="307" w:lineRule="auto"/>
        <w:rPr>
          <w:sz w:val="20"/>
          <w:szCs w:val="20"/>
          <w:color w:val="auto"/>
        </w:rPr>
      </w:pPr>
      <w:r>
        <w:rPr>
          <w:rFonts w:ascii="Arial" w:cs="Arial" w:eastAsia="Arial" w:hAnsi="Arial"/>
          <w:sz w:val="13"/>
          <w:szCs w:val="13"/>
          <w:color w:val="auto"/>
        </w:rPr>
        <w:t>Each Lender, by delivering its signature page to this Agreement, shall be deemed to have acknowledged receipt of, and consented to and approved, each Financing Document, each additional Operative Document and each other document, agreement and/or instrument required to be approved by Agent, Required Lenders or Lenders, as applicable, on the Closing Date.</w:t>
      </w:r>
    </w:p>
    <w:p>
      <w:pPr>
        <w:spacing w:after="0" w:line="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color w:val="auto"/>
              </w:rPr>
              <w:t>conditions:</w:t>
            </w:r>
          </w:p>
        </w:tc>
        <w:tc>
          <w:tcPr>
            <w:tcW w:w="10440" w:type="dxa"/>
            <w:vAlign w:val="bottom"/>
            <w:gridSpan w:val="3"/>
          </w:tcPr>
          <w:p>
            <w:pPr>
              <w:ind w:left="100"/>
              <w:spacing w:after="0"/>
              <w:rPr>
                <w:sz w:val="20"/>
                <w:szCs w:val="20"/>
                <w:color w:val="auto"/>
              </w:rPr>
            </w:pPr>
            <w:r>
              <w:rPr>
                <w:rFonts w:ascii="Arial" w:cs="Arial" w:eastAsia="Arial" w:hAnsi="Arial"/>
                <w:sz w:val="14"/>
                <w:szCs w:val="14"/>
                <w:b w:val="1"/>
                <w:bCs w:val="1"/>
                <w:color w:val="auto"/>
                <w:w w:val="94"/>
              </w:rPr>
              <w:t xml:space="preserve">Section 7.2 </w:t>
            </w:r>
            <w:r>
              <w:rPr>
                <w:rFonts w:ascii="Arial" w:cs="Arial" w:eastAsia="Arial" w:hAnsi="Arial"/>
                <w:sz w:val="14"/>
                <w:szCs w:val="14"/>
                <w:color w:val="auto"/>
                <w:w w:val="94"/>
              </w:rPr>
              <w:t>Conditions to Each Loan. The obligation of the Lenders to make a Loan or an advance in respect of any Loan, is subject to the satisfaction of the following additional</w:t>
            </w:r>
          </w:p>
        </w:tc>
        <w:tc>
          <w:tcPr>
            <w:tcW w:w="0" w:type="dxa"/>
            <w:vAlign w:val="bottom"/>
          </w:tcPr>
          <w:p>
            <w:pPr>
              <w:spacing w:after="0"/>
              <w:rPr>
                <w:sz w:val="1"/>
                <w:szCs w:val="1"/>
                <w:color w:val="auto"/>
              </w:rPr>
            </w:pPr>
          </w:p>
        </w:tc>
      </w:tr>
      <w:tr>
        <w:trPr>
          <w:trHeight w:val="175"/>
        </w:trPr>
        <w:tc>
          <w:tcPr>
            <w:tcW w:w="74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740" w:type="dxa"/>
            <w:vAlign w:val="bottom"/>
          </w:tcPr>
          <w:p>
            <w:pPr>
              <w:ind w:left="80"/>
              <w:spacing w:after="0"/>
              <w:rPr>
                <w:sz w:val="20"/>
                <w:szCs w:val="20"/>
                <w:color w:val="auto"/>
              </w:rPr>
            </w:pPr>
            <w:r>
              <w:rPr>
                <w:rFonts w:ascii="Arial" w:cs="Arial" w:eastAsia="Arial" w:hAnsi="Arial"/>
                <w:sz w:val="14"/>
                <w:szCs w:val="14"/>
                <w:color w:val="auto"/>
              </w:rPr>
              <w:t>(a)</w:t>
            </w:r>
          </w:p>
        </w:tc>
        <w:tc>
          <w:tcPr>
            <w:tcW w:w="800" w:type="dxa"/>
            <w:vAlign w:val="bottom"/>
          </w:tcPr>
          <w:p>
            <w:pPr>
              <w:spacing w:after="0"/>
              <w:rPr>
                <w:sz w:val="24"/>
                <w:szCs w:val="24"/>
                <w:color w:val="auto"/>
              </w:rPr>
            </w:pPr>
          </w:p>
        </w:tc>
        <w:tc>
          <w:tcPr>
            <w:tcW w:w="9640" w:type="dxa"/>
            <w:vAlign w:val="bottom"/>
            <w:gridSpan w:val="2"/>
          </w:tcPr>
          <w:p>
            <w:pPr>
              <w:ind w:left="1400"/>
              <w:spacing w:after="0"/>
              <w:rPr>
                <w:sz w:val="20"/>
                <w:szCs w:val="20"/>
                <w:color w:val="auto"/>
              </w:rPr>
            </w:pPr>
            <w:r>
              <w:rPr>
                <w:rFonts w:ascii="Arial" w:cs="Arial" w:eastAsia="Arial" w:hAnsi="Arial"/>
                <w:sz w:val="14"/>
                <w:szCs w:val="14"/>
                <w:color w:val="auto"/>
              </w:rPr>
              <w:t>the fact that, immediately before and after such advance, no Default or Event of Default shall have occurred and be continuing;</w:t>
            </w:r>
          </w:p>
        </w:tc>
        <w:tc>
          <w:tcPr>
            <w:tcW w:w="0" w:type="dxa"/>
            <w:vAlign w:val="bottom"/>
          </w:tcPr>
          <w:p>
            <w:pPr>
              <w:spacing w:after="0"/>
              <w:rPr>
                <w:sz w:val="1"/>
                <w:szCs w:val="1"/>
                <w:color w:val="auto"/>
              </w:rPr>
            </w:pPr>
          </w:p>
        </w:tc>
      </w:tr>
      <w:tr>
        <w:trPr>
          <w:trHeight w:val="299"/>
        </w:trPr>
        <w:tc>
          <w:tcPr>
            <w:tcW w:w="740" w:type="dxa"/>
            <w:vAlign w:val="bottom"/>
          </w:tcPr>
          <w:p>
            <w:pPr>
              <w:ind w:left="80"/>
              <w:spacing w:after="0"/>
              <w:rPr>
                <w:sz w:val="20"/>
                <w:szCs w:val="20"/>
                <w:color w:val="auto"/>
              </w:rPr>
            </w:pPr>
            <w:r>
              <w:rPr>
                <w:rFonts w:ascii="Arial" w:cs="Arial" w:eastAsia="Arial" w:hAnsi="Arial"/>
                <w:sz w:val="14"/>
                <w:szCs w:val="14"/>
                <w:color w:val="auto"/>
              </w:rPr>
              <w:t>(b)</w:t>
            </w:r>
          </w:p>
        </w:tc>
        <w:tc>
          <w:tcPr>
            <w:tcW w:w="800" w:type="dxa"/>
            <w:vAlign w:val="bottom"/>
          </w:tcPr>
          <w:p>
            <w:pPr>
              <w:spacing w:after="0"/>
              <w:rPr>
                <w:sz w:val="24"/>
                <w:szCs w:val="24"/>
                <w:color w:val="auto"/>
              </w:rPr>
            </w:pPr>
          </w:p>
        </w:tc>
        <w:tc>
          <w:tcPr>
            <w:tcW w:w="9640" w:type="dxa"/>
            <w:vAlign w:val="bottom"/>
            <w:gridSpan w:val="2"/>
          </w:tcPr>
          <w:p>
            <w:pPr>
              <w:ind w:left="1420"/>
              <w:spacing w:after="0"/>
              <w:rPr>
                <w:sz w:val="20"/>
                <w:szCs w:val="20"/>
                <w:color w:val="auto"/>
              </w:rPr>
            </w:pPr>
            <w:r>
              <w:rPr>
                <w:rFonts w:ascii="Arial" w:cs="Arial" w:eastAsia="Arial" w:hAnsi="Arial"/>
                <w:sz w:val="14"/>
                <w:szCs w:val="14"/>
                <w:color w:val="auto"/>
                <w:w w:val="91"/>
              </w:rPr>
              <w:t>the fact that the representations and warranties of each Credit Party contained in the Financing Documents shall be true, correct and complete on</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0440" w:type="dxa"/>
            <w:vAlign w:val="bottom"/>
            <w:gridSpan w:val="3"/>
          </w:tcPr>
          <w:p>
            <w:pPr>
              <w:ind w:left="780"/>
              <w:spacing w:after="0"/>
              <w:rPr>
                <w:sz w:val="20"/>
                <w:szCs w:val="20"/>
                <w:color w:val="auto"/>
              </w:rPr>
            </w:pPr>
            <w:r>
              <w:rPr>
                <w:rFonts w:ascii="Arial" w:cs="Arial" w:eastAsia="Arial" w:hAnsi="Arial"/>
                <w:sz w:val="14"/>
                <w:szCs w:val="14"/>
                <w:color w:val="auto"/>
                <w:w w:val="89"/>
              </w:rPr>
              <w:t>and as of the Closing Date, except to the extent that any such representation or warranty relates to a specific date (in which case such representation or warranty shall be true</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10440" w:type="dxa"/>
            <w:vAlign w:val="bottom"/>
            <w:gridSpan w:val="3"/>
          </w:tcPr>
          <w:p>
            <w:pPr>
              <w:ind w:left="780"/>
              <w:spacing w:after="0"/>
              <w:rPr>
                <w:sz w:val="20"/>
                <w:szCs w:val="20"/>
                <w:color w:val="auto"/>
              </w:rPr>
            </w:pPr>
            <w:r>
              <w:rPr>
                <w:rFonts w:ascii="Arial" w:cs="Arial" w:eastAsia="Arial" w:hAnsi="Arial"/>
                <w:sz w:val="14"/>
                <w:szCs w:val="14"/>
                <w:color w:val="auto"/>
              </w:rPr>
              <w:t>and correct as of such earlier date); and</w:t>
            </w:r>
          </w:p>
        </w:tc>
        <w:tc>
          <w:tcPr>
            <w:tcW w:w="0" w:type="dxa"/>
            <w:vAlign w:val="bottom"/>
          </w:tcPr>
          <w:p>
            <w:pPr>
              <w:spacing w:after="0"/>
              <w:rPr>
                <w:sz w:val="1"/>
                <w:szCs w:val="1"/>
                <w:color w:val="auto"/>
              </w:rPr>
            </w:pPr>
          </w:p>
        </w:tc>
      </w:tr>
      <w:tr>
        <w:trPr>
          <w:trHeight w:val="315"/>
        </w:trPr>
        <w:tc>
          <w:tcPr>
            <w:tcW w:w="740" w:type="dxa"/>
            <w:vAlign w:val="bottom"/>
          </w:tcPr>
          <w:p>
            <w:pPr>
              <w:ind w:left="80"/>
              <w:spacing w:after="0"/>
              <w:rPr>
                <w:sz w:val="20"/>
                <w:szCs w:val="20"/>
                <w:color w:val="auto"/>
              </w:rPr>
            </w:pPr>
            <w:r>
              <w:rPr>
                <w:rFonts w:ascii="Arial" w:cs="Arial" w:eastAsia="Arial" w:hAnsi="Arial"/>
                <w:sz w:val="14"/>
                <w:szCs w:val="14"/>
                <w:color w:val="auto"/>
              </w:rPr>
              <w:t>(c)</w:t>
            </w:r>
          </w:p>
        </w:tc>
        <w:tc>
          <w:tcPr>
            <w:tcW w:w="800" w:type="dxa"/>
            <w:vAlign w:val="bottom"/>
          </w:tcPr>
          <w:p>
            <w:pPr>
              <w:spacing w:after="0"/>
              <w:rPr>
                <w:sz w:val="24"/>
                <w:szCs w:val="24"/>
                <w:color w:val="auto"/>
              </w:rPr>
            </w:pPr>
          </w:p>
        </w:tc>
        <w:tc>
          <w:tcPr>
            <w:tcW w:w="9640" w:type="dxa"/>
            <w:vAlign w:val="bottom"/>
            <w:gridSpan w:val="2"/>
          </w:tcPr>
          <w:p>
            <w:pPr>
              <w:ind w:left="1420"/>
              <w:spacing w:after="0"/>
              <w:rPr>
                <w:sz w:val="20"/>
                <w:szCs w:val="20"/>
                <w:color w:val="auto"/>
              </w:rPr>
            </w:pPr>
            <w:r>
              <w:rPr>
                <w:rFonts w:ascii="Arial" w:cs="Arial" w:eastAsia="Arial" w:hAnsi="Arial"/>
                <w:sz w:val="14"/>
                <w:szCs w:val="14"/>
                <w:color w:val="auto"/>
              </w:rPr>
              <w:t>since the Closing Date, no event has occurred which would be reasonably likely to have a Material Adverse Effect.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left="140" w:right="20" w:firstLine="837"/>
        <w:spacing w:after="0" w:line="268" w:lineRule="auto"/>
        <w:rPr>
          <w:sz w:val="20"/>
          <w:szCs w:val="20"/>
          <w:color w:val="auto"/>
        </w:rPr>
      </w:pPr>
      <w:r>
        <w:rPr>
          <w:rFonts w:ascii="Arial" w:cs="Arial" w:eastAsia="Arial" w:hAnsi="Arial"/>
          <w:sz w:val="14"/>
          <w:szCs w:val="14"/>
          <w:color w:val="auto"/>
        </w:rPr>
        <w:t>Each giving of a Notice of Borrowing hereunder and each acceptance by any Borrower of the proceeds of any Loan made hereunder shall be deemed to be a representation and warranty by each Borrower on the date of such notice or acceptance as to the satisfaction of the conditions specified in this Section.</w:t>
      </w:r>
    </w:p>
    <w:p>
      <w:pPr>
        <w:spacing w:after="0" w:line="114" w:lineRule="exact"/>
        <w:rPr>
          <w:sz w:val="20"/>
          <w:szCs w:val="20"/>
          <w:color w:val="auto"/>
        </w:rPr>
      </w:pPr>
    </w:p>
    <w:p>
      <w:pPr>
        <w:jc w:val="both"/>
        <w:ind w:left="140" w:right="20" w:firstLine="836"/>
        <w:spacing w:after="0" w:line="250" w:lineRule="auto"/>
        <w:rPr>
          <w:sz w:val="20"/>
          <w:szCs w:val="20"/>
          <w:color w:val="auto"/>
        </w:rPr>
      </w:pPr>
      <w:r>
        <w:rPr>
          <w:rFonts w:ascii="Arial" w:cs="Arial" w:eastAsia="Arial" w:hAnsi="Arial"/>
          <w:sz w:val="14"/>
          <w:szCs w:val="14"/>
          <w:b w:val="1"/>
          <w:bCs w:val="1"/>
          <w:color w:val="auto"/>
        </w:rPr>
        <w:t xml:space="preserve">Section 7.3 </w:t>
      </w:r>
      <w:r>
        <w:rPr>
          <w:rFonts w:ascii="Arial" w:cs="Arial" w:eastAsia="Arial" w:hAnsi="Arial"/>
          <w:sz w:val="14"/>
          <w:szCs w:val="14"/>
          <w:u w:val="single" w:color="auto"/>
          <w:color w:val="auto"/>
        </w:rPr>
        <w:t>Searches</w:t>
      </w:r>
      <w:r>
        <w:rPr>
          <w:rFonts w:ascii="Arial" w:cs="Arial" w:eastAsia="Arial" w:hAnsi="Arial"/>
          <w:sz w:val="14"/>
          <w:szCs w:val="14"/>
          <w:color w:val="auto"/>
        </w:rPr>
        <w:t>. Before the Original Closing Date, and thereafter (as and when determined by Agent in its discretion), Agent shall have the right to perform, all at Borrowers’</w:t>
      </w:r>
      <w:r>
        <w:rPr>
          <w:rFonts w:ascii="Arial" w:cs="Arial" w:eastAsia="Arial" w:hAnsi="Arial"/>
          <w:sz w:val="14"/>
          <w:szCs w:val="14"/>
          <w:b w:val="1"/>
          <w:bCs w:val="1"/>
          <w:color w:val="auto"/>
        </w:rPr>
        <w:t xml:space="preserve"> </w:t>
      </w:r>
      <w:r>
        <w:rPr>
          <w:rFonts w:ascii="Arial" w:cs="Arial" w:eastAsia="Arial" w:hAnsi="Arial"/>
          <w:sz w:val="14"/>
          <w:szCs w:val="14"/>
          <w:color w:val="auto"/>
        </w:rPr>
        <w:t>reasonable expense, the searches described in clauses (a), (b), and (c) below against Borrowers and any other Credit Party, the results of which are to be consistent with Borrowers’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w:t>
      </w:r>
    </w:p>
    <w:p>
      <w:pPr>
        <w:spacing w:after="0" w:line="29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56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type w:val="continuous"/>
        </w:sectPr>
      </w:pPr>
    </w:p>
    <w:bookmarkStart w:id="118" w:name="page119"/>
    <w:bookmarkEnd w:id="118"/>
    <w:p>
      <w:pPr>
        <w:jc w:val="both"/>
        <w:ind w:left="140" w:right="20"/>
        <w:spacing w:after="0" w:line="268" w:lineRule="auto"/>
        <w:rPr>
          <w:sz w:val="20"/>
          <w:szCs w:val="20"/>
          <w:color w:val="auto"/>
        </w:rPr>
      </w:pPr>
      <w:r>
        <w:rPr>
          <w:rFonts w:ascii="Arial" w:cs="Arial" w:eastAsia="Arial" w:hAnsi="Arial"/>
          <w:sz w:val="14"/>
          <w:szCs w:val="14"/>
          <w:color w:val="auto"/>
        </w:rPr>
        <w:t>applicable corporate, limited liability company, partnership and related records to confirm the continued existence, organization and good standing of the applicable Person and the exact legal name under which such Person is organized.</w:t>
      </w:r>
    </w:p>
    <w:p>
      <w:pPr>
        <w:spacing w:after="0" w:line="114"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7.4 </w:t>
      </w:r>
      <w:r>
        <w:rPr>
          <w:rFonts w:ascii="Arial" w:cs="Arial" w:eastAsia="Arial" w:hAnsi="Arial"/>
          <w:sz w:val="14"/>
          <w:szCs w:val="14"/>
          <w:u w:val="single" w:color="auto"/>
          <w:color w:val="auto"/>
        </w:rPr>
        <w:t>Post Closing Requirements</w:t>
      </w:r>
      <w:r>
        <w:rPr>
          <w:rFonts w:ascii="Arial" w:cs="Arial" w:eastAsia="Arial" w:hAnsi="Arial"/>
          <w:sz w:val="14"/>
          <w:szCs w:val="14"/>
          <w:color w:val="auto"/>
        </w:rPr>
        <w:t>. Borrowers shall complete each of the post closing obligations and/or provide to Agent each of the documents, instruments, agreements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information listed on </w:t>
      </w:r>
      <w:r>
        <w:rPr>
          <w:rFonts w:ascii="Arial" w:cs="Arial" w:eastAsia="Arial" w:hAnsi="Arial"/>
          <w:sz w:val="14"/>
          <w:szCs w:val="14"/>
          <w:u w:val="single" w:color="auto"/>
          <w:color w:val="auto"/>
        </w:rPr>
        <w:t>Schedule 7.4</w:t>
      </w:r>
      <w:r>
        <w:rPr>
          <w:rFonts w:ascii="Arial" w:cs="Arial" w:eastAsia="Arial" w:hAnsi="Arial"/>
          <w:sz w:val="14"/>
          <w:szCs w:val="14"/>
          <w:color w:val="auto"/>
        </w:rPr>
        <w:t xml:space="preserve"> attached hereto on or before the date set forth for each such item thereon (or such later date as Agent may agree in its sole discretion), each of which shall be completed or provided in form and substance reasonably satisfactory to Agent.</w:t>
      </w:r>
    </w:p>
    <w:p>
      <w:pPr>
        <w:spacing w:after="0" w:line="120"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ARTICLE 8 – REGULATORY MATTERS</w:t>
      </w:r>
    </w:p>
    <w:p>
      <w:pPr>
        <w:spacing w:after="0" w:line="154" w:lineRule="exact"/>
        <w:rPr>
          <w:sz w:val="20"/>
          <w:szCs w:val="20"/>
          <w:color w:val="auto"/>
        </w:rPr>
      </w:pPr>
    </w:p>
    <w:p>
      <w:pPr>
        <w:ind w:left="1000"/>
        <w:spacing w:after="0"/>
        <w:tabs>
          <w:tab w:leader="none" w:pos="3080" w:val="left"/>
        </w:tabs>
        <w:rPr>
          <w:sz w:val="20"/>
          <w:szCs w:val="20"/>
          <w:color w:val="auto"/>
        </w:rPr>
      </w:pPr>
      <w:r>
        <w:rPr>
          <w:rFonts w:ascii="Arial" w:cs="Arial" w:eastAsia="Arial" w:hAnsi="Arial"/>
          <w:sz w:val="14"/>
          <w:szCs w:val="14"/>
          <w:b w:val="1"/>
          <w:bCs w:val="1"/>
          <w:color w:val="auto"/>
        </w:rPr>
        <w:t>Section 8.1</w:t>
      </w:r>
      <w:r>
        <w:rPr>
          <w:sz w:val="20"/>
          <w:szCs w:val="20"/>
          <w:color w:val="auto"/>
        </w:rPr>
        <w:tab/>
      </w:r>
      <w:r>
        <w:rPr>
          <w:rFonts w:ascii="Arial" w:cs="Arial" w:eastAsia="Arial" w:hAnsi="Arial"/>
          <w:sz w:val="10"/>
          <w:szCs w:val="10"/>
          <w:color w:val="auto"/>
        </w:rPr>
        <w:t>Reserved.</w:t>
      </w:r>
    </w:p>
    <w:p>
      <w:pPr>
        <w:spacing w:after="0" w:line="154" w:lineRule="exact"/>
        <w:rPr>
          <w:sz w:val="20"/>
          <w:szCs w:val="20"/>
          <w:color w:val="auto"/>
        </w:rPr>
      </w:pPr>
    </w:p>
    <w:p>
      <w:pPr>
        <w:jc w:val="both"/>
        <w:ind w:left="140" w:firstLine="837"/>
        <w:spacing w:after="0" w:line="249" w:lineRule="auto"/>
        <w:rPr>
          <w:sz w:val="20"/>
          <w:szCs w:val="20"/>
          <w:color w:val="auto"/>
        </w:rPr>
      </w:pPr>
      <w:r>
        <w:rPr>
          <w:rFonts w:ascii="Arial" w:cs="Arial" w:eastAsia="Arial" w:hAnsi="Arial"/>
          <w:sz w:val="14"/>
          <w:szCs w:val="14"/>
          <w:b w:val="1"/>
          <w:bCs w:val="1"/>
          <w:color w:val="auto"/>
        </w:rPr>
        <w:t xml:space="preserve">Section 8.2 </w:t>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To induce Agent and Lenders to enter into this Agreement and to make credit accommodations contemplated hereby, Borrowers hereby</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 and warrant that all of the information regarding the Borrowers set forth in Schedule 8.2(a) is true, complete and correct, and that, except as disclosed in Schedule 8.2(b), the following statements are true, complete and correct as of the Closing Date, and Borrowers hereby covenant and agree to notify Agent within three</w:t>
      </w:r>
    </w:p>
    <w:p>
      <w:pPr>
        <w:spacing w:after="0" w:line="2" w:lineRule="exact"/>
        <w:rPr>
          <w:sz w:val="20"/>
          <w:szCs w:val="20"/>
          <w:color w:val="auto"/>
        </w:rPr>
      </w:pPr>
    </w:p>
    <w:p>
      <w:pPr>
        <w:jc w:val="both"/>
        <w:ind w:left="140" w:firstLine="3"/>
        <w:spacing w:after="0" w:line="269" w:lineRule="auto"/>
        <w:tabs>
          <w:tab w:leader="none" w:pos="593" w:val="left"/>
        </w:tabs>
        <w:numPr>
          <w:ilvl w:val="0"/>
          <w:numId w:val="50"/>
        </w:numPr>
        <w:rPr>
          <w:rFonts w:ascii="Arial" w:cs="Arial" w:eastAsia="Arial" w:hAnsi="Arial"/>
          <w:sz w:val="13"/>
          <w:szCs w:val="13"/>
          <w:color w:val="auto"/>
        </w:rPr>
      </w:pPr>
      <w:r>
        <w:rPr>
          <w:rFonts w:ascii="Arial" w:cs="Arial" w:eastAsia="Arial" w:hAnsi="Arial"/>
          <w:sz w:val="13"/>
          <w:szCs w:val="13"/>
          <w:color w:val="auto"/>
        </w:rPr>
        <w:t>Business Days (but in any event prior to Borrowers submitting any requests for advances of reserves or escrows or fundings of credit facility proceeds under this Agreement) following the occurrence of any facts, events or circumstances known to a Borrower, whether threatened, existing or pending, that would make any of the following representations and warranties materially untrue, incomplete or incorrect (together with such supporting data and information as shall be necessary to fully explain to Agent the scope and nature of the fact, event or circumstance), and shall provide to Agent within two (2) Business Days of Agent’s request, such additional information as Agent shall request regarding such disclosure:</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60" w:type="dxa"/>
            <w:vAlign w:val="bottom"/>
          </w:tcPr>
          <w:p>
            <w:pPr>
              <w:ind w:left="1680"/>
              <w:spacing w:after="0"/>
              <w:rPr>
                <w:sz w:val="20"/>
                <w:szCs w:val="20"/>
                <w:color w:val="auto"/>
              </w:rPr>
            </w:pPr>
            <w:r>
              <w:rPr>
                <w:rFonts w:ascii="Arial" w:cs="Arial" w:eastAsia="Arial" w:hAnsi="Arial"/>
                <w:sz w:val="14"/>
                <w:szCs w:val="14"/>
                <w:color w:val="auto"/>
              </w:rPr>
              <w:t>(a)</w:t>
            </w:r>
          </w:p>
        </w:tc>
        <w:tc>
          <w:tcPr>
            <w:tcW w:w="340" w:type="dxa"/>
            <w:vAlign w:val="bottom"/>
          </w:tcPr>
          <w:p>
            <w:pPr>
              <w:spacing w:after="0"/>
              <w:rPr>
                <w:sz w:val="14"/>
                <w:szCs w:val="14"/>
                <w:color w:val="auto"/>
              </w:rPr>
            </w:pPr>
          </w:p>
        </w:tc>
        <w:tc>
          <w:tcPr>
            <w:tcW w:w="7780" w:type="dxa"/>
            <w:vAlign w:val="bottom"/>
            <w:gridSpan w:val="5"/>
          </w:tcPr>
          <w:p>
            <w:pPr>
              <w:spacing w:after="0"/>
              <w:rPr>
                <w:sz w:val="20"/>
                <w:szCs w:val="20"/>
                <w:color w:val="auto"/>
              </w:rPr>
            </w:pPr>
            <w:r>
              <w:rPr>
                <w:rFonts w:ascii="Arial" w:cs="Arial" w:eastAsia="Arial" w:hAnsi="Arial"/>
                <w:sz w:val="14"/>
                <w:szCs w:val="14"/>
                <w:color w:val="auto"/>
                <w:w w:val="88"/>
              </w:rPr>
              <w:t>Disclosure. All of Borrower’s Products and Regulatory Required Permits are listed on Schedule 8.2(a) (as updated from time to time pursuant</w:t>
            </w:r>
          </w:p>
        </w:tc>
      </w:tr>
      <w:tr>
        <w:trPr>
          <w:trHeight w:val="175"/>
        </w:trPr>
        <w:tc>
          <w:tcPr>
            <w:tcW w:w="2960" w:type="dxa"/>
            <w:vAlign w:val="bottom"/>
          </w:tcPr>
          <w:p>
            <w:pPr>
              <w:spacing w:after="0"/>
              <w:rPr>
                <w:sz w:val="20"/>
                <w:szCs w:val="20"/>
                <w:color w:val="auto"/>
              </w:rPr>
            </w:pPr>
            <w:r>
              <w:rPr>
                <w:rFonts w:ascii="Arial" w:cs="Arial" w:eastAsia="Arial" w:hAnsi="Arial"/>
                <w:sz w:val="14"/>
                <w:szCs w:val="14"/>
                <w:color w:val="auto"/>
              </w:rPr>
              <w:t>to Section 4.15).</w:t>
            </w:r>
          </w:p>
        </w:tc>
        <w:tc>
          <w:tcPr>
            <w:tcW w:w="3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20" w:type="dxa"/>
            <w:vAlign w:val="bottom"/>
          </w:tcPr>
          <w:p>
            <w:pPr>
              <w:spacing w:after="0"/>
              <w:rPr>
                <w:sz w:val="15"/>
                <w:szCs w:val="15"/>
                <w:color w:val="auto"/>
              </w:rPr>
            </w:pPr>
          </w:p>
        </w:tc>
      </w:tr>
      <w:tr>
        <w:trPr>
          <w:trHeight w:val="273"/>
        </w:trPr>
        <w:tc>
          <w:tcPr>
            <w:tcW w:w="2960" w:type="dxa"/>
            <w:vAlign w:val="bottom"/>
          </w:tcPr>
          <w:p>
            <w:pPr>
              <w:ind w:left="80"/>
              <w:spacing w:after="0"/>
              <w:rPr>
                <w:sz w:val="20"/>
                <w:szCs w:val="20"/>
                <w:color w:val="auto"/>
              </w:rPr>
            </w:pPr>
            <w:r>
              <w:rPr>
                <w:rFonts w:ascii="Arial" w:cs="Arial" w:eastAsia="Arial" w:hAnsi="Arial"/>
                <w:sz w:val="14"/>
                <w:szCs w:val="14"/>
                <w:color w:val="auto"/>
              </w:rPr>
              <w:t>(b)</w:t>
            </w:r>
          </w:p>
        </w:tc>
        <w:tc>
          <w:tcPr>
            <w:tcW w:w="8120" w:type="dxa"/>
            <w:vAlign w:val="bottom"/>
            <w:gridSpan w:val="6"/>
          </w:tcPr>
          <w:p>
            <w:pPr>
              <w:spacing w:after="0"/>
              <w:rPr>
                <w:sz w:val="20"/>
                <w:szCs w:val="20"/>
                <w:color w:val="auto"/>
              </w:rPr>
            </w:pPr>
            <w:r>
              <w:rPr>
                <w:rFonts w:ascii="Arial" w:cs="Arial" w:eastAsia="Arial" w:hAnsi="Arial"/>
                <w:sz w:val="14"/>
                <w:szCs w:val="14"/>
                <w:color w:val="auto"/>
                <w:w w:val="90"/>
              </w:rPr>
              <w:t>Permits. Borrowers have (i) each material Permit , and have made all material declarations and filings relating to such Permits with, all applicable</w:t>
            </w:r>
          </w:p>
        </w:tc>
      </w:tr>
      <w:tr>
        <w:trPr>
          <w:trHeight w:val="20"/>
        </w:trPr>
        <w:tc>
          <w:tcPr>
            <w:tcW w:w="29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88"/>
              </w:rPr>
              <w:t>Governmental Authorities, all self regulatory authorities and all courts and other tribunals necessary to engage in the ownership, management and operation of the business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2"/>
              </w:rPr>
              <w:t>the assets of any Borrower, and (ii) received no written notice from any Governmental Authority stating that it is limiting, suspending or revoking any such Permit where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0"/>
              </w:rPr>
              <w:t>such limiting, suspending or revoking would reasonably be expected to have a Material Adverse Effect. Borrower has delivered to Agent a copy of all Permits requested by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3"/>
              </w:rPr>
              <w:t>Agent as of the Closing Date or to the extent requested by Agent pursuant to Section 4.17. All such Permits are valid and in full force and effect and Borrowers are in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1"/>
              </w:rPr>
              <w:t>material compliance with the terms and conditions of all such Permits, except where failure to be in such compliance or for a Permit to be valid and in full force and effect</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rPr>
              <w:t>would not have a Material Adverse Effect.</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20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color w:val="auto"/>
                <w:w w:val="90"/>
              </w:rPr>
              <w:t>Regulatory Required Permits. With respect to any Product, (i) Borrower and its Subsidiaries have received, and such Product is the subject of, all</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tcPr>
          <w:p>
            <w:pPr>
              <w:spacing w:after="0"/>
              <w:rPr>
                <w:sz w:val="13"/>
                <w:szCs w:val="13"/>
                <w:color w:val="auto"/>
              </w:rPr>
            </w:pPr>
          </w:p>
        </w:tc>
        <w:tc>
          <w:tcPr>
            <w:tcW w:w="10200" w:type="dxa"/>
            <w:vAlign w:val="bottom"/>
            <w:gridSpan w:val="3"/>
          </w:tcPr>
          <w:p>
            <w:pPr>
              <w:ind w:left="640"/>
              <w:spacing w:after="0" w:line="159" w:lineRule="exact"/>
              <w:rPr>
                <w:sz w:val="20"/>
                <w:szCs w:val="20"/>
                <w:color w:val="auto"/>
              </w:rPr>
            </w:pPr>
            <w:r>
              <w:rPr>
                <w:rFonts w:ascii="Arial" w:cs="Arial" w:eastAsia="Arial" w:hAnsi="Arial"/>
                <w:sz w:val="14"/>
                <w:szCs w:val="14"/>
                <w:color w:val="auto"/>
                <w:w w:val="90"/>
              </w:rPr>
              <w:t>Regulatory Required Permits needed to be held by Borrower and its Subsidiaries under applicable Laws in connection with their testing, manufacture, marketing or sale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0"/>
              </w:rPr>
              <w:t>such Product except where the failure to receive or be the subject of such Regulatory Required Permits would not reasonably be expected to have Material Adverse Effect,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1"/>
              </w:rPr>
              <w:t>and no Borrower has received any written notice from any applicable Governmental Authority, specifically including the FDA, that such Governmental Authority is, outside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w w:val="94"/>
              </w:rPr>
              <w:t>of the normal maintenance or renewal process, conducting an investigation or review of any such Regulatory Required Permit or approval which has disclosed, and</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gridSpan w:val="3"/>
          </w:tcPr>
          <w:p>
            <w:pPr>
              <w:ind w:left="640"/>
              <w:spacing w:after="0"/>
              <w:rPr>
                <w:sz w:val="20"/>
                <w:szCs w:val="20"/>
                <w:color w:val="auto"/>
              </w:rPr>
            </w:pPr>
            <w:r>
              <w:rPr>
                <w:rFonts w:ascii="Arial" w:cs="Arial" w:eastAsia="Arial" w:hAnsi="Arial"/>
                <w:sz w:val="14"/>
                <w:szCs w:val="14"/>
                <w:color w:val="auto"/>
              </w:rPr>
              <w:t>notification of which has been provided to Borrower in writing, any</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gridSpan w:val="3"/>
          </w:tcPr>
          <w:p>
            <w:pPr>
              <w:ind w:left="930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19" w:name="page120"/>
    <w:bookmarkEnd w:id="119"/>
    <w:p>
      <w:pPr>
        <w:jc w:val="both"/>
        <w:ind w:left="140"/>
        <w:spacing w:after="0" w:line="266" w:lineRule="auto"/>
        <w:rPr>
          <w:sz w:val="20"/>
          <w:szCs w:val="20"/>
          <w:color w:val="auto"/>
        </w:rPr>
      </w:pPr>
      <w:r>
        <w:rPr>
          <w:rFonts w:ascii="Arial" w:cs="Arial" w:eastAsia="Arial" w:hAnsi="Arial"/>
          <w:sz w:val="13"/>
          <w:szCs w:val="13"/>
          <w:color w:val="auto"/>
        </w:rPr>
        <w:t>material deficiencies or violations of the Regulatory Required Permits, or that any such Regulatory Required Permit has been revoked or withdrawn where such revocation or withdrawal would reasonably be expected to have Material Adverse Effect, nor has any such Governmental Authority issued any written order or recommendation stating that such development, testing, manufacturing, marketing or sales of such Product by Borrower should cease, where such cessation would reasonably be expected to have Material Adverse Effect (ii) to Borrower’s knowledge, such Product is being tested, manufactured, marketed or sold, as the case may be, in material compliance with all applicable Laws and Regulatory Required Permits, and Borrower has not received any notice from any applicable Governmental Authority, specifically including the FDA, that such Governmental Authority is conducting an investigation or inspection of (A) Borrower’s manufacturing facilities and processes for such Product which have disclosed any material deficiencies or violations of Laws (including Healthcare Laws) and/or the Regulatory Required Permits related to the manufacture of such Product, or (B) (outside of the normal maintenance or renewal process) any such Regulatory Required Permit or that any such Regulatory Required Permit has been revoked or withdrawn, nor has any such Governmental Authority issued any order or recommendation stating that the development, testing and/or manufacturing of such Product by Borrower should cease and in each case would reasonably be expected to have a Material Adverse Effect.</w:t>
      </w:r>
    </w:p>
    <w:p>
      <w:pPr>
        <w:spacing w:after="0" w:line="122" w:lineRule="exact"/>
        <w:rPr>
          <w:sz w:val="20"/>
          <w:szCs w:val="20"/>
          <w:color w:val="auto"/>
        </w:rPr>
      </w:pPr>
    </w:p>
    <w:p>
      <w:pPr>
        <w:ind w:left="2700" w:hanging="843"/>
        <w:spacing w:after="0"/>
        <w:tabs>
          <w:tab w:leader="none" w:pos="2700"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Healthcare and Regulatory Events</w:t>
      </w:r>
      <w:r>
        <w:rPr>
          <w:rFonts w:ascii="Arial" w:cs="Arial" w:eastAsia="Arial" w:hAnsi="Arial"/>
          <w:sz w:val="14"/>
          <w:szCs w:val="14"/>
          <w:color w:val="auto"/>
        </w:rPr>
        <w:t>.</w:t>
      </w:r>
    </w:p>
    <w:p>
      <w:pPr>
        <w:sectPr>
          <w:pgSz w:w="11900" w:h="16838" w:orient="portrait"/>
          <w:cols w:equalWidth="0" w:num="1">
            <w:col w:w="11340"/>
          </w:cols>
          <w:pgMar w:left="240" w:top="165" w:right="319" w:bottom="1440" w:gutter="0" w:footer="0" w:header="0"/>
        </w:sectPr>
      </w:pPr>
    </w:p>
    <w:p>
      <w:pPr>
        <w:spacing w:after="0" w:line="14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None of the Borrowers are in violation of any Healthcare Laws, except where any such violation would not reasonably be expected to have a Material</w:t>
      </w:r>
    </w:p>
    <w:p>
      <w:pPr>
        <w:spacing w:after="0" w:line="41" w:lineRule="exact"/>
        <w:rPr>
          <w:sz w:val="20"/>
          <w:szCs w:val="20"/>
          <w:color w:val="auto"/>
        </w:rPr>
      </w:pPr>
    </w:p>
    <w:p>
      <w:pPr>
        <w:sectPr>
          <w:pgSz w:w="11900" w:h="16838" w:orient="portrait"/>
          <w:cols w:equalWidth="0" w:num="2">
            <w:col w:w="2360" w:space="720"/>
            <w:col w:w="8260"/>
          </w:cols>
          <w:pgMar w:left="240" w:top="165" w:right="319" w:bottom="1440" w:gutter="0" w:footer="0" w:header="0"/>
          <w:type w:val="continuous"/>
        </w:sectPr>
      </w:pPr>
    </w:p>
    <w:p>
      <w:pPr>
        <w:ind w:left="1660"/>
        <w:spacing w:after="0"/>
        <w:rPr>
          <w:sz w:val="20"/>
          <w:szCs w:val="20"/>
          <w:color w:val="auto"/>
        </w:rPr>
      </w:pPr>
      <w:r>
        <w:rPr>
          <w:rFonts w:ascii="Arial" w:cs="Arial" w:eastAsia="Arial" w:hAnsi="Arial"/>
          <w:sz w:val="12"/>
          <w:szCs w:val="12"/>
          <w:color w:val="auto"/>
        </w:rPr>
        <w:t>Adverse Effect.</w:t>
      </w:r>
    </w:p>
    <w:p>
      <w:pPr>
        <w:sectPr>
          <w:pgSz w:w="11900" w:h="16838" w:orient="portrait"/>
          <w:cols w:equalWidth="0" w:num="1">
            <w:col w:w="11340"/>
          </w:cols>
          <w:pgMar w:left="240" w:top="165" w:right="319" w:bottom="1440" w:gutter="0" w:footer="0" w:header="0"/>
          <w:type w:val="continuous"/>
        </w:sectPr>
      </w:pPr>
    </w:p>
    <w:p>
      <w:pPr>
        <w:spacing w:after="0" w:line="161" w:lineRule="exact"/>
        <w:rPr>
          <w:sz w:val="20"/>
          <w:szCs w:val="20"/>
          <w:color w:val="auto"/>
        </w:rPr>
      </w:pPr>
    </w:p>
    <w:p>
      <w:pPr>
        <w:ind w:left="27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As of the Closing Date, there have been no Regulatory Reporting Events.</w:t>
      </w:r>
    </w:p>
    <w:p>
      <w:pPr>
        <w:spacing w:after="0" w:line="177" w:lineRule="exact"/>
        <w:rPr>
          <w:sz w:val="20"/>
          <w:szCs w:val="20"/>
          <w:color w:val="auto"/>
        </w:rPr>
      </w:pPr>
    </w:p>
    <w:p>
      <w:pPr>
        <w:sectPr>
          <w:pgSz w:w="11900" w:h="16838" w:orient="portrait"/>
          <w:cols w:equalWidth="0" w:num="2">
            <w:col w:w="2880" w:space="680"/>
            <w:col w:w="778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br w:type="column"/>
      </w:r>
    </w:p>
    <w:p>
      <w:pPr>
        <w:ind w:right="140" w:firstLine="1429"/>
        <w:spacing w:after="0" w:line="268" w:lineRule="auto"/>
        <w:rPr>
          <w:sz w:val="20"/>
          <w:szCs w:val="20"/>
          <w:color w:val="auto"/>
        </w:rPr>
      </w:pPr>
      <w:r>
        <w:rPr>
          <w:rFonts w:ascii="Arial" w:cs="Arial" w:eastAsia="Arial" w:hAnsi="Arial"/>
          <w:sz w:val="14"/>
          <w:szCs w:val="14"/>
          <w:color w:val="auto"/>
        </w:rPr>
        <w:t>No Borrower is participating in any Third Party Payor Program, it being understood that agreements to provide discounts or rebates on drugs or biologics reimbursed by Third Party Payors is not participation in a Third Party Payor Program.</w:t>
      </w:r>
    </w:p>
    <w:p>
      <w:pPr>
        <w:spacing w:after="0" w:line="118"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br w:type="column"/>
      </w:r>
    </w:p>
    <w:p>
      <w:pPr>
        <w:spacing w:after="0"/>
        <w:tabs>
          <w:tab w:leader="none" w:pos="3140" w:val="left"/>
        </w:tabs>
        <w:rPr>
          <w:sz w:val="20"/>
          <w:szCs w:val="20"/>
          <w:color w:val="auto"/>
        </w:rPr>
      </w:pPr>
      <w:r>
        <w:rPr>
          <w:rFonts w:ascii="Arial" w:cs="Arial" w:eastAsia="Arial" w:hAnsi="Arial"/>
          <w:sz w:val="14"/>
          <w:szCs w:val="14"/>
          <w:color w:val="auto"/>
        </w:rPr>
        <w:t>None of the Borrower’s officers, directors, employees,</w:t>
      </w:r>
      <w:r>
        <w:rPr>
          <w:sz w:val="20"/>
          <w:szCs w:val="20"/>
          <w:color w:val="auto"/>
        </w:rPr>
        <w:tab/>
      </w:r>
      <w:r>
        <w:rPr>
          <w:rFonts w:ascii="Arial" w:cs="Arial" w:eastAsia="Arial" w:hAnsi="Arial"/>
          <w:sz w:val="12"/>
          <w:szCs w:val="12"/>
          <w:color w:val="auto"/>
        </w:rPr>
        <w:t>shareholders, their agents or affiliates has made an untrue statement of material fact or</w:t>
      </w:r>
    </w:p>
    <w:p>
      <w:pPr>
        <w:spacing w:after="0" w:line="3" w:lineRule="exact"/>
        <w:rPr>
          <w:sz w:val="20"/>
          <w:szCs w:val="20"/>
          <w:color w:val="auto"/>
        </w:rPr>
      </w:pPr>
    </w:p>
    <w:p>
      <w:pPr>
        <w:sectPr>
          <w:pgSz w:w="11900" w:h="16838" w:orient="portrait"/>
          <w:cols w:equalWidth="0" w:num="2">
            <w:col w:w="2380" w:space="720"/>
            <w:col w:w="8240"/>
          </w:cols>
          <w:pgMar w:left="240" w:top="165" w:right="319" w:bottom="1440" w:gutter="0" w:footer="0" w:header="0"/>
          <w:type w:val="continuous"/>
        </w:sectPr>
      </w:pPr>
    </w:p>
    <w:tbl>
      <w:tblPr>
        <w:tblLayout w:type="fixed"/>
        <w:tblInd w:w="2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7"/>
              </w:rPr>
              <w:t>fraudulent statement to the FDA or failed to disclose a material fact required to be disclosed to the FDA, committed an act, made a statement, or failed to make a statement that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90"/>
              </w:rPr>
              <w:t>would reasonably be expected to provide a basis for the FDA to invoke its policy respecting “Fraud, Untrue Statements of Material Facts, Bribery, and Illegal Gratuities,” set</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forth in 56 Fed. Regulation 46191 (September 10, 1991).</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(v)</w:t>
            </w:r>
          </w:p>
        </w:tc>
        <w:tc>
          <w:tcPr>
            <w:tcW w:w="10180" w:type="dxa"/>
            <w:vAlign w:val="bottom"/>
          </w:tcPr>
          <w:p>
            <w:pPr>
              <w:ind w:left="2060"/>
              <w:spacing w:after="0"/>
              <w:rPr>
                <w:sz w:val="20"/>
                <w:szCs w:val="20"/>
                <w:color w:val="auto"/>
              </w:rPr>
            </w:pPr>
            <w:r>
              <w:rPr>
                <w:rFonts w:ascii="Arial" w:cs="Arial" w:eastAsia="Arial" w:hAnsi="Arial"/>
                <w:sz w:val="14"/>
                <w:szCs w:val="14"/>
                <w:color w:val="auto"/>
                <w:w w:val="92"/>
              </w:rPr>
              <w:t>Borrower has not received any written notice that any Governmental Authority, including without limitation the FDA, the Office of the Inspector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6"/>
              </w:rPr>
              <w:t>General of HHS or the United States Department of Justice has commenced or threatened to initiate any material action against a Credit Party, any action to enjoin a Credit Party,</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91"/>
              </w:rPr>
              <w:t>their officers, directors, employees, shareholders or their agents and Affiliates, from conducting their businesses at any facility owned or used by them as it may relate to</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Borrower’s business or for any material civil penalty, injunction, seizure or criminal action.</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(vi)</w:t>
            </w:r>
          </w:p>
        </w:tc>
        <w:tc>
          <w:tcPr>
            <w:tcW w:w="10180" w:type="dxa"/>
            <w:vAlign w:val="bottom"/>
          </w:tcPr>
          <w:p>
            <w:pPr>
              <w:ind w:left="2060"/>
              <w:spacing w:after="0"/>
              <w:rPr>
                <w:sz w:val="20"/>
                <w:szCs w:val="20"/>
                <w:color w:val="auto"/>
              </w:rPr>
            </w:pPr>
            <w:r>
              <w:rPr>
                <w:rFonts w:ascii="Arial" w:cs="Arial" w:eastAsia="Arial" w:hAnsi="Arial"/>
                <w:sz w:val="14"/>
                <w:szCs w:val="14"/>
                <w:color w:val="auto"/>
                <w:w w:val="89"/>
              </w:rPr>
              <w:t>Borrower has not received from the FDA a Warning Letter, Form FDA- 483, “Untitled Letter,” other correspondence or notice setting forth allegedly</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7"/>
              </w:rPr>
              <w:t>objectionable observations or alleged violations of laws and regulations enforced by the FDA or any comparable correspondence from any state or local authority responsible for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8"/>
              </w:rPr>
              <w:t>regulating drug products and establishments, or any comparable correspondence from any foreign counterpart of the FDA or any comparable correspondence from any foreign</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6"/>
              </w:rPr>
              <w:t>counterpart of any state or local authority with regard to any Product or the manufacture, processing, packing, or holding thereof, in each case that would reasonably be expected</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180" w:type="dxa"/>
            <w:vAlign w:val="bottom"/>
          </w:tcPr>
          <w:p>
            <w:pPr>
              <w:ind w:left="620"/>
              <w:spacing w:after="0"/>
              <w:rPr>
                <w:sz w:val="20"/>
                <w:szCs w:val="20"/>
                <w:color w:val="auto"/>
              </w:rPr>
            </w:pPr>
            <w:r>
              <w:rPr>
                <w:rFonts w:ascii="Arial" w:cs="Arial" w:eastAsia="Arial" w:hAnsi="Arial"/>
                <w:sz w:val="14"/>
                <w:szCs w:val="14"/>
                <w:color w:val="auto"/>
              </w:rPr>
              <w:t>to have a Material Adverse Effect.</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0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0180" w:type="dxa"/>
            <w:vAlign w:val="bottom"/>
          </w:tcPr>
          <w:p>
            <w:pPr>
              <w:ind w:left="928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20" w:name="page121"/>
    <w:bookmarkEnd w:id="120"/>
    <w:p>
      <w:pPr>
        <w:ind w:left="220"/>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Borrower has not engaged in any material Recalls, Market Withdrawals, or other forms of product retrieval from the marketplace of any Products.</w:t>
      </w:r>
    </w:p>
    <w:p>
      <w:pPr>
        <w:spacing w:after="0" w:line="176" w:lineRule="exact"/>
        <w:rPr>
          <w:sz w:val="20"/>
          <w:szCs w:val="20"/>
          <w:color w:val="auto"/>
        </w:rPr>
      </w:pPr>
    </w:p>
    <w:p>
      <w:pPr>
        <w:sectPr>
          <w:pgSz w:w="11900" w:h="16838" w:orient="portrait"/>
          <w:cols w:equalWidth="0" w:num="2">
            <w:col w:w="2360" w:space="720"/>
            <w:col w:w="8260"/>
          </w:cols>
          <w:pgMar w:left="240" w:top="128" w:right="319" w:bottom="1440" w:gutter="0" w:footer="0" w:header="0"/>
        </w:sectPr>
      </w:pPr>
    </w:p>
    <w:p>
      <w:pPr>
        <w:ind w:left="220"/>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br w:type="column"/>
      </w:r>
    </w:p>
    <w:p>
      <w:pPr>
        <w:jc w:val="both"/>
        <w:ind w:right="120" w:firstLine="1429"/>
        <w:spacing w:after="0" w:line="250" w:lineRule="auto"/>
        <w:rPr>
          <w:sz w:val="20"/>
          <w:szCs w:val="20"/>
          <w:color w:val="auto"/>
        </w:rPr>
      </w:pPr>
      <w:r>
        <w:rPr>
          <w:rFonts w:ascii="Arial" w:cs="Arial" w:eastAsia="Arial" w:hAnsi="Arial"/>
          <w:sz w:val="14"/>
          <w:szCs w:val="14"/>
          <w:color w:val="auto"/>
        </w:rPr>
        <w:t>Each Product (a) is not materially adulterated or misbranded within the meaning of the FDCA; (b) is not an article prohibited from introduction into interstate commerce under the provisions of Section 505 of the FDCA; (c) each Product is being and/or shall be manufactured, imported, possessed, owned, warehoused, marketed, promoted, sold, labeled, furnished, distributed and marketed and in material compliance with all applicable Permits and Laws; and (d) each Product is being and/or shall be manufactured in material compliance with Good Manufacturing Practices.</w:t>
      </w:r>
    </w:p>
    <w:p>
      <w:pPr>
        <w:spacing w:after="0" w:line="131"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jc w:val="both"/>
        <w:ind w:left="140" w:firstLine="1674"/>
        <w:spacing w:after="0" w:line="248"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Proceedings</w:t>
      </w:r>
      <w:r>
        <w:rPr>
          <w:rFonts w:ascii="Arial" w:cs="Arial" w:eastAsia="Arial" w:hAnsi="Arial"/>
          <w:sz w:val="14"/>
          <w:szCs w:val="14"/>
          <w:color w:val="auto"/>
        </w:rPr>
        <w:t>. No Borrower is subject to any proceeding, suit or, to Borrowers’ knowledge, investigation by any federal, state or local government or quasi-governmental body, agency, board or authority or any other administrative or investigative body (including the Office of the Inspector General of the United States Department of Health and Human Services): (i) which may result in the imposition of a fine, alternative, interim or final sanction, which has not been provided for on their respective financial statements, and which would reasonably be expected to have a Material Adverse Effect on any Borrower; or (ii) which could result in the revocation, transfer, surrender, suspension or other impairment of the Permits of Borrower that would reasonably be expected to have a Material Adverse Effect on any Borrower.</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320" w:type="dxa"/>
            <w:vAlign w:val="bottom"/>
          </w:tcPr>
          <w:p>
            <w:pPr>
              <w:spacing w:after="0"/>
              <w:rPr>
                <w:sz w:val="20"/>
                <w:szCs w:val="20"/>
                <w:color w:val="auto"/>
              </w:rPr>
            </w:pPr>
            <w:r>
              <w:rPr>
                <w:rFonts w:ascii="Arial" w:cs="Arial" w:eastAsia="Arial" w:hAnsi="Arial"/>
                <w:sz w:val="14"/>
                <w:szCs w:val="14"/>
                <w:color w:val="auto"/>
              </w:rPr>
              <w:t>(f)</w:t>
            </w:r>
          </w:p>
        </w:tc>
        <w:tc>
          <w:tcPr>
            <w:tcW w:w="56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w w:val="92"/>
              </w:rPr>
              <w:t>Ancillary Laws. Borrowers have received no written notice, and are not aware, of any material violation of applicable antitrust laws, employment</w:t>
            </w:r>
          </w:p>
        </w:tc>
      </w:tr>
      <w:tr>
        <w:trPr>
          <w:trHeight w:val="20"/>
        </w:trPr>
        <w:tc>
          <w:tcPr>
            <w:tcW w:w="28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175"/>
        </w:trPr>
        <w:tc>
          <w:tcPr>
            <w:tcW w:w="11100" w:type="dxa"/>
            <w:vAlign w:val="bottom"/>
            <w:gridSpan w:val="4"/>
          </w:tcPr>
          <w:p>
            <w:pPr>
              <w:ind w:left="1440"/>
              <w:spacing w:after="0"/>
              <w:rPr>
                <w:sz w:val="20"/>
                <w:szCs w:val="20"/>
                <w:color w:val="auto"/>
              </w:rPr>
            </w:pPr>
            <w:r>
              <w:rPr>
                <w:rFonts w:ascii="Arial" w:cs="Arial" w:eastAsia="Arial" w:hAnsi="Arial"/>
                <w:sz w:val="14"/>
                <w:szCs w:val="14"/>
                <w:color w:val="auto"/>
                <w:w w:val="99"/>
              </w:rPr>
              <w:t>or landlord-tenant laws of any federal, state or local government or quasi-governmental body, agency, board or other authority with respect to the Borrowers.</w:t>
            </w:r>
          </w:p>
        </w:tc>
      </w:tr>
      <w:tr>
        <w:trPr>
          <w:trHeight w:val="315"/>
        </w:trPr>
        <w:tc>
          <w:tcPr>
            <w:tcW w:w="2320" w:type="dxa"/>
            <w:vAlign w:val="bottom"/>
          </w:tcPr>
          <w:p>
            <w:pPr>
              <w:ind w:left="780"/>
              <w:spacing w:after="0"/>
              <w:rPr>
                <w:sz w:val="20"/>
                <w:szCs w:val="20"/>
                <w:color w:val="auto"/>
              </w:rPr>
            </w:pPr>
            <w:r>
              <w:rPr>
                <w:rFonts w:ascii="Arial" w:cs="Arial" w:eastAsia="Arial" w:hAnsi="Arial"/>
                <w:sz w:val="14"/>
                <w:szCs w:val="14"/>
                <w:b w:val="1"/>
                <w:bCs w:val="1"/>
                <w:color w:val="auto"/>
              </w:rPr>
              <w:t>Section 8.3</w:t>
            </w:r>
          </w:p>
        </w:tc>
        <w:tc>
          <w:tcPr>
            <w:tcW w:w="8780" w:type="dxa"/>
            <w:vAlign w:val="bottom"/>
            <w:gridSpan w:val="3"/>
          </w:tcPr>
          <w:p>
            <w:pPr>
              <w:ind w:left="560"/>
              <w:spacing w:after="0"/>
              <w:rPr>
                <w:sz w:val="20"/>
                <w:szCs w:val="20"/>
                <w:color w:val="auto"/>
              </w:rPr>
            </w:pPr>
            <w:r>
              <w:rPr>
                <w:rFonts w:ascii="Arial" w:cs="Arial" w:eastAsia="Arial" w:hAnsi="Arial"/>
                <w:sz w:val="14"/>
                <w:szCs w:val="14"/>
                <w:color w:val="auto"/>
              </w:rPr>
              <w:t>Healthcare Operations.</w:t>
            </w:r>
          </w:p>
        </w:tc>
      </w:tr>
      <w:tr>
        <w:trPr>
          <w:trHeight w:val="311"/>
        </w:trPr>
        <w:tc>
          <w:tcPr>
            <w:tcW w:w="2320" w:type="dxa"/>
            <w:vAlign w:val="bottom"/>
          </w:tcPr>
          <w:p>
            <w:pPr>
              <w:ind w:left="1600"/>
              <w:spacing w:after="0"/>
              <w:rPr>
                <w:sz w:val="20"/>
                <w:szCs w:val="20"/>
                <w:color w:val="auto"/>
              </w:rPr>
            </w:pPr>
            <w:r>
              <w:rPr>
                <w:rFonts w:ascii="Arial" w:cs="Arial" w:eastAsia="Arial" w:hAnsi="Arial"/>
                <w:sz w:val="14"/>
                <w:szCs w:val="14"/>
                <w:color w:val="auto"/>
              </w:rPr>
              <w:t>(a)</w:t>
            </w:r>
          </w:p>
        </w:tc>
        <w:tc>
          <w:tcPr>
            <w:tcW w:w="560" w:type="dxa"/>
            <w:vAlign w:val="bottom"/>
          </w:tcPr>
          <w:p>
            <w:pPr>
              <w:spacing w:after="0"/>
              <w:rPr>
                <w:sz w:val="24"/>
                <w:szCs w:val="24"/>
                <w:color w:val="auto"/>
              </w:rPr>
            </w:pPr>
          </w:p>
        </w:tc>
        <w:tc>
          <w:tcPr>
            <w:tcW w:w="8220" w:type="dxa"/>
            <w:vAlign w:val="bottom"/>
            <w:gridSpan w:val="2"/>
          </w:tcPr>
          <w:p>
            <w:pPr>
              <w:ind w:left="340"/>
              <w:spacing w:after="0"/>
              <w:rPr>
                <w:sz w:val="20"/>
                <w:szCs w:val="20"/>
                <w:color w:val="auto"/>
              </w:rPr>
            </w:pPr>
            <w:r>
              <w:rPr>
                <w:rFonts w:ascii="Arial" w:cs="Arial" w:eastAsia="Arial" w:hAnsi="Arial"/>
                <w:sz w:val="14"/>
                <w:szCs w:val="14"/>
                <w:color w:val="auto"/>
                <w:w w:val="94"/>
              </w:rPr>
              <w:t>Borrower will timely file or caused to be timely filed (after giving effect to any extension duly obtained), all material notifications, reports,</w:t>
            </w:r>
          </w:p>
        </w:tc>
      </w:tr>
    </w:tbl>
    <w:p>
      <w:pPr>
        <w:jc w:val="both"/>
        <w:ind w:left="140" w:right="20"/>
        <w:spacing w:after="0" w:line="250" w:lineRule="auto"/>
        <w:rPr>
          <w:sz w:val="20"/>
          <w:szCs w:val="20"/>
          <w:color w:val="auto"/>
        </w:rPr>
      </w:pPr>
      <w:r>
        <w:rPr>
          <w:rFonts w:ascii="Arial" w:cs="Arial" w:eastAsia="Arial" w:hAnsi="Arial"/>
          <w:sz w:val="14"/>
          <w:szCs w:val="14"/>
          <w:color w:val="auto"/>
        </w:rPr>
        <w:t>submissions, Permit renewals and reports (other than cost reports as provided in Section 8.3(a)(ii) below) required by Healthcare Laws (which reports will be materially accurate and complete in all respects and not misleading in any material respect and shall not remain open or unsettled).</w:t>
      </w:r>
    </w:p>
    <w:p>
      <w:pPr>
        <w:sectPr>
          <w:pgSz w:w="11900" w:h="16838" w:orient="portrait"/>
          <w:cols w:equalWidth="0" w:num="1">
            <w:col w:w="11340"/>
          </w:cols>
          <w:pgMar w:left="240" w:top="128" w:right="319" w:bottom="1440" w:gutter="0" w:footer="0" w:header="0"/>
          <w:type w:val="continuous"/>
        </w:sectPr>
      </w:pPr>
    </w:p>
    <w:p>
      <w:pPr>
        <w:spacing w:after="0" w:line="13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both"/>
        <w:ind w:right="120" w:firstLine="1429"/>
        <w:spacing w:after="0" w:line="255" w:lineRule="auto"/>
        <w:rPr>
          <w:sz w:val="20"/>
          <w:szCs w:val="20"/>
          <w:color w:val="auto"/>
        </w:rPr>
      </w:pPr>
      <w:r>
        <w:rPr>
          <w:rFonts w:ascii="Arial" w:cs="Arial" w:eastAsia="Arial" w:hAnsi="Arial"/>
          <w:sz w:val="14"/>
          <w:szCs w:val="14"/>
          <w:color w:val="auto"/>
        </w:rPr>
        <w:t>Borrower will maintain in full force and effect, and free from restrictions, probations, conditions or known conflicts which would materially impair the use or operation of Borrowers’ business and assets, all material Permits necessary under Healthcare Laws to carry on the business of Borrowers as it is conducted on the Closing Date.</w:t>
      </w:r>
    </w:p>
    <w:p>
      <w:pPr>
        <w:spacing w:after="0" w:line="126"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1860"/>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Borrower will not suffer or permit to occur any of the following:</w:t>
      </w:r>
    </w:p>
    <w:p>
      <w:pPr>
        <w:spacing w:after="0" w:line="166" w:lineRule="exact"/>
        <w:rPr>
          <w:sz w:val="20"/>
          <w:szCs w:val="20"/>
          <w:color w:val="auto"/>
        </w:rPr>
      </w:pPr>
    </w:p>
    <w:p>
      <w:pPr>
        <w:sectPr>
          <w:pgSz w:w="11900" w:h="16838" w:orient="portrait"/>
          <w:cols w:equalWidth="0" w:num="2">
            <w:col w:w="2000" w:space="700"/>
            <w:col w:w="864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any transfer of a Permit or rights thereunder to any Person (other than Borrowers or Agent);</w:t>
      </w:r>
    </w:p>
    <w:p>
      <w:pPr>
        <w:spacing w:after="0" w:line="177" w:lineRule="exact"/>
        <w:rPr>
          <w:sz w:val="20"/>
          <w:szCs w:val="20"/>
          <w:color w:val="auto"/>
        </w:rPr>
      </w:pPr>
    </w:p>
    <w:p>
      <w:pPr>
        <w:sectPr>
          <w:pgSz w:w="11900" w:h="16838" w:orient="portrait"/>
          <w:cols w:equalWidth="0" w:num="2">
            <w:col w:w="2380" w:space="720"/>
            <w:col w:w="824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ind w:right="120" w:firstLine="1429"/>
        <w:spacing w:after="0" w:line="268" w:lineRule="auto"/>
        <w:rPr>
          <w:sz w:val="20"/>
          <w:szCs w:val="20"/>
          <w:color w:val="auto"/>
        </w:rPr>
      </w:pPr>
      <w:r>
        <w:rPr>
          <w:rFonts w:ascii="Arial" w:cs="Arial" w:eastAsia="Arial" w:hAnsi="Arial"/>
          <w:sz w:val="14"/>
          <w:szCs w:val="14"/>
          <w:color w:val="auto"/>
        </w:rPr>
        <w:t>any pledge or hypothecation of any Permit as collateral security for any indebtedness other than Debt to Agent and each Lender under this Agreement and the other Financing Documents; or</w:t>
      </w:r>
    </w:p>
    <w:p>
      <w:pPr>
        <w:spacing w:after="0" w:line="118"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(iii)</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any rescission, withdrawal, revocation, amendment or modification of or other alteration to the nature, tenor or scope of any material Permit.</w:t>
      </w:r>
    </w:p>
    <w:p>
      <w:pPr>
        <w:spacing w:after="0" w:line="339" w:lineRule="exact"/>
        <w:rPr>
          <w:sz w:val="20"/>
          <w:szCs w:val="20"/>
          <w:color w:val="auto"/>
        </w:rPr>
      </w:pPr>
    </w:p>
    <w:p>
      <w:pPr>
        <w:sectPr>
          <w:pgSz w:w="11900" w:h="16838" w:orient="portrait"/>
          <w:cols w:equalWidth="0" w:num="2">
            <w:col w:w="2360" w:space="720"/>
            <w:col w:w="8260"/>
          </w:cols>
          <w:pgMar w:left="240" w:top="128" w:right="319" w:bottom="1440" w:gutter="0" w:footer="0" w:header="0"/>
          <w:type w:val="continuous"/>
        </w:sectPr>
      </w:pPr>
    </w:p>
    <w:p>
      <w:pPr>
        <w:ind w:left="10320"/>
        <w:spacing w:after="0"/>
        <w:rPr>
          <w:sz w:val="20"/>
          <w:szCs w:val="20"/>
          <w:color w:val="auto"/>
        </w:rPr>
      </w:pPr>
      <w:r>
        <w:rPr>
          <w:rFonts w:ascii="Arial" w:cs="Arial" w:eastAsia="Arial" w:hAnsi="Arial"/>
          <w:sz w:val="12"/>
          <w:szCs w:val="12"/>
          <w:color w:val="auto"/>
        </w:rPr>
        <w:t>59</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28" w:right="319" w:bottom="1440" w:gutter="0" w:footer="0" w:header="0"/>
          <w:type w:val="continuous"/>
        </w:sectPr>
      </w:pPr>
    </w:p>
    <w:bookmarkStart w:id="121" w:name="page122"/>
    <w:bookmarkEnd w:id="121"/>
    <w:p>
      <w:pPr>
        <w:ind w:left="22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jc w:val="both"/>
        <w:ind w:right="120" w:firstLine="1429"/>
        <w:spacing w:after="0" w:line="283" w:lineRule="auto"/>
        <w:rPr>
          <w:sz w:val="20"/>
          <w:szCs w:val="20"/>
          <w:color w:val="auto"/>
        </w:rPr>
      </w:pPr>
      <w:r>
        <w:rPr>
          <w:rFonts w:ascii="Arial" w:cs="Arial" w:eastAsia="Arial" w:hAnsi="Arial"/>
          <w:sz w:val="13"/>
          <w:szCs w:val="13"/>
          <w:color w:val="auto"/>
        </w:rPr>
        <w:t>In connection with the development, testing, manufacture, marketing or sale of each and any Product by any Borrower, Borrower shall comply in all material respects with all Regulatory Required Permits at all times issued by any Governmental Authority, specifically including the FDA, with respect to such development, testing, manufacture, marketing or sales of such Product by Borrower as such activities are at any such time being conducted by Borrower.</w:t>
      </w:r>
    </w:p>
    <w:p>
      <w:pPr>
        <w:spacing w:after="0" w:line="106" w:lineRule="exact"/>
        <w:rPr>
          <w:sz w:val="20"/>
          <w:szCs w:val="20"/>
          <w:color w:val="auto"/>
        </w:rPr>
      </w:pPr>
    </w:p>
    <w:p>
      <w:pPr>
        <w:sectPr>
          <w:pgSz w:w="11900" w:h="16838" w:orient="portrait"/>
          <w:cols w:equalWidth="0" w:num="2">
            <w:col w:w="940" w:space="720"/>
            <w:col w:w="9660"/>
          </w:cols>
          <w:pgMar w:left="240" w:top="128" w:right="339" w:bottom="1440" w:gutter="0" w:footer="0" w:header="0"/>
        </w:sectPr>
      </w:pPr>
    </w:p>
    <w:p>
      <w:pPr>
        <w:ind w:left="3340"/>
        <w:spacing w:after="0"/>
        <w:rPr>
          <w:sz w:val="20"/>
          <w:szCs w:val="20"/>
          <w:color w:val="auto"/>
        </w:rPr>
      </w:pPr>
      <w:r>
        <w:rPr>
          <w:rFonts w:ascii="Arial" w:cs="Arial" w:eastAsia="Arial" w:hAnsi="Arial"/>
          <w:sz w:val="14"/>
          <w:szCs w:val="14"/>
          <w:b w:val="1"/>
          <w:bCs w:val="1"/>
          <w:color w:val="auto"/>
        </w:rPr>
        <w:t>ARTICLE 9 - SECURITY AGREEMENT</w:t>
      </w:r>
    </w:p>
    <w:p>
      <w:pPr>
        <w:sectPr>
          <w:pgSz w:w="11900" w:h="16838" w:orient="portrait"/>
          <w:cols w:equalWidth="0" w:num="1">
            <w:col w:w="11320"/>
          </w:cols>
          <w:pgMar w:left="240" w:top="128" w:right="339" w:bottom="1440" w:gutter="0" w:footer="0" w:header="0"/>
          <w:type w:val="continuous"/>
        </w:sectPr>
      </w:pPr>
    </w:p>
    <w:p>
      <w:pPr>
        <w:spacing w:after="0" w:line="154"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9.1 </w:t>
      </w:r>
      <w:r>
        <w:rPr>
          <w:rFonts w:ascii="Arial" w:cs="Arial" w:eastAsia="Arial" w:hAnsi="Arial"/>
          <w:sz w:val="14"/>
          <w:szCs w:val="14"/>
          <w:u w:val="single" w:color="auto"/>
          <w:color w:val="auto"/>
        </w:rPr>
        <w:t>Generally</w:t>
      </w:r>
      <w:r>
        <w:rPr>
          <w:rFonts w:ascii="Arial" w:cs="Arial" w:eastAsia="Arial" w:hAnsi="Arial"/>
          <w:sz w:val="14"/>
          <w:szCs w:val="14"/>
          <w:color w:val="auto"/>
        </w:rPr>
        <w:t>. As security for the payment and performance of the Obligations and without limiting any other grant of a Lien and security interest in any Security Document,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Borrowers hereby collateral assign and grant to Agent, for the benefit of itself and Lenders, a continuing first priority Lien on and security interest in, upon, and to the personal property set forth on </w:t>
      </w:r>
      <w:r>
        <w:rPr>
          <w:rFonts w:ascii="Arial" w:cs="Arial" w:eastAsia="Arial" w:hAnsi="Arial"/>
          <w:sz w:val="14"/>
          <w:szCs w:val="14"/>
          <w:u w:val="single" w:color="auto"/>
          <w:color w:val="auto"/>
        </w:rPr>
        <w:t>Schedule 9.1</w:t>
      </w:r>
      <w:r>
        <w:rPr>
          <w:rFonts w:ascii="Arial" w:cs="Arial" w:eastAsia="Arial" w:hAnsi="Arial"/>
          <w:sz w:val="14"/>
          <w:szCs w:val="14"/>
          <w:color w:val="auto"/>
        </w:rPr>
        <w:t xml:space="preserve"> attached hereto and made a part hereof.</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40" w:type="dxa"/>
            <w:vAlign w:val="bottom"/>
          </w:tcPr>
          <w:p>
            <w:pPr>
              <w:ind w:left="780"/>
              <w:spacing w:after="0"/>
              <w:rPr>
                <w:sz w:val="20"/>
                <w:szCs w:val="20"/>
                <w:color w:val="auto"/>
              </w:rPr>
            </w:pPr>
            <w:r>
              <w:rPr>
                <w:rFonts w:ascii="Arial" w:cs="Arial" w:eastAsia="Arial" w:hAnsi="Arial"/>
                <w:sz w:val="14"/>
                <w:szCs w:val="14"/>
                <w:b w:val="1"/>
                <w:bCs w:val="1"/>
                <w:color w:val="auto"/>
              </w:rPr>
              <w:t>Section 9.2</w:t>
            </w:r>
          </w:p>
        </w:tc>
        <w:tc>
          <w:tcPr>
            <w:tcW w:w="8840" w:type="dxa"/>
            <w:vAlign w:val="bottom"/>
            <w:gridSpan w:val="3"/>
          </w:tcPr>
          <w:p>
            <w:pPr>
              <w:ind w:left="740"/>
              <w:spacing w:after="0"/>
              <w:rPr>
                <w:sz w:val="20"/>
                <w:szCs w:val="20"/>
                <w:color w:val="auto"/>
              </w:rPr>
            </w:pPr>
            <w:r>
              <w:rPr>
                <w:rFonts w:ascii="Arial" w:cs="Arial" w:eastAsia="Arial" w:hAnsi="Arial"/>
                <w:sz w:val="14"/>
                <w:szCs w:val="14"/>
                <w:color w:val="auto"/>
              </w:rPr>
              <w:t>Representations and Warranties and Covenants Relating to Collateral.</w:t>
            </w:r>
          </w:p>
        </w:tc>
      </w:tr>
      <w:tr>
        <w:trPr>
          <w:trHeight w:val="20"/>
        </w:trPr>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04"/>
        </w:trPr>
        <w:tc>
          <w:tcPr>
            <w:tcW w:w="2140" w:type="dxa"/>
            <w:vAlign w:val="bottom"/>
          </w:tcPr>
          <w:p>
            <w:pPr>
              <w:spacing w:after="0"/>
              <w:rPr>
                <w:sz w:val="20"/>
                <w:szCs w:val="20"/>
                <w:color w:val="auto"/>
              </w:rPr>
            </w:pPr>
            <w:r>
              <w:rPr>
                <w:rFonts w:ascii="Arial" w:cs="Arial" w:eastAsia="Arial" w:hAnsi="Arial"/>
                <w:sz w:val="14"/>
                <w:szCs w:val="14"/>
                <w:color w:val="auto"/>
              </w:rPr>
              <w:t>(a)</w:t>
            </w:r>
          </w:p>
        </w:tc>
        <w:tc>
          <w:tcPr>
            <w:tcW w:w="7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w w:val="90"/>
              </w:rPr>
              <w:t>The security interest granted pursuant to this Agreement constitutes a valid and, to the extent such security interest is required to be perfected by</w:t>
            </w:r>
          </w:p>
        </w:tc>
      </w:tr>
    </w:tbl>
    <w:p>
      <w:pPr>
        <w:jc w:val="both"/>
        <w:ind w:left="1660" w:right="100"/>
        <w:spacing w:after="0" w:line="263" w:lineRule="auto"/>
        <w:rPr>
          <w:sz w:val="20"/>
          <w:szCs w:val="20"/>
          <w:color w:val="auto"/>
        </w:rPr>
      </w:pPr>
      <w:r>
        <w:rPr>
          <w:rFonts w:ascii="Arial" w:cs="Arial" w:eastAsia="Arial" w:hAnsi="Arial"/>
          <w:sz w:val="13"/>
          <w:szCs w:val="13"/>
          <w:color w:val="auto"/>
        </w:rPr>
        <w:t>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Schedule 9.2 (which, in the case of all filings and other documents referred to on such schedule, have been delivered to Agent in completed and duly authorized form), (ii) with respect to any Deposit Account,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 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 (vi) 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 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ectPr>
          <w:pgSz w:w="11900" w:h="16838" w:orient="portrait"/>
          <w:cols w:equalWidth="0" w:num="1">
            <w:col w:w="11320"/>
          </w:cols>
          <w:pgMar w:left="240" w:top="128" w:right="339" w:bottom="1440" w:gutter="0" w:footer="0" w:header="0"/>
          <w:type w:val="continuous"/>
        </w:sectPr>
      </w:pPr>
    </w:p>
    <w:p>
      <w:pPr>
        <w:spacing w:after="0" w:line="12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ind w:right="100" w:firstLine="1429"/>
        <w:spacing w:after="0" w:line="296" w:lineRule="auto"/>
        <w:rPr>
          <w:sz w:val="20"/>
          <w:szCs w:val="20"/>
          <w:color w:val="auto"/>
        </w:rPr>
      </w:pPr>
      <w:r>
        <w:rPr>
          <w:rFonts w:ascii="Arial" w:cs="Arial" w:eastAsia="Arial" w:hAnsi="Arial"/>
          <w:sz w:val="12"/>
          <w:szCs w:val="12"/>
          <w:color w:val="auto"/>
        </w:rPr>
        <w:t>Schedule 9.2 sets forth (i) each chief executive office and principal place of business of each Borrower and each of their respective Subsidiaries, and (ii) all of the addresses (including all warehouses) at which any material portion of the Collateral is located and/or books and records of Borrowers regarding any such</w:t>
      </w:r>
    </w:p>
    <w:p>
      <w:pPr>
        <w:spacing w:after="0" w:line="1" w:lineRule="exact"/>
        <w:rPr>
          <w:sz w:val="20"/>
          <w:szCs w:val="20"/>
          <w:color w:val="auto"/>
        </w:rPr>
      </w:pPr>
    </w:p>
    <w:p>
      <w:pPr>
        <w:sectPr>
          <w:pgSz w:w="11900" w:h="16838" w:orient="portrait"/>
          <w:cols w:equalWidth="0" w:num="2">
            <w:col w:w="940" w:space="720"/>
            <w:col w:w="9660"/>
          </w:cols>
          <w:pgMar w:left="240" w:top="128" w:right="339" w:bottom="1440" w:gutter="0" w:footer="0" w:header="0"/>
          <w:type w:val="continuous"/>
        </w:sectPr>
      </w:pPr>
    </w:p>
    <w:p>
      <w:pPr>
        <w:ind w:left="1660" w:right="100"/>
        <w:spacing w:after="0" w:line="282" w:lineRule="auto"/>
        <w:rPr>
          <w:sz w:val="20"/>
          <w:szCs w:val="20"/>
          <w:color w:val="auto"/>
        </w:rPr>
      </w:pPr>
      <w:r>
        <w:rPr>
          <w:rFonts w:ascii="Arial" w:cs="Arial" w:eastAsia="Arial" w:hAnsi="Arial"/>
          <w:sz w:val="12"/>
          <w:szCs w:val="12"/>
          <w:color w:val="auto"/>
        </w:rPr>
        <w:t>Collateral or any of Borrower’s assets, liabilities, business operations or financial condition are kept, which such Schedule 9.2 indicates in each case which Borrower(s) have Collateral and/or books located at such address, and, in the case of any such address not owned by one or more of the Borrowers(s), indicates the nature of such location</w:t>
      </w:r>
    </w:p>
    <w:p>
      <w:pPr>
        <w:sectPr>
          <w:pgSz w:w="11900" w:h="16838" w:orient="portrait"/>
          <w:cols w:equalWidth="0" w:num="1">
            <w:col w:w="11320"/>
          </w:cols>
          <w:pgMar w:left="240" w:top="128" w:right="339" w:bottom="1440" w:gutter="0" w:footer="0" w:header="0"/>
          <w:type w:val="continuous"/>
        </w:sectPr>
      </w:pPr>
    </w:p>
    <w:p>
      <w:pPr>
        <w:jc w:val="both"/>
        <w:ind w:left="1660" w:right="100"/>
        <w:spacing w:after="0" w:line="243" w:lineRule="auto"/>
        <w:rPr>
          <w:sz w:val="20"/>
          <w:szCs w:val="20"/>
          <w:color w:val="auto"/>
        </w:rPr>
      </w:pPr>
      <w:r>
        <w:rPr>
          <w:rFonts w:ascii="Arial" w:cs="Arial" w:eastAsia="Arial" w:hAnsi="Arial"/>
          <w:sz w:val="14"/>
          <w:szCs w:val="14"/>
          <w:color w:val="auto"/>
        </w:rPr>
        <w:t>(e.g., leased business location operated by Borrower(s), third party warehouse, consignment location, processor location, etc.) and the name and address of the third party owning and/or operating such location.</w:t>
      </w:r>
    </w:p>
    <w:p>
      <w:pPr>
        <w:sectPr>
          <w:pgSz w:w="11900" w:h="16838" w:orient="portrait"/>
          <w:cols w:equalWidth="0" w:num="1">
            <w:col w:w="11320"/>
          </w:cols>
          <w:pgMar w:left="240" w:top="128" w:right="339" w:bottom="1440" w:gutter="0" w:footer="0" w:header="0"/>
          <w:type w:val="continuous"/>
        </w:sectPr>
      </w:pPr>
    </w:p>
    <w:p>
      <w:pPr>
        <w:spacing w:after="0" w:line="13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Without limiting the generality of Section 3.2, except with respect to any rights of any Borrower as a licensee under any license of Intellectual</w:t>
      </w:r>
    </w:p>
    <w:p>
      <w:pPr>
        <w:spacing w:after="0" w:line="26" w:lineRule="exact"/>
        <w:rPr>
          <w:sz w:val="20"/>
          <w:szCs w:val="20"/>
          <w:color w:val="auto"/>
        </w:rPr>
      </w:pPr>
    </w:p>
    <w:p>
      <w:pPr>
        <w:sectPr>
          <w:pgSz w:w="11900" w:h="16838" w:orient="portrait"/>
          <w:cols w:equalWidth="0" w:num="2">
            <w:col w:w="2380" w:space="720"/>
            <w:col w:w="8220"/>
          </w:cols>
          <w:pgMar w:left="240" w:top="128"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Property owned by another Person, and except for (x) the filing of financing statements under the UCC, (y) any change of ownership filings</w:t>
      </w: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60</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28" w:right="339" w:bottom="1440" w:gutter="0" w:footer="0" w:header="0"/>
          <w:type w:val="continuous"/>
        </w:sectPr>
      </w:pPr>
    </w:p>
    <w:bookmarkStart w:id="122" w:name="page123"/>
    <w:bookmarkEnd w:id="122"/>
    <w:p>
      <w:pPr>
        <w:ind w:left="260"/>
        <w:spacing w:after="0"/>
        <w:rPr>
          <w:sz w:val="20"/>
          <w:szCs w:val="20"/>
          <w:color w:val="auto"/>
        </w:rPr>
      </w:pPr>
      <w:r>
        <w:rPr>
          <w:rFonts w:ascii="Arial" w:cs="Arial" w:eastAsia="Arial" w:hAnsi="Arial"/>
          <w:sz w:val="14"/>
          <w:szCs w:val="14"/>
          <w:color w:val="auto"/>
        </w:rPr>
        <w:t>applications, authorizations, consents or other actions that may be required with respect to Permits and</w:t>
      </w:r>
    </w:p>
    <w:p>
      <w:pPr>
        <w:spacing w:after="0" w:line="13" w:lineRule="exact"/>
        <w:rPr>
          <w:sz w:val="20"/>
          <w:szCs w:val="20"/>
          <w:color w:val="auto"/>
        </w:rPr>
      </w:pPr>
    </w:p>
    <w:p>
      <w:pPr>
        <w:jc w:val="both"/>
        <w:ind w:left="260" w:hanging="8"/>
        <w:spacing w:after="0" w:line="292" w:lineRule="auto"/>
        <w:tabs>
          <w:tab w:leader="none" w:pos="7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after the Springing IP Event, the filing of the Intellectual Property Security Agreement, duly completed with scheduled attached, with the United States Patent and Trademark Office and/or the United States Copyright Office (as the case may be),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constituting Collateral to which a Borrower is a party, whether as licensor or licensee, with respect to any Intellectual Property, whether owned by such Borrower or any other Person.</w:t>
      </w:r>
    </w:p>
    <w:p>
      <w:pPr>
        <w:spacing w:after="0" w:line="107" w:lineRule="exact"/>
        <w:rPr>
          <w:sz w:val="20"/>
          <w:szCs w:val="20"/>
          <w:color w:val="auto"/>
        </w:rPr>
      </w:pPr>
    </w:p>
    <w:p>
      <w:pPr>
        <w:jc w:val="both"/>
        <w:ind w:left="1660" w:right="120" w:hanging="1436"/>
        <w:spacing w:after="0" w:line="286" w:lineRule="auto"/>
        <w:tabs>
          <w:tab w:leader="none" w:pos="164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2"/>
          <w:szCs w:val="12"/>
          <w:color w:val="auto"/>
        </w:rPr>
        <w:t xml:space="preserve">As of the Closing Date, no Borrower has any ownership interest in any Chattel Paper (as defined in Article 9 of the UCC), letter of credit rights, commercial tort claims, Instruments, documents or investment property (other than equity interests in any Subsidiaries of such Borrower, and Investments and other investment property disclosed on </w:t>
      </w:r>
      <w:r>
        <w:rPr>
          <w:rFonts w:ascii="Arial" w:cs="Arial" w:eastAsia="Arial" w:hAnsi="Arial"/>
          <w:sz w:val="12"/>
          <w:szCs w:val="12"/>
          <w:u w:val="single" w:color="auto"/>
          <w:color w:val="auto"/>
        </w:rPr>
        <w:t>Schedule 3.4</w:t>
      </w:r>
      <w:r>
        <w:rPr>
          <w:rFonts w:ascii="Arial" w:cs="Arial" w:eastAsia="Arial" w:hAnsi="Arial"/>
          <w:sz w:val="12"/>
          <w:szCs w:val="12"/>
          <w:color w:val="auto"/>
        </w:rPr>
        <w:t>) and Borrowers shall give notice to Agent promptly (but in any event not later than the delivery by Borrowers of the next Compliance Certificate required pursuant to Section 4.1 above) upon the acquisition by any Borrower of any such Chattel Paper, letter of credit rights, commercial tort claims, Instruments, documents, investment property with a value in excess of $100,000. No Person other than Agent or (if applicable) any Lender has “control” (as defined in Article 9 of the UCC)</w:t>
      </w:r>
    </w:p>
    <w:p>
      <w:pPr>
        <w:spacing w:after="0" w:line="1" w:lineRule="exact"/>
        <w:rPr>
          <w:sz w:val="20"/>
          <w:szCs w:val="20"/>
          <w:color w:val="auto"/>
        </w:rPr>
      </w:pPr>
    </w:p>
    <w:p>
      <w:pPr>
        <w:jc w:val="both"/>
        <w:ind w:left="1660" w:right="120"/>
        <w:spacing w:after="0" w:line="246" w:lineRule="auto"/>
        <w:rPr>
          <w:sz w:val="20"/>
          <w:szCs w:val="20"/>
          <w:color w:val="auto"/>
        </w:rPr>
      </w:pPr>
      <w:r>
        <w:rPr>
          <w:rFonts w:ascii="Arial" w:cs="Arial" w:eastAsia="Arial" w:hAnsi="Arial"/>
          <w:sz w:val="14"/>
          <w:szCs w:val="14"/>
          <w:color w:val="auto"/>
        </w:rPr>
        <w:t>over any Deposit Account, investment property (including Securities Accounts and commodities account), letter of credit rights or electronic chattel paper in which any Borrower has any interest (except for such control arising by operation of law in favor of any bank or securities intermediary or commodities intermediary with whom any Deposit Account, Securities Account or commodities account of Borrowers is maintained).</w:t>
      </w:r>
    </w:p>
    <w:p>
      <w:pPr>
        <w:sectPr>
          <w:pgSz w:w="11900" w:h="16838" w:orient="portrait"/>
          <w:cols w:equalWidth="0" w:num="1">
            <w:col w:w="11340"/>
          </w:cols>
          <w:pgMar w:left="240" w:top="165" w:right="319" w:bottom="1440" w:gutter="0" w:footer="0" w:header="0"/>
        </w:sectPr>
      </w:pPr>
    </w:p>
    <w:p>
      <w:pPr>
        <w:spacing w:after="0" w:line="13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Borrowers shall not, and shall not permit any Credit Party to, take any of the following actions or make any of the following changes unless Borrowers</w:t>
      </w:r>
    </w:p>
    <w:p>
      <w:pPr>
        <w:spacing w:after="0" w:line="40" w:lineRule="exact"/>
        <w:rPr>
          <w:sz w:val="20"/>
          <w:szCs w:val="20"/>
          <w:color w:val="auto"/>
        </w:rPr>
      </w:pPr>
    </w:p>
    <w:p>
      <w:pPr>
        <w:sectPr>
          <w:pgSz w:w="11900" w:h="16838" w:orient="portrait"/>
          <w:cols w:equalWidth="0" w:num="2">
            <w:col w:w="2380" w:space="720"/>
            <w:col w:w="8240"/>
          </w:cols>
          <w:pgMar w:left="240" w:top="165" w:right="319" w:bottom="1440" w:gutter="0" w:footer="0" w:header="0"/>
          <w:type w:val="continuous"/>
        </w:sectPr>
      </w:pPr>
    </w:p>
    <w:p>
      <w:pPr>
        <w:jc w:val="both"/>
        <w:ind w:left="1660" w:right="120"/>
        <w:spacing w:after="0" w:line="280" w:lineRule="auto"/>
        <w:rPr>
          <w:sz w:val="20"/>
          <w:szCs w:val="20"/>
          <w:color w:val="auto"/>
        </w:rPr>
      </w:pPr>
      <w:r>
        <w:rPr>
          <w:rFonts w:ascii="Arial" w:cs="Arial" w:eastAsia="Arial" w:hAnsi="Arial"/>
          <w:sz w:val="12"/>
          <w:szCs w:val="12"/>
          <w:color w:val="auto"/>
        </w:rPr>
        <w:t>have given at least thirty (30) days prior written notice to Agent of Borrowers’ intention to take any such action (which such written notice shall include an updated version of any Schedule impacted by such change) and have executed any and all documents, instruments and agreements and taken any other actions which Agent may reasonably request after receiving such written notice in order to protect and preserve the Liens, rights and remedies of Agent with respect to the Collateral: (i) change the legal name or organizational identification number of any Borrower as it appears in official filings in the jurisdiction of its organization, (ii) change the jurisdiction of incorporation or formation of any Borrower</w:t>
      </w:r>
    </w:p>
    <w:tbl>
      <w:tblPr>
        <w:tblLayout w:type="fixed"/>
        <w:tblInd w:w="220" w:type="dxa"/>
        <w:tblCellMar>
          <w:top w:w="0" w:type="dxa"/>
          <w:left w:w="0" w:type="dxa"/>
          <w:bottom w:w="0" w:type="dxa"/>
          <w:right w:w="0" w:type="dxa"/>
        </w:tblCellMar>
      </w:tblPr>
      <w:tr>
        <w:trPr>
          <w:trHeight w:val="151"/>
        </w:trPr>
        <w:tc>
          <w:tcPr>
            <w:tcW w:w="2280" w:type="dxa"/>
            <w:vAlign w:val="bottom"/>
          </w:tcPr>
          <w:p>
            <w:pPr>
              <w:ind w:left="1440"/>
              <w:spacing w:after="0" w:line="151" w:lineRule="exact"/>
              <w:rPr>
                <w:sz w:val="20"/>
                <w:szCs w:val="20"/>
                <w:color w:val="auto"/>
              </w:rPr>
            </w:pPr>
            <w:r>
              <w:rPr>
                <w:rFonts w:ascii="Arial" w:cs="Arial" w:eastAsia="Arial" w:hAnsi="Arial"/>
                <w:sz w:val="14"/>
                <w:szCs w:val="14"/>
                <w:color w:val="auto"/>
                <w:w w:val="90"/>
              </w:rPr>
              <w:t>or Credit Party</w:t>
            </w:r>
          </w:p>
        </w:tc>
        <w:tc>
          <w:tcPr>
            <w:tcW w:w="8720" w:type="dxa"/>
            <w:vAlign w:val="bottom"/>
          </w:tcPr>
          <w:p>
            <w:pPr>
              <w:jc w:val="right"/>
              <w:spacing w:after="0" w:line="151" w:lineRule="exact"/>
              <w:rPr>
                <w:sz w:val="20"/>
                <w:szCs w:val="20"/>
                <w:color w:val="auto"/>
              </w:rPr>
            </w:pPr>
            <w:r>
              <w:rPr>
                <w:rFonts w:ascii="Arial" w:cs="Arial" w:eastAsia="Arial" w:hAnsi="Arial"/>
                <w:sz w:val="14"/>
                <w:szCs w:val="14"/>
                <w:color w:val="auto"/>
                <w:w w:val="88"/>
              </w:rPr>
              <w:t>or allow any Borrower or Credit Party to designate any jurisdiction as an additional jurisdiction of incorporation for such Borrower or Credit Party, or change the</w:t>
            </w:r>
          </w:p>
        </w:tc>
      </w:tr>
      <w:tr>
        <w:trPr>
          <w:trHeight w:val="162"/>
        </w:trPr>
        <w:tc>
          <w:tcPr>
            <w:tcW w:w="11000" w:type="dxa"/>
            <w:vAlign w:val="bottom"/>
            <w:gridSpan w:val="2"/>
          </w:tcPr>
          <w:p>
            <w:pPr>
              <w:jc w:val="right"/>
              <w:spacing w:after="0"/>
              <w:rPr>
                <w:sz w:val="20"/>
                <w:szCs w:val="20"/>
                <w:color w:val="auto"/>
              </w:rPr>
            </w:pPr>
            <w:r>
              <w:rPr>
                <w:rFonts w:ascii="Arial" w:cs="Arial" w:eastAsia="Arial" w:hAnsi="Arial"/>
                <w:sz w:val="14"/>
                <w:szCs w:val="14"/>
                <w:color w:val="auto"/>
              </w:rPr>
              <w:t>type of entity that it is, or (iii) change its chief executive office, principal place of business, or the location of its books and records or move any Collateral (other than Inventory in</w:t>
            </w:r>
          </w:p>
        </w:tc>
      </w:tr>
      <w:tr>
        <w:trPr>
          <w:trHeight w:val="162"/>
        </w:trPr>
        <w:tc>
          <w:tcPr>
            <w:tcW w:w="11000" w:type="dxa"/>
            <w:vAlign w:val="bottom"/>
            <w:gridSpan w:val="2"/>
          </w:tcPr>
          <w:p>
            <w:pPr>
              <w:jc w:val="right"/>
              <w:spacing w:after="0"/>
              <w:rPr>
                <w:sz w:val="20"/>
                <w:szCs w:val="20"/>
                <w:color w:val="auto"/>
              </w:rPr>
            </w:pPr>
            <w:r>
              <w:rPr>
                <w:rFonts w:ascii="Arial" w:cs="Arial" w:eastAsia="Arial" w:hAnsi="Arial"/>
                <w:sz w:val="14"/>
                <w:szCs w:val="14"/>
                <w:color w:val="auto"/>
              </w:rPr>
              <w:t>transit) to or place any Collateral on any location that is not  then listed on the Schedules and/or establish any business location at any location that is not then listed on the</w:t>
            </w:r>
          </w:p>
        </w:tc>
      </w:tr>
      <w:tr>
        <w:trPr>
          <w:trHeight w:val="179"/>
        </w:trPr>
        <w:tc>
          <w:tcPr>
            <w:tcW w:w="2280" w:type="dxa"/>
            <w:vAlign w:val="bottom"/>
          </w:tcPr>
          <w:p>
            <w:pPr>
              <w:ind w:left="1440"/>
              <w:spacing w:after="0"/>
              <w:rPr>
                <w:sz w:val="20"/>
                <w:szCs w:val="20"/>
                <w:color w:val="auto"/>
              </w:rPr>
            </w:pPr>
            <w:r>
              <w:rPr>
                <w:rFonts w:ascii="Arial" w:cs="Arial" w:eastAsia="Arial" w:hAnsi="Arial"/>
                <w:sz w:val="14"/>
                <w:szCs w:val="14"/>
                <w:color w:val="auto"/>
              </w:rPr>
              <w:t>Schedules.</w:t>
            </w:r>
          </w:p>
        </w:tc>
        <w:tc>
          <w:tcPr>
            <w:tcW w:w="8720" w:type="dxa"/>
            <w:vAlign w:val="bottom"/>
          </w:tcPr>
          <w:p>
            <w:pPr>
              <w:spacing w:after="0"/>
              <w:rPr>
                <w:sz w:val="15"/>
                <w:szCs w:val="15"/>
                <w:color w:val="auto"/>
              </w:rPr>
            </w:pPr>
          </w:p>
        </w:tc>
      </w:tr>
      <w:tr>
        <w:trPr>
          <w:trHeight w:val="311"/>
        </w:trPr>
        <w:tc>
          <w:tcPr>
            <w:tcW w:w="2280" w:type="dxa"/>
            <w:vAlign w:val="bottom"/>
          </w:tcPr>
          <w:p>
            <w:pPr>
              <w:spacing w:after="0"/>
              <w:rPr>
                <w:sz w:val="20"/>
                <w:szCs w:val="20"/>
                <w:color w:val="auto"/>
              </w:rPr>
            </w:pPr>
            <w:r>
              <w:rPr>
                <w:rFonts w:ascii="Arial" w:cs="Arial" w:eastAsia="Arial" w:hAnsi="Arial"/>
                <w:sz w:val="14"/>
                <w:szCs w:val="14"/>
                <w:color w:val="auto"/>
              </w:rPr>
              <w:t>(f)</w:t>
            </w:r>
          </w:p>
        </w:tc>
        <w:tc>
          <w:tcPr>
            <w:tcW w:w="8720" w:type="dxa"/>
            <w:vAlign w:val="bottom"/>
          </w:tcPr>
          <w:p>
            <w:pPr>
              <w:jc w:val="right"/>
              <w:spacing w:after="0"/>
              <w:rPr>
                <w:sz w:val="20"/>
                <w:szCs w:val="20"/>
                <w:color w:val="auto"/>
              </w:rPr>
            </w:pPr>
            <w:r>
              <w:rPr>
                <w:rFonts w:ascii="Arial" w:cs="Arial" w:eastAsia="Arial" w:hAnsi="Arial"/>
                <w:sz w:val="14"/>
                <w:szCs w:val="14"/>
                <w:color w:val="auto"/>
                <w:w w:val="94"/>
              </w:rPr>
              <w:t>Borrowers shall not adjust, settle or compromise the amount or payment of any Account, or release wholly or partly any Account Debtor, or allow any</w:t>
            </w:r>
          </w:p>
        </w:tc>
      </w:tr>
    </w:tbl>
    <w:p>
      <w:pPr>
        <w:jc w:val="both"/>
        <w:ind w:left="1660" w:right="120"/>
        <w:spacing w:after="0" w:line="241" w:lineRule="auto"/>
        <w:rPr>
          <w:sz w:val="20"/>
          <w:szCs w:val="20"/>
          <w:color w:val="auto"/>
        </w:rPr>
      </w:pPr>
      <w:r>
        <w:rPr>
          <w:rFonts w:ascii="Arial" w:cs="Arial" w:eastAsia="Arial" w:hAnsi="Arial"/>
          <w:sz w:val="14"/>
          <w:szCs w:val="14"/>
          <w:color w:val="auto"/>
        </w:rPr>
        <w:t>credit or discount thereon (other than adjustments, settlements, compromises, credits and discounts in an amount not to exceed $50,000 individually or $250,000 in the aggregate in any fiscal year) without the prior written consent of Agent. Without limiting the generality of this Agreement or any other provisions of any of the Financing Documents relating to the rights of Agent after the occurrence and during the continuance of an Event of Default, Agent shall have the right at any time after the occurrence and during the continuance of an</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61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23" w:name="page124"/>
    <w:bookmarkEnd w:id="123"/>
    <w:p>
      <w:pPr>
        <w:ind w:left="260"/>
        <w:spacing w:after="0" w:line="250" w:lineRule="auto"/>
        <w:rPr>
          <w:sz w:val="20"/>
          <w:szCs w:val="20"/>
          <w:color w:val="auto"/>
        </w:rPr>
      </w:pPr>
      <w:r>
        <w:rPr>
          <w:rFonts w:ascii="Arial" w:cs="Arial" w:eastAsia="Arial" w:hAnsi="Arial"/>
          <w:sz w:val="14"/>
          <w:szCs w:val="14"/>
          <w:color w:val="auto"/>
        </w:rPr>
        <w:t>Event of Default to: (i) exercise the rights of Borrowers with respect to the obligation of any Account Debtor to make payment or otherwise render performance to Borrowers and with respect to any property that secures the obligations of any Account Debtor or any other Person obligated on the Collateral, and</w:t>
      </w:r>
    </w:p>
    <w:p>
      <w:pPr>
        <w:spacing w:after="0" w:line="1" w:lineRule="exact"/>
        <w:rPr>
          <w:sz w:val="20"/>
          <w:szCs w:val="20"/>
          <w:color w:val="auto"/>
        </w:rPr>
      </w:pPr>
    </w:p>
    <w:p>
      <w:pPr>
        <w:ind w:left="460" w:hanging="208"/>
        <w:spacing w:after="0"/>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adjust, settle or compromise the amount or payment of such Accounts.</w:t>
      </w:r>
    </w:p>
    <w:p>
      <w:pPr>
        <w:spacing w:after="0" w:line="132" w:lineRule="exact"/>
        <w:rPr>
          <w:rFonts w:ascii="Arial" w:cs="Arial" w:eastAsia="Arial" w:hAnsi="Arial"/>
          <w:sz w:val="14"/>
          <w:szCs w:val="14"/>
          <w:color w:val="auto"/>
        </w:rPr>
      </w:pPr>
    </w:p>
    <w:p>
      <w:pPr>
        <w:ind w:left="2820" w:hanging="858"/>
        <w:spacing w:after="0"/>
        <w:tabs>
          <w:tab w:leader="none" w:pos="2820" w:val="left"/>
        </w:tabs>
        <w:numPr>
          <w:ilvl w:val="1"/>
          <w:numId w:val="53"/>
        </w:numPr>
        <w:rPr>
          <w:rFonts w:ascii="Arial" w:cs="Arial" w:eastAsia="Arial" w:hAnsi="Arial"/>
          <w:sz w:val="14"/>
          <w:szCs w:val="14"/>
          <w:color w:val="auto"/>
        </w:rPr>
      </w:pPr>
      <w:r>
        <w:rPr>
          <w:rFonts w:ascii="Arial" w:cs="Arial" w:eastAsia="Arial" w:hAnsi="Arial"/>
          <w:sz w:val="14"/>
          <w:szCs w:val="14"/>
          <w:color w:val="auto"/>
        </w:rPr>
        <w:t>Without limiting the generality of Sections 9.2(c) and 9.2(d):</w:t>
      </w:r>
    </w:p>
    <w:p>
      <w:pPr>
        <w:sectPr>
          <w:pgSz w:w="11900" w:h="16838" w:orient="portrait"/>
          <w:cols w:equalWidth="0" w:num="1">
            <w:col w:w="11320"/>
          </w:cols>
          <w:pgMar w:left="240" w:top="165" w:right="339" w:bottom="1440" w:gutter="0" w:footer="0" w:header="0"/>
        </w:sectPr>
      </w:pPr>
    </w:p>
    <w:p>
      <w:pPr>
        <w:spacing w:after="0" w:line="15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120" w:firstLine="1429"/>
        <w:spacing w:after="0" w:line="291" w:lineRule="auto"/>
        <w:rPr>
          <w:sz w:val="20"/>
          <w:szCs w:val="20"/>
          <w:color w:val="auto"/>
        </w:rPr>
      </w:pPr>
      <w:r>
        <w:rPr>
          <w:rFonts w:ascii="Arial" w:cs="Arial" w:eastAsia="Arial" w:hAnsi="Arial"/>
          <w:sz w:val="12"/>
          <w:szCs w:val="12"/>
          <w:color w:val="auto"/>
        </w:rPr>
        <w:t>Borrowers shall deliver to Agent all tangible Chattel Paper and all Instruments and documents, with a value in excess of $100,000, owned by any Borrower and constituting part of the Collateral duly endorsed and accompanied by duly executed instruments of transfer or assignment, all in form and substance satisfactory to Agent. Borrowers shall provide Agent with “control” (as defined in Article 9 of the UCC) of all electronic Chattel Paper, with a value in excess of $100,000 in the aggregate for</w:t>
      </w:r>
    </w:p>
    <w:p>
      <w:pPr>
        <w:spacing w:after="0" w:line="1" w:lineRule="exact"/>
        <w:rPr>
          <w:sz w:val="20"/>
          <w:szCs w:val="20"/>
          <w:color w:val="auto"/>
        </w:rPr>
      </w:pPr>
    </w:p>
    <w:p>
      <w:pPr>
        <w:sectPr>
          <w:pgSz w:w="11900" w:h="16838" w:orient="portrait"/>
          <w:cols w:equalWidth="0" w:num="2">
            <w:col w:w="940" w:space="720"/>
            <w:col w:w="9660"/>
          </w:cols>
          <w:pgMar w:left="240" w:top="165" w:right="339" w:bottom="1440" w:gutter="0" w:footer="0" w:header="0"/>
          <w:type w:val="continuous"/>
        </w:sectPr>
      </w:pPr>
    </w:p>
    <w:tbl>
      <w:tblPr>
        <w:tblLayout w:type="fixed"/>
        <w:tblInd w:w="220" w:type="dxa"/>
        <w:tblCellMar>
          <w:top w:w="0" w:type="dxa"/>
          <w:left w:w="0" w:type="dxa"/>
          <w:bottom w:w="0" w:type="dxa"/>
          <w:right w:w="0" w:type="dxa"/>
        </w:tblCellMar>
      </w:tblPr>
      <w:tr>
        <w:trPr>
          <w:trHeight w:val="150"/>
        </w:trPr>
        <w:tc>
          <w:tcPr>
            <w:tcW w:w="820" w:type="dxa"/>
            <w:vAlign w:val="bottom"/>
          </w:tcPr>
          <w:p>
            <w:pPr>
              <w:spacing w:after="0"/>
              <w:rPr>
                <w:sz w:val="13"/>
                <w:szCs w:val="13"/>
                <w:color w:val="auto"/>
              </w:rPr>
            </w:pPr>
          </w:p>
        </w:tc>
        <w:tc>
          <w:tcPr>
            <w:tcW w:w="10180" w:type="dxa"/>
            <w:vAlign w:val="bottom"/>
          </w:tcPr>
          <w:p>
            <w:pPr>
              <w:ind w:left="620"/>
              <w:spacing w:after="0" w:line="151" w:lineRule="exact"/>
              <w:rPr>
                <w:sz w:val="20"/>
                <w:szCs w:val="20"/>
                <w:color w:val="auto"/>
              </w:rPr>
            </w:pPr>
            <w:r>
              <w:rPr>
                <w:rFonts w:ascii="Arial" w:cs="Arial" w:eastAsia="Arial" w:hAnsi="Arial"/>
                <w:sz w:val="14"/>
                <w:szCs w:val="14"/>
                <w:color w:val="auto"/>
                <w:w w:val="92"/>
              </w:rPr>
              <w:t>all such Chattel Paper, owned by any Borrower and constituting part of the Collateral by having Agent identified as the assignee on the records pertaining to the single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authoritative copy thereof and otherwise complying with the applicable elements of control set forth in the UCC. Borrowers also shall deliver to Agent all security agreements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securing any such Chattel Paper and securing any such Instruments. Borrowers shall comply with all the provisions of Section 5.14 with respect to the Deposit Accounts and</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Securities Accounts of Borrowers.</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(ii)</w:t>
            </w:r>
          </w:p>
        </w:tc>
        <w:tc>
          <w:tcPr>
            <w:tcW w:w="10180" w:type="dxa"/>
            <w:vAlign w:val="bottom"/>
          </w:tcPr>
          <w:p>
            <w:pPr>
              <w:ind w:left="2060"/>
              <w:spacing w:after="0"/>
              <w:rPr>
                <w:sz w:val="20"/>
                <w:szCs w:val="20"/>
                <w:color w:val="auto"/>
              </w:rPr>
            </w:pPr>
            <w:r>
              <w:rPr>
                <w:rFonts w:ascii="Arial" w:cs="Arial" w:eastAsia="Arial" w:hAnsi="Arial"/>
                <w:sz w:val="14"/>
                <w:szCs w:val="14"/>
                <w:color w:val="auto"/>
                <w:w w:val="88"/>
              </w:rPr>
              <w:t>Borrowers shall deliver to Agent all letters of credit with a face value in excess of $100,000 on which any Borrower is the beneficiary and which give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6"/>
              </w:rPr>
              <w:t>rise to letter of credit rights owned by such Borrower which constitute part of the Collateral in each case duly endorsed and accompanied by duly executed instruments of transfer</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7"/>
              </w:rPr>
              <w:t>or assignment, all in form and substance reasonably satisfactory to Agent. Borrowers shall take any and all actions as may be necessary or desirable, or that Agent may request,</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8"/>
              </w:rPr>
              <w:t>from time to time, to cause Agent to obtain exclusive “control” (as defined in Article 9 of the UCC) of any such letter of credit rights in a manner reasonably acceptable to Agent.</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(iii)</w:t>
            </w:r>
          </w:p>
        </w:tc>
        <w:tc>
          <w:tcPr>
            <w:tcW w:w="10180" w:type="dxa"/>
            <w:vAlign w:val="bottom"/>
          </w:tcPr>
          <w:p>
            <w:pPr>
              <w:ind w:left="2060"/>
              <w:spacing w:after="0"/>
              <w:rPr>
                <w:sz w:val="20"/>
                <w:szCs w:val="20"/>
                <w:color w:val="auto"/>
              </w:rPr>
            </w:pPr>
            <w:r>
              <w:rPr>
                <w:rFonts w:ascii="Arial" w:cs="Arial" w:eastAsia="Arial" w:hAnsi="Arial"/>
                <w:sz w:val="14"/>
                <w:szCs w:val="14"/>
                <w:color w:val="auto"/>
                <w:w w:val="92"/>
              </w:rPr>
              <w:t>Borrowers shall promptly advise Agent upon any Borrower becoming aware that it has any interests in any commercial tort claims in excess of</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$100,000 that constitutes part of the Collateral, which such notice shall include descriptions of the events and circumstances giving rise to such commercial tort claim and the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dates such events and circumstances occurred, the potential defendants with respect to such commercial tort claim and any court proceedings that have been instituted with</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6"/>
              </w:rPr>
              <w:t>respect to such commercial tort claims, and Borrowers shall, with respect to any such commercial tort claim, execute and deliver to Agent such documents as Agent shall request</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to perfect, preserve or protect the Liens, rights and remedies of Agent with respect to any such commercial tort claim.</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(iv)</w:t>
            </w:r>
          </w:p>
        </w:tc>
        <w:tc>
          <w:tcPr>
            <w:tcW w:w="10180" w:type="dxa"/>
            <w:vAlign w:val="bottom"/>
          </w:tcPr>
          <w:p>
            <w:pPr>
              <w:ind w:left="2060"/>
              <w:spacing w:after="0"/>
              <w:rPr>
                <w:sz w:val="20"/>
                <w:szCs w:val="20"/>
                <w:color w:val="auto"/>
              </w:rPr>
            </w:pPr>
            <w:r>
              <w:rPr>
                <w:rFonts w:ascii="Arial" w:cs="Arial" w:eastAsia="Arial" w:hAnsi="Arial"/>
                <w:sz w:val="14"/>
                <w:szCs w:val="14"/>
                <w:color w:val="auto"/>
                <w:w w:val="91"/>
              </w:rPr>
              <w:t>Except for Accounts, Inventory in transit and Inventory in an aggregate amount of $100,000, no Accounts or Inventory or other Collateral and no</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books and records and/or software and equipment of the Borrowers regarding any of the Collateral or any of the Borrower’s assets, liabilities, business operations or financial</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6"/>
              </w:rPr>
              <w:t>condition (unless also available at a location subject to a landlord waiver or similar agreement) shall at any time be located at any leased location or in the possession or control of</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7"/>
              </w:rPr>
              <w:t>any warehouse, consignee, bailee or any of Borrowers’ agents or processors, without prior written notice to Agent and the receipt by Agent, of warehouse receipts, consignment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8"/>
              </w:rPr>
              <w:t>agreements, landlord waivers, or bailee waivers (as applicable) reasonably satisfactory to Agent prior to the commencement of such lease or of such possession or control (as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91"/>
              </w:rPr>
              <w:t>applicable). Borrower has notified Agent that Collateral and books and records are currently located at the locations set forth on Schedule 9.2. Borrowers shall, upon the</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180" w:type="dxa"/>
            <w:vAlign w:val="bottom"/>
          </w:tcPr>
          <w:p>
            <w:pPr>
              <w:ind w:left="620"/>
              <w:spacing w:after="0"/>
              <w:rPr>
                <w:sz w:val="20"/>
                <w:szCs w:val="20"/>
                <w:color w:val="auto"/>
              </w:rPr>
            </w:pPr>
            <w:r>
              <w:rPr>
                <w:rFonts w:ascii="Arial" w:cs="Arial" w:eastAsia="Arial" w:hAnsi="Arial"/>
                <w:sz w:val="14"/>
                <w:szCs w:val="14"/>
                <w:color w:val="auto"/>
              </w:rPr>
              <w:t>reasonable request of Agent, notify any such landlord, warehouse, consignee, bailee, agent or</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0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0180" w:type="dxa"/>
            <w:vAlign w:val="bottom"/>
          </w:tcPr>
          <w:p>
            <w:pPr>
              <w:ind w:left="928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type w:val="continuous"/>
        </w:sectPr>
      </w:pPr>
    </w:p>
    <w:bookmarkStart w:id="124" w:name="page125"/>
    <w:bookmarkEnd w:id="124"/>
    <w:tbl>
      <w:tblPr>
        <w:tblLayout w:type="fixed"/>
        <w:tblInd w:w="2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0580" w:type="dxa"/>
            <w:vAlign w:val="bottom"/>
          </w:tcPr>
          <w:p>
            <w:pPr>
              <w:ind w:left="260"/>
              <w:spacing w:after="0"/>
              <w:rPr>
                <w:sz w:val="20"/>
                <w:szCs w:val="20"/>
                <w:color w:val="auto"/>
              </w:rPr>
            </w:pPr>
            <w:r>
              <w:rPr>
                <w:rFonts w:ascii="Arial" w:cs="Arial" w:eastAsia="Arial" w:hAnsi="Arial"/>
                <w:sz w:val="14"/>
                <w:szCs w:val="14"/>
                <w:color w:val="auto"/>
                <w:w w:val="93"/>
              </w:rPr>
              <w:t>processor of the security interests and Liens in favor of Agent created pursuant to this Agreement and the Security Documents, instruct such Person to hold all such Collateral for</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0580" w:type="dxa"/>
            <w:vAlign w:val="bottom"/>
          </w:tcPr>
          <w:p>
            <w:pPr>
              <w:ind w:left="260"/>
              <w:spacing w:after="0"/>
              <w:rPr>
                <w:sz w:val="20"/>
                <w:szCs w:val="20"/>
                <w:color w:val="auto"/>
              </w:rPr>
            </w:pPr>
            <w:r>
              <w:rPr>
                <w:rFonts w:ascii="Arial" w:cs="Arial" w:eastAsia="Arial" w:hAnsi="Arial"/>
                <w:sz w:val="14"/>
                <w:szCs w:val="14"/>
                <w:color w:val="auto"/>
              </w:rPr>
              <w:t>Agent’s account subject to Agent’s instructions and shall obtain an acknowledgement from such Person that such Person holds the Collateral for Agent’s benefit.</w:t>
            </w: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color w:val="auto"/>
              </w:rPr>
              <w:t>(v)</w:t>
            </w:r>
          </w:p>
        </w:tc>
        <w:tc>
          <w:tcPr>
            <w:tcW w:w="10580" w:type="dxa"/>
            <w:vAlign w:val="bottom"/>
          </w:tcPr>
          <w:p>
            <w:pPr>
              <w:jc w:val="right"/>
              <w:ind w:right="30"/>
              <w:spacing w:after="0"/>
              <w:rPr>
                <w:sz w:val="20"/>
                <w:szCs w:val="20"/>
                <w:color w:val="auto"/>
              </w:rPr>
            </w:pPr>
            <w:r>
              <w:rPr>
                <w:rFonts w:ascii="Arial" w:cs="Arial" w:eastAsia="Arial" w:hAnsi="Arial"/>
                <w:sz w:val="14"/>
                <w:szCs w:val="14"/>
                <w:color w:val="auto"/>
              </w:rPr>
              <w:t>Borrowers shall cause all equipment and other tangible personal property other than Inventory to be maintained and preserved in the same condition,</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6"/>
              </w:rPr>
              <w:t>repair and in working order as when new, ordinary wear and tear and casualty loss excepted, and shall promptly make or cause to be made all repairs, replacements and other</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7"/>
              </w:rPr>
              <w:t>improvements in connection therewith that are necessary or desirable to such end. Upon request of Agent, Borrowers shall promptly deliver to Agent any and all certificates of</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6"/>
              </w:rPr>
              <w:t>title, applications for title or similar evidence of ownership of all such tangible Personal Property and shall cause Agent to be named as lienholder on any such certificate of title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9"/>
              </w:rPr>
              <w:t>or other evidence of ownership except with respect to motor vehicles with an aggregate value of less than $100,000. Borrowers shall not permit any such tangible personal</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0580" w:type="dxa"/>
            <w:vAlign w:val="bottom"/>
          </w:tcPr>
          <w:p>
            <w:pPr>
              <w:ind w:left="920"/>
              <w:spacing w:after="0"/>
              <w:rPr>
                <w:sz w:val="20"/>
                <w:szCs w:val="20"/>
                <w:color w:val="auto"/>
              </w:rPr>
            </w:pPr>
            <w:r>
              <w:rPr>
                <w:rFonts w:ascii="Arial" w:cs="Arial" w:eastAsia="Arial" w:hAnsi="Arial"/>
                <w:sz w:val="14"/>
                <w:szCs w:val="14"/>
                <w:color w:val="auto"/>
              </w:rPr>
              <w:t>property to become fixtures to real estate unless such real estate is subject to a Lien in favor of Agent.</w:t>
            </w: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color w:val="auto"/>
              </w:rPr>
              <w:t>(vi)</w:t>
            </w:r>
          </w:p>
        </w:tc>
        <w:tc>
          <w:tcPr>
            <w:tcW w:w="10580" w:type="dxa"/>
            <w:vAlign w:val="bottom"/>
          </w:tcPr>
          <w:p>
            <w:pPr>
              <w:jc w:val="right"/>
              <w:ind w:right="30"/>
              <w:spacing w:after="0"/>
              <w:rPr>
                <w:sz w:val="20"/>
                <w:szCs w:val="20"/>
                <w:color w:val="auto"/>
              </w:rPr>
            </w:pPr>
            <w:r>
              <w:rPr>
                <w:rFonts w:ascii="Arial" w:cs="Arial" w:eastAsia="Arial" w:hAnsi="Arial"/>
                <w:sz w:val="14"/>
                <w:szCs w:val="14"/>
                <w:color w:val="auto"/>
              </w:rPr>
              <w:t>Each Borrower hereby authorizes Agent to file without the signature of such Borrower one or more UCC financing statements relating to liens on</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8"/>
              </w:rPr>
              <w:t>personal property relating to all or any part of the Collateral, which financing statements may list Agent as the “secured party” and such Borrower as the “debtor” and which</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5"/>
              </w:rPr>
              <w:t>describe and indicate the collateral covered thereby as all or any part of the Collateral under the Financing Documents in such jurisdictions as Agent from time to time determines</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5"/>
              </w:rPr>
              <w:t>are appropriate, and to file without the signature of such Borrower any continuations of or corrective amendments to any such financing statements, in any such case in order for</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6"/>
              </w:rPr>
              <w:t>Agent to perfect, preserve or protect the Liens, rights and remedies of Agent with respect to the Collateral. Each Borrower also ratifies its authorization for Agent to have filed in</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0580" w:type="dxa"/>
            <w:vAlign w:val="bottom"/>
          </w:tcPr>
          <w:p>
            <w:pPr>
              <w:ind w:left="920"/>
              <w:spacing w:after="0"/>
              <w:rPr>
                <w:sz w:val="20"/>
                <w:szCs w:val="20"/>
                <w:color w:val="auto"/>
              </w:rPr>
            </w:pPr>
            <w:r>
              <w:rPr>
                <w:rFonts w:ascii="Arial" w:cs="Arial" w:eastAsia="Arial" w:hAnsi="Arial"/>
                <w:sz w:val="14"/>
                <w:szCs w:val="14"/>
                <w:color w:val="auto"/>
              </w:rPr>
              <w:t>any jurisdiction any initial financing statements or amendments thereto if filed prior to the date hereof.</w:t>
            </w: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color w:val="auto"/>
              </w:rPr>
              <w:t>(vii)</w:t>
            </w:r>
          </w:p>
        </w:tc>
        <w:tc>
          <w:tcPr>
            <w:tcW w:w="10580" w:type="dxa"/>
            <w:vAlign w:val="bottom"/>
          </w:tcPr>
          <w:p>
            <w:pPr>
              <w:jc w:val="right"/>
              <w:ind w:right="50"/>
              <w:spacing w:after="0"/>
              <w:rPr>
                <w:sz w:val="20"/>
                <w:szCs w:val="20"/>
                <w:color w:val="auto"/>
              </w:rPr>
            </w:pPr>
            <w:r>
              <w:rPr>
                <w:rFonts w:ascii="Arial" w:cs="Arial" w:eastAsia="Arial" w:hAnsi="Arial"/>
                <w:sz w:val="14"/>
                <w:szCs w:val="14"/>
                <w:color w:val="auto"/>
              </w:rPr>
              <w:t>As of the Closing Date, no Borrower holds, and after the Closing Date Borrowers shall promptly notify Agent in writing upon creation or acquisition</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50"/>
              <w:spacing w:after="0"/>
              <w:rPr>
                <w:sz w:val="20"/>
                <w:szCs w:val="20"/>
                <w:color w:val="auto"/>
              </w:rPr>
            </w:pPr>
            <w:r>
              <w:rPr>
                <w:rFonts w:ascii="Arial" w:cs="Arial" w:eastAsia="Arial" w:hAnsi="Arial"/>
                <w:sz w:val="14"/>
                <w:szCs w:val="14"/>
                <w:color w:val="auto"/>
                <w:w w:val="98"/>
              </w:rPr>
              <w:t>by any Borrower of, any Collateral which constitutes a claim against any Governmental Authority, including, without limitation, the federal government of the United States or</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6"/>
              </w:rPr>
              <w:t>any instrumentality or agency thereof, the assignment of which claim is restricted by any applicable Law, including, without limitation, the federal Assignment of Claims Act and</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6"/>
              </w:rPr>
              <w:t>any other comparable Law. Upon the request of Agent, Borrowers shall take such steps as may be necessary or desirable, or that Agent may request, to comply with any such</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0580" w:type="dxa"/>
            <w:vAlign w:val="bottom"/>
          </w:tcPr>
          <w:p>
            <w:pPr>
              <w:ind w:left="920"/>
              <w:spacing w:after="0"/>
              <w:rPr>
                <w:sz w:val="20"/>
                <w:szCs w:val="20"/>
                <w:color w:val="auto"/>
              </w:rPr>
            </w:pPr>
            <w:r>
              <w:rPr>
                <w:rFonts w:ascii="Arial" w:cs="Arial" w:eastAsia="Arial" w:hAnsi="Arial"/>
                <w:sz w:val="14"/>
                <w:szCs w:val="14"/>
                <w:color w:val="auto"/>
              </w:rPr>
              <w:t>applicable Law in respect of any claim exceeding $50,000 or $250,000 in the aggregate with respect to all such claims.</w:t>
            </w: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color w:val="auto"/>
              </w:rPr>
              <w:t>(viii)</w:t>
            </w:r>
          </w:p>
        </w:tc>
        <w:tc>
          <w:tcPr>
            <w:tcW w:w="10580" w:type="dxa"/>
            <w:vAlign w:val="bottom"/>
          </w:tcPr>
          <w:p>
            <w:pPr>
              <w:jc w:val="right"/>
              <w:ind w:right="30"/>
              <w:spacing w:after="0"/>
              <w:rPr>
                <w:sz w:val="20"/>
                <w:szCs w:val="20"/>
                <w:color w:val="auto"/>
              </w:rPr>
            </w:pPr>
            <w:r>
              <w:rPr>
                <w:rFonts w:ascii="Arial" w:cs="Arial" w:eastAsia="Arial" w:hAnsi="Arial"/>
                <w:sz w:val="14"/>
                <w:szCs w:val="14"/>
                <w:color w:val="auto"/>
              </w:rPr>
              <w:t>Borrowers shall furnish to Agent from time to time any statements and schedules further identifying or describing the Collateral and any other</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0580" w:type="dxa"/>
            <w:vAlign w:val="bottom"/>
          </w:tcPr>
          <w:p>
            <w:pPr>
              <w:ind w:left="920"/>
              <w:spacing w:after="0"/>
              <w:rPr>
                <w:sz w:val="20"/>
                <w:szCs w:val="20"/>
                <w:color w:val="auto"/>
              </w:rPr>
            </w:pPr>
            <w:r>
              <w:rPr>
                <w:rFonts w:ascii="Arial" w:cs="Arial" w:eastAsia="Arial" w:hAnsi="Arial"/>
                <w:sz w:val="14"/>
                <w:szCs w:val="14"/>
                <w:color w:val="auto"/>
              </w:rPr>
              <w:t>information, reports or evidence concerning the Collateral as Agent may reasonably request from time to time.</w:t>
            </w:r>
          </w:p>
        </w:tc>
        <w:tc>
          <w:tcPr>
            <w:tcW w:w="0" w:type="dxa"/>
            <w:vAlign w:val="bottom"/>
          </w:tcPr>
          <w:p>
            <w:pPr>
              <w:spacing w:after="0"/>
              <w:rPr>
                <w:sz w:val="1"/>
                <w:szCs w:val="1"/>
                <w:color w:val="auto"/>
              </w:rPr>
            </w:pPr>
          </w:p>
        </w:tc>
      </w:tr>
      <w:tr>
        <w:trPr>
          <w:trHeight w:val="299"/>
        </w:trPr>
        <w:tc>
          <w:tcPr>
            <w:tcW w:w="520" w:type="dxa"/>
            <w:vAlign w:val="bottom"/>
          </w:tcPr>
          <w:p>
            <w:pPr>
              <w:spacing w:after="0"/>
              <w:rPr>
                <w:sz w:val="20"/>
                <w:szCs w:val="20"/>
                <w:color w:val="auto"/>
              </w:rPr>
            </w:pPr>
            <w:r>
              <w:rPr>
                <w:rFonts w:ascii="Arial" w:cs="Arial" w:eastAsia="Arial" w:hAnsi="Arial"/>
                <w:sz w:val="14"/>
                <w:szCs w:val="14"/>
                <w:color w:val="auto"/>
              </w:rPr>
              <w:t>(ix)</w:t>
            </w:r>
          </w:p>
        </w:tc>
        <w:tc>
          <w:tcPr>
            <w:tcW w:w="10580" w:type="dxa"/>
            <w:vAlign w:val="bottom"/>
          </w:tcPr>
          <w:p>
            <w:pPr>
              <w:jc w:val="right"/>
              <w:ind w:right="50"/>
              <w:spacing w:after="0"/>
              <w:rPr>
                <w:sz w:val="20"/>
                <w:szCs w:val="20"/>
                <w:color w:val="auto"/>
              </w:rPr>
            </w:pPr>
            <w:r>
              <w:rPr>
                <w:rFonts w:ascii="Arial" w:cs="Arial" w:eastAsia="Arial" w:hAnsi="Arial"/>
                <w:sz w:val="14"/>
                <w:szCs w:val="14"/>
                <w:color w:val="auto"/>
              </w:rPr>
              <w:t>Notwithstanding anything in this Agreement or any other Financing Document to the contrary, Borrowers shall not be required to take any steps (A) to</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8"/>
              </w:rPr>
              <w:t>perfect any security interest in any leasehold interest in real property and (B) to perfect any security interest under the laws of any jurisdiction other than the United States of</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0580" w:type="dxa"/>
            <w:vAlign w:val="bottom"/>
          </w:tcPr>
          <w:p>
            <w:pPr>
              <w:jc w:val="right"/>
              <w:ind w:right="30"/>
              <w:spacing w:after="0"/>
              <w:rPr>
                <w:sz w:val="20"/>
                <w:szCs w:val="20"/>
                <w:color w:val="auto"/>
              </w:rPr>
            </w:pPr>
            <w:r>
              <w:rPr>
                <w:rFonts w:ascii="Arial" w:cs="Arial" w:eastAsia="Arial" w:hAnsi="Arial"/>
                <w:sz w:val="14"/>
                <w:szCs w:val="14"/>
                <w:color w:val="auto"/>
                <w:w w:val="94"/>
              </w:rPr>
              <w:t>America (or any state thereof) in those assets as to which Agent determines (in its reasonable discretion) that the cost of obtaining such a security interest or perfection thereof are</w:t>
            </w:r>
          </w:p>
        </w:tc>
        <w:tc>
          <w:tcPr>
            <w:tcW w:w="0" w:type="dxa"/>
            <w:vAlign w:val="bottom"/>
          </w:tcPr>
          <w:p>
            <w:pPr>
              <w:spacing w:after="0"/>
              <w:rPr>
                <w:sz w:val="1"/>
                <w:szCs w:val="1"/>
                <w:color w:val="auto"/>
              </w:rPr>
            </w:pPr>
          </w:p>
        </w:tc>
      </w:tr>
      <w:tr>
        <w:trPr>
          <w:trHeight w:val="179"/>
        </w:trPr>
        <w:tc>
          <w:tcPr>
            <w:tcW w:w="52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580" w:type="dxa"/>
            <w:vAlign w:val="bottom"/>
          </w:tcPr>
          <w:p>
            <w:pPr>
              <w:ind w:left="920"/>
              <w:spacing w:after="0"/>
              <w:rPr>
                <w:sz w:val="20"/>
                <w:szCs w:val="20"/>
                <w:color w:val="auto"/>
              </w:rPr>
            </w:pPr>
            <w:r>
              <w:rPr>
                <w:rFonts w:ascii="Arial" w:cs="Arial" w:eastAsia="Arial" w:hAnsi="Arial"/>
                <w:sz w:val="14"/>
                <w:szCs w:val="14"/>
                <w:color w:val="auto"/>
              </w:rPr>
              <w:t>excessive in relation to the benefit to Lenders of the security to be afforded thereby.</w:t>
            </w:r>
          </w:p>
        </w:tc>
        <w:tc>
          <w:tcPr>
            <w:tcW w:w="0" w:type="dxa"/>
            <w:vAlign w:val="bottom"/>
          </w:tcPr>
          <w:p>
            <w:pPr>
              <w:spacing w:after="0"/>
              <w:rPr>
                <w:sz w:val="1"/>
                <w:szCs w:val="1"/>
                <w:color w:val="auto"/>
              </w:rPr>
            </w:pPr>
          </w:p>
        </w:tc>
      </w:tr>
      <w:tr>
        <w:trPr>
          <w:trHeight w:val="162"/>
        </w:trPr>
        <w:tc>
          <w:tcPr>
            <w:tcW w:w="520" w:type="dxa"/>
            <w:vAlign w:val="bottom"/>
            <w:vMerge w:val="continue"/>
          </w:tcPr>
          <w:p>
            <w:pPr>
              <w:spacing w:after="0"/>
              <w:rPr>
                <w:sz w:val="14"/>
                <w:szCs w:val="14"/>
                <w:color w:val="auto"/>
              </w:rPr>
            </w:pPr>
          </w:p>
        </w:tc>
        <w:tc>
          <w:tcPr>
            <w:tcW w:w="10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4"/>
                <w:szCs w:val="24"/>
                <w:color w:val="auto"/>
              </w:rPr>
            </w:pPr>
          </w:p>
        </w:tc>
        <w:tc>
          <w:tcPr>
            <w:tcW w:w="10580" w:type="dxa"/>
            <w:vAlign w:val="bottom"/>
          </w:tcPr>
          <w:p>
            <w:pPr>
              <w:jc w:val="right"/>
              <w:ind w:right="79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125" w:name="page126"/>
    <w:bookmarkEnd w:id="125"/>
    <w:p>
      <w:pPr>
        <w:ind w:left="220"/>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r>
        <w:rPr>
          <w:sz w:val="20"/>
          <w:szCs w:val="20"/>
          <w:color w:val="auto"/>
        </w:rPr>
        <w:br w:type="column"/>
      </w:r>
    </w:p>
    <w:p>
      <w:pPr>
        <w:jc w:val="both"/>
        <w:ind w:right="80" w:firstLine="1429"/>
        <w:spacing w:after="0" w:line="290" w:lineRule="auto"/>
        <w:rPr>
          <w:sz w:val="20"/>
          <w:szCs w:val="20"/>
          <w:color w:val="auto"/>
        </w:rPr>
      </w:pPr>
      <w:r>
        <w:rPr>
          <w:rFonts w:ascii="Arial" w:cs="Arial" w:eastAsia="Arial" w:hAnsi="Arial"/>
          <w:sz w:val="12"/>
          <w:szCs w:val="12"/>
          <w:color w:val="auto"/>
        </w:rPr>
        <w:t xml:space="preserve">If any Borrower desires to enter into a Permitted License and the proposed licensee under such Permitted License requests that Agent enter into a non-disturbance agreement (or similar agreement) in connection with such Permitted License, Agent hereby agrees to negotiate in good faith and on a commercially reasonable basis with such Borrower and such licensee to enter into such a non-disturbance and attornment agreement with respect to the proposed Permitted License and the Intellectual Property that is the subject thereof, which shall provide (among other things) (A) that, notwithstanding any exercise of rights and/or remedies by the Agent under this Agreement after a Springing IP Event in respect of the Intellectual Property that is the subject of such Permitted License, such licensee shall continue to have the rights and licenses set forth in its license agreement to the extent that such licensee is in compliance with the terms thereof;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any bankruptcy or insolvency proceeding with respect to such Borrower the rights of such licensee and the Agent shall be determined in accordance with the Bankruptcy Code (or other Laws applicable to such proceeding), (B) an acknowledgement and consent by such licensee of Agent’s security interest in the Collateral (including, to the extent applicable, such Permitted License and the Intellectual Property that is the subject thereof), and (C) that such Permitted License shall attorn to the owner of such Intellectual Property after such exercise of rights and remedies.</w:t>
      </w:r>
    </w:p>
    <w:p>
      <w:pPr>
        <w:spacing w:after="0" w:line="108" w:lineRule="exact"/>
        <w:rPr>
          <w:sz w:val="20"/>
          <w:szCs w:val="20"/>
          <w:color w:val="auto"/>
        </w:rPr>
      </w:pPr>
    </w:p>
    <w:p>
      <w:pPr>
        <w:sectPr>
          <w:pgSz w:w="11900" w:h="16838" w:orient="portrait"/>
          <w:cols w:equalWidth="0" w:num="2">
            <w:col w:w="940" w:space="720"/>
            <w:col w:w="9640"/>
          </w:cols>
          <w:pgMar w:left="240" w:top="128" w:right="359" w:bottom="1440" w:gutter="0" w:footer="0" w:header="0"/>
        </w:sectPr>
      </w:pPr>
    </w:p>
    <w:p>
      <w:pPr>
        <w:ind w:left="3440"/>
        <w:spacing w:after="0"/>
        <w:rPr>
          <w:sz w:val="20"/>
          <w:szCs w:val="20"/>
          <w:color w:val="auto"/>
        </w:rPr>
      </w:pPr>
      <w:r>
        <w:rPr>
          <w:rFonts w:ascii="Arial" w:cs="Arial" w:eastAsia="Arial" w:hAnsi="Arial"/>
          <w:sz w:val="13"/>
          <w:szCs w:val="13"/>
          <w:b w:val="1"/>
          <w:bCs w:val="1"/>
          <w:color w:val="auto"/>
        </w:rPr>
        <w:t>ARTICLE 10 - EVENTS OF DEFAULT</w:t>
      </w:r>
    </w:p>
    <w:p>
      <w:pPr>
        <w:sectPr>
          <w:pgSz w:w="11900" w:h="16838" w:orient="portrait"/>
          <w:cols w:equalWidth="0" w:num="1">
            <w:col w:w="11300"/>
          </w:cols>
          <w:pgMar w:left="240" w:top="128" w:right="359" w:bottom="1440" w:gutter="0" w:footer="0" w:header="0"/>
          <w:type w:val="continuous"/>
        </w:sectPr>
      </w:pPr>
    </w:p>
    <w:p>
      <w:pPr>
        <w:spacing w:after="0" w:line="166" w:lineRule="exact"/>
        <w:rPr>
          <w:sz w:val="20"/>
          <w:szCs w:val="20"/>
          <w:color w:val="auto"/>
        </w:rPr>
      </w:pPr>
    </w:p>
    <w:p>
      <w:pPr>
        <w:ind w:left="140" w:firstLine="835"/>
        <w:spacing w:after="0" w:line="274" w:lineRule="auto"/>
        <w:rPr>
          <w:sz w:val="20"/>
          <w:szCs w:val="20"/>
          <w:color w:val="auto"/>
        </w:rPr>
      </w:pPr>
      <w:r>
        <w:rPr>
          <w:rFonts w:ascii="Arial" w:cs="Arial" w:eastAsia="Arial" w:hAnsi="Arial"/>
          <w:sz w:val="14"/>
          <w:szCs w:val="14"/>
          <w:b w:val="1"/>
          <w:bCs w:val="1"/>
          <w:color w:val="auto"/>
        </w:rPr>
        <w:t xml:space="preserve">Section 10.1 </w:t>
      </w:r>
      <w:r>
        <w:rPr>
          <w:rFonts w:ascii="Arial" w:cs="Arial" w:eastAsia="Arial" w:hAnsi="Arial"/>
          <w:sz w:val="14"/>
          <w:szCs w:val="14"/>
          <w:u w:val="single" w:color="auto"/>
          <w:color w:val="auto"/>
        </w:rPr>
        <w:t>Events of Default</w:t>
      </w:r>
      <w:r>
        <w:rPr>
          <w:rFonts w:ascii="Arial" w:cs="Arial" w:eastAsia="Arial" w:hAnsi="Arial"/>
          <w:sz w:val="14"/>
          <w:szCs w:val="14"/>
          <w:color w:val="auto"/>
        </w:rPr>
        <w:t>. For purposes of the Financing Documents, the occurrence of any of the following conditions and/or events, whether voluntary or involuntary, by</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 of law or otherwise, shall constitute an “</w:t>
      </w:r>
      <w:r>
        <w:rPr>
          <w:rFonts w:ascii="Arial" w:cs="Arial" w:eastAsia="Arial" w:hAnsi="Arial"/>
          <w:sz w:val="14"/>
          <w:szCs w:val="14"/>
          <w:b w:val="1"/>
          <w:bCs w:val="1"/>
          <w:color w:val="auto"/>
        </w:rPr>
        <w:t>Event of Default</w:t>
      </w:r>
      <w:r>
        <w:rPr>
          <w:rFonts w:ascii="Arial" w:cs="Arial" w:eastAsia="Arial" w:hAnsi="Arial"/>
          <w:sz w:val="14"/>
          <w:szCs w:val="14"/>
          <w:color w:val="auto"/>
        </w:rPr>
        <w:t>”:</w:t>
      </w:r>
    </w:p>
    <w:p>
      <w:pPr>
        <w:sectPr>
          <w:pgSz w:w="11900" w:h="16838" w:orient="portrait"/>
          <w:cols w:equalWidth="0" w:num="1">
            <w:col w:w="11300"/>
          </w:cols>
          <w:pgMar w:left="240" w:top="128" w:right="359" w:bottom="1440"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ind w:right="80" w:firstLine="1429"/>
        <w:spacing w:after="0" w:line="317" w:lineRule="auto"/>
        <w:rPr>
          <w:sz w:val="20"/>
          <w:szCs w:val="20"/>
          <w:color w:val="auto"/>
        </w:rPr>
      </w:pPr>
      <w:r>
        <w:rPr>
          <w:rFonts w:ascii="Arial" w:cs="Arial" w:eastAsia="Arial" w:hAnsi="Arial"/>
          <w:sz w:val="12"/>
          <w:szCs w:val="12"/>
          <w:color w:val="auto"/>
        </w:rPr>
        <w:t>(i) any Borrower shall fail to pay any principal or interest under any Financing Document when due or pay any premium, fee or any other amount payable under any Financing Document within three (3) Business Days of when due, or (ii) there shall occur any default in the performance of or compliance with any of the following sections of this Agreement: Section 2.11, Section 4.1, Section 4.2(b), Section 4.4(c), Section 4.6, 4.15, 4.16, 4.17, Article 5, Article 6, Section 7.4 or Article 8;</w:t>
      </w:r>
    </w:p>
    <w:p>
      <w:pPr>
        <w:spacing w:after="0" w:line="93" w:lineRule="exact"/>
        <w:rPr>
          <w:sz w:val="20"/>
          <w:szCs w:val="20"/>
          <w:color w:val="auto"/>
        </w:rPr>
      </w:pPr>
    </w:p>
    <w:p>
      <w:pPr>
        <w:sectPr>
          <w:pgSz w:w="11900" w:h="16838" w:orient="portrait"/>
          <w:cols w:equalWidth="0" w:num="2">
            <w:col w:w="940" w:space="720"/>
            <w:col w:w="9640"/>
          </w:cols>
          <w:pgMar w:left="240" w:top="128" w:right="359" w:bottom="1440" w:gutter="0" w:footer="0" w:header="0"/>
          <w:type w:val="continuous"/>
        </w:sectPr>
      </w:pPr>
    </w:p>
    <w:p>
      <w:pPr>
        <w:ind w:left="220"/>
        <w:spacing w:after="0"/>
        <w:tabs>
          <w:tab w:leader="none" w:pos="308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any Credit Party defaults in the performance of or compliance with any term contained in this Agreement or in any other Financing Document</w:t>
      </w:r>
    </w:p>
    <w:p>
      <w:pPr>
        <w:sectPr>
          <w:pgSz w:w="11900" w:h="16838" w:orient="portrait"/>
          <w:cols w:equalWidth="0" w:num="1">
            <w:col w:w="11300"/>
          </w:cols>
          <w:pgMar w:left="240" w:top="128" w:right="359" w:bottom="1440" w:gutter="0" w:footer="0" w:header="0"/>
          <w:type w:val="continuous"/>
        </w:sectPr>
      </w:pPr>
    </w:p>
    <w:p>
      <w:pPr>
        <w:spacing w:after="0" w:line="29" w:lineRule="exact"/>
        <w:rPr>
          <w:sz w:val="20"/>
          <w:szCs w:val="20"/>
          <w:color w:val="auto"/>
        </w:rPr>
      </w:pPr>
    </w:p>
    <w:p>
      <w:pPr>
        <w:jc w:val="both"/>
        <w:ind w:left="1660" w:right="100"/>
        <w:spacing w:after="0" w:line="239" w:lineRule="auto"/>
        <w:rPr>
          <w:sz w:val="20"/>
          <w:szCs w:val="20"/>
          <w:color w:val="auto"/>
        </w:rPr>
      </w:pPr>
      <w:r>
        <w:rPr>
          <w:rFonts w:ascii="Arial" w:cs="Arial" w:eastAsia="Arial" w:hAnsi="Arial"/>
          <w:sz w:val="14"/>
          <w:szCs w:val="14"/>
          <w:color w:val="auto"/>
        </w:rPr>
        <w:t>(other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twenty (20) days after the earlier of</w:t>
      </w:r>
    </w:p>
    <w:p>
      <w:pPr>
        <w:ind w:left="540" w:hanging="296"/>
        <w:spacing w:after="0" w:line="229"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receipt by Borrower Representative of notice from Agent or Required Lenders of such default, or</w:t>
      </w:r>
    </w:p>
    <w:p>
      <w:pPr>
        <w:ind w:left="620" w:hanging="376"/>
        <w:spacing w:after="0"/>
        <w:tabs>
          <w:tab w:leader="none" w:pos="6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actual knowledge of any Borrower or any other Credit Party of such default;</w:t>
      </w:r>
    </w:p>
    <w:p>
      <w:pPr>
        <w:spacing w:after="0" w:line="133"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jc w:val="right"/>
              <w:spacing w:after="0"/>
              <w:rPr>
                <w:sz w:val="20"/>
                <w:szCs w:val="20"/>
                <w:color w:val="auto"/>
              </w:rPr>
            </w:pPr>
            <w:r>
              <w:rPr>
                <w:rFonts w:ascii="Arial" w:cs="Arial" w:eastAsia="Arial" w:hAnsi="Arial"/>
                <w:sz w:val="14"/>
                <w:szCs w:val="14"/>
                <w:color w:val="auto"/>
              </w:rPr>
              <w:t>any representation, warranty, certification or statement made by any Credit Party or any other Person in any Financing Document or in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certificate, financial statement or other document delivered pursuant to any Financing Document is incorrect in any respect (or in any material respect if such representation,</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warranty, certification or statement is not by its terms already qualified as to materiality) when made (or deemed made);</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jc w:val="right"/>
              <w:spacing w:after="0"/>
              <w:rPr>
                <w:sz w:val="20"/>
                <w:szCs w:val="20"/>
                <w:color w:val="auto"/>
              </w:rPr>
            </w:pPr>
            <w:r>
              <w:rPr>
                <w:rFonts w:ascii="Arial" w:cs="Arial" w:eastAsia="Arial" w:hAnsi="Arial"/>
                <w:sz w:val="14"/>
                <w:szCs w:val="14"/>
                <w:color w:val="auto"/>
              </w:rPr>
              <w:t>(i) failure of any Credit Party to pay when due or within any applicable grace period any principal, interest or other amount on Debt (other than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5"/>
              </w:rPr>
              <w:t>Loans), or the occurrence of any breach, default, condition or event with respect to any Debt (other than the Loans), if the effect of such failure or occurrence is to cause or to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jc w:val="right"/>
              <w:spacing w:after="0"/>
              <w:rPr>
                <w:sz w:val="20"/>
                <w:szCs w:val="20"/>
                <w:color w:val="auto"/>
              </w:rPr>
            </w:pPr>
            <w:r>
              <w:rPr>
                <w:rFonts w:ascii="Arial" w:cs="Arial" w:eastAsia="Arial" w:hAnsi="Arial"/>
                <w:sz w:val="14"/>
                <w:szCs w:val="14"/>
                <w:color w:val="auto"/>
                <w:w w:val="99"/>
              </w:rPr>
              <w:t>permit the holder or holders of any such Debt, or to cause, Debt or other liabilities having an individual principal amount in excess of $500,000 or having an aggregate</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principal amount in excess of $500,000 to become or be declared due prior to its stated maturity, or</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00"/>
          </w:cols>
          <w:pgMar w:left="240" w:top="128" w:right="359" w:bottom="1440" w:gutter="0" w:footer="0" w:header="0"/>
          <w:type w:val="continuous"/>
        </w:sectPr>
      </w:pPr>
    </w:p>
    <w:bookmarkStart w:id="126" w:name="page127"/>
    <w:bookmarkEnd w:id="126"/>
    <w:p>
      <w:pPr>
        <w:ind w:left="260" w:hanging="8"/>
        <w:spacing w:after="0" w:line="268" w:lineRule="auto"/>
        <w:tabs>
          <w:tab w:leader="none" w:pos="47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occurrence of any breach or default under any terms or provisions of any Subordinated Debt Document or under any agreement subordinating the Subordinated Debt to all or any portion of the Obligations or the occurrence of any event requiring the prepayment of any Subordinated Debt;</w:t>
      </w:r>
    </w:p>
    <w:p>
      <w:pPr>
        <w:sectPr>
          <w:pgSz w:w="11900" w:h="16838" w:orient="portrait"/>
          <w:cols w:equalWidth="0" w:num="1">
            <w:col w:w="11320"/>
          </w:cols>
          <w:pgMar w:left="240" w:top="165" w:right="339" w:bottom="1440" w:gutter="0" w:footer="0" w:header="0"/>
        </w:sectPr>
      </w:pPr>
    </w:p>
    <w:p>
      <w:pPr>
        <w:spacing w:after="0" w:line="11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100" w:firstLine="1429"/>
        <w:spacing w:after="0" w:line="272" w:lineRule="auto"/>
        <w:rPr>
          <w:sz w:val="20"/>
          <w:szCs w:val="20"/>
          <w:color w:val="auto"/>
        </w:rPr>
      </w:pPr>
      <w:r>
        <w:rPr>
          <w:rFonts w:ascii="Arial" w:cs="Arial" w:eastAsia="Arial" w:hAnsi="Arial"/>
          <w:sz w:val="13"/>
          <w:szCs w:val="13"/>
          <w:color w:val="auto"/>
        </w:rPr>
        <w:t>any Credit Party or any Subsidiary of a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17" w:lineRule="exact"/>
        <w:rPr>
          <w:sz w:val="20"/>
          <w:szCs w:val="20"/>
          <w:color w:val="auto"/>
        </w:rPr>
      </w:pPr>
    </w:p>
    <w:p>
      <w:pPr>
        <w:sectPr>
          <w:pgSz w:w="11900" w:h="16838" w:orient="portrait"/>
          <w:cols w:equalWidth="0" w:num="2">
            <w:col w:w="940" w:space="720"/>
            <w:col w:w="9660"/>
          </w:cols>
          <w:pgMar w:left="240" w:top="165" w:right="339" w:bottom="1440" w:gutter="0" w:footer="0" w:header="0"/>
          <w:type w:val="continuous"/>
        </w:sectPr>
      </w:pPr>
    </w:p>
    <w:p>
      <w:pPr>
        <w:ind w:left="220"/>
        <w:spacing w:after="0"/>
        <w:tabs>
          <w:tab w:leader="none" w:pos="3080" w:val="left"/>
        </w:tabs>
        <w:rPr>
          <w:sz w:val="20"/>
          <w:szCs w:val="20"/>
          <w:color w:val="auto"/>
        </w:rPr>
      </w:pPr>
      <w:r>
        <w:rPr>
          <w:rFonts w:ascii="Arial" w:cs="Arial" w:eastAsia="Arial" w:hAnsi="Arial"/>
          <w:sz w:val="13"/>
          <w:szCs w:val="13"/>
          <w:color w:val="auto"/>
        </w:rPr>
        <w:t>(f)</w:t>
      </w:r>
      <w:r>
        <w:rPr>
          <w:sz w:val="20"/>
          <w:szCs w:val="20"/>
          <w:color w:val="auto"/>
        </w:rPr>
        <w:tab/>
      </w:r>
      <w:r>
        <w:rPr>
          <w:rFonts w:ascii="Arial" w:cs="Arial" w:eastAsia="Arial" w:hAnsi="Arial"/>
          <w:sz w:val="13"/>
          <w:szCs w:val="13"/>
          <w:color w:val="auto"/>
        </w:rPr>
        <w:t>an involuntary case or other proceeding shall be commenced against any Credit Party or any Subsidiary of a Borrower seeking liquidation,</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reorganization or other relief with respect to it or its debts under any bankruptcy, insolvency or other similar law now or hereafter in effect or seeking the appointment of a</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trustee, receiver, liquidator, custodian or other similar official of it or any substantial part of its property, and such involuntary case or other proceeding shall remain</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undismissed and unstayed for a period of sixty (60) days; or an order for relief shall be entered against any Credit Party or any Subsidiary of a Borrower under applicable</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federal bankruptcy, insolvency or other similar law in respect of (i) bankruptcy, liquidation, winding-up, dissolution or suspension of general operations,</w:t>
      </w:r>
    </w:p>
    <w:p>
      <w:pPr>
        <w:sectPr>
          <w:pgSz w:w="11900" w:h="16838" w:orient="portrait"/>
          <w:cols w:equalWidth="0" w:num="1">
            <w:col w:w="11320"/>
          </w:cols>
          <w:pgMar w:left="240" w:top="165" w:right="339" w:bottom="1440" w:gutter="0" w:footer="0" w:header="0"/>
          <w:type w:val="continuous"/>
        </w:sectPr>
      </w:pPr>
    </w:p>
    <w:p>
      <w:pPr>
        <w:spacing w:after="0" w:line="6" w:lineRule="exact"/>
        <w:rPr>
          <w:sz w:val="20"/>
          <w:szCs w:val="20"/>
          <w:color w:val="auto"/>
        </w:rPr>
      </w:pPr>
    </w:p>
    <w:p>
      <w:pPr>
        <w:ind w:left="260" w:hanging="9"/>
        <w:spacing w:after="0" w:line="281" w:lineRule="auto"/>
        <w:tabs>
          <w:tab w:leader="none" w:pos="477"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1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(g)</w:t>
            </w:r>
          </w:p>
        </w:tc>
        <w:tc>
          <w:tcPr>
            <w:tcW w:w="10200" w:type="dxa"/>
            <w:vAlign w:val="bottom"/>
          </w:tcPr>
          <w:p>
            <w:pPr>
              <w:ind w:left="2080"/>
              <w:spacing w:after="0"/>
              <w:rPr>
                <w:sz w:val="20"/>
                <w:szCs w:val="20"/>
                <w:color w:val="auto"/>
              </w:rPr>
            </w:pPr>
            <w:r>
              <w:rPr>
                <w:rFonts w:ascii="Arial" w:cs="Arial" w:eastAsia="Arial" w:hAnsi="Arial"/>
                <w:sz w:val="14"/>
                <w:szCs w:val="14"/>
                <w:color w:val="auto"/>
                <w:w w:val="93"/>
              </w:rPr>
              <w:t>(i) institution of any steps by any Person to terminate a Pension Plan if as a result of such termination any Credit Party or any member of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Controlled Group could be required to make a contribution to such Pension Plan, or could incur a liability or obligation to such Pension Plan, in excess of $500,000, (ii) a</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contribution failure occurs with respect to any Pension Plan sufficient to give rise to a Lien under Section 303(k) of ERISA or Section 430(k) of the Code or an event occurs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that would reasonably be expected to give rise to a Lien securing an amount on excess of $500,000 under Section 4068 of ERISA, or (iii) there shall occur any withdrawal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partial withdrawal from a Multiemployer Plan and the withdrawal liability (without unaccrued interest) to Multiemployer Plans as a result of such withdrawal (including any</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7"/>
              </w:rPr>
              <w:t>outstanding withdrawal liability that any Credit Party or any member of the Controlled Group have incurred on the date of such withdrawal) exceeds $500,000;</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(h)</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one or more judgments or orders for the payment of money (not paid or fully covered by insurance maintained in accordance with the requirements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of this Agreement and as to which the relevant insurance company has acknowledged coverage) aggregating in excess of $500,000 shall be rendered against any or all Credit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Parties and either (i) enforcement proceedings shall have been commenced by any creditor upon any such judgments or orders, or (ii) there shall be any period of twenty (20)</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6"/>
              </w:rPr>
              <w:t>consecutive days during which a stay of enforcement of any such judgments or orders, by reason of a pending appeal, bond or otherwise, shall not be in effect;</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(i)</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any Lien created by any of the Security Documents shall at any time fail to constitute a valid and perfected Lien on all of the Collateral purported to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be encumbered thereby, subject to no prior or equal Lien except Permitted Liens (other than as a result of any action or inaction of Agent or Required Lenders provided that</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w w:val="99"/>
              </w:rPr>
              <w:t>such action or inaction is not caused by any Credit Parties failure to comply with the terms of the Financing Documents) or any Credit Party shall so assert;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type w:val="continuous"/>
        </w:sectPr>
      </w:pPr>
    </w:p>
    <w:bookmarkStart w:id="127" w:name="page128"/>
    <w:bookmarkEnd w:id="127"/>
    <w:p>
      <w:pPr>
        <w:ind w:left="220"/>
        <w:spacing w:after="0"/>
        <w:tabs>
          <w:tab w:leader="none" w:pos="3060" w:val="left"/>
        </w:tabs>
        <w:rPr>
          <w:sz w:val="20"/>
          <w:szCs w:val="20"/>
          <w:color w:val="auto"/>
        </w:rPr>
      </w:pPr>
      <w:r>
        <w:rPr>
          <w:rFonts w:ascii="Arial" w:cs="Arial" w:eastAsia="Arial" w:hAnsi="Arial"/>
          <w:sz w:val="12"/>
          <w:szCs w:val="12"/>
          <w:color w:val="auto"/>
        </w:rPr>
        <w:t>(j)</w:t>
      </w:r>
      <w:r>
        <w:rPr>
          <w:sz w:val="20"/>
          <w:szCs w:val="20"/>
          <w:color w:val="auto"/>
        </w:rPr>
        <w:tab/>
      </w:r>
      <w:r>
        <w:rPr>
          <w:rFonts w:ascii="Arial" w:cs="Arial" w:eastAsia="Arial" w:hAnsi="Arial"/>
          <w:sz w:val="12"/>
          <w:szCs w:val="12"/>
          <w:color w:val="auto"/>
        </w:rPr>
        <w:t>the institution by any Governmental Authority of criminal proceedings against any Credit Party;</w:t>
      </w:r>
    </w:p>
    <w:p>
      <w:pPr>
        <w:spacing w:after="0" w:line="157" w:lineRule="exact"/>
        <w:rPr>
          <w:sz w:val="20"/>
          <w:szCs w:val="20"/>
          <w:color w:val="auto"/>
        </w:rPr>
      </w:pPr>
    </w:p>
    <w:p>
      <w:pPr>
        <w:ind w:left="2820" w:hanging="858"/>
        <w:spacing w:after="0"/>
        <w:tabs>
          <w:tab w:leader="none" w:pos="28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event of default occurs under any Guarantee of any portion of the</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Obligations;</w:t>
      </w:r>
    </w:p>
    <w:p>
      <w:pPr>
        <w:sectPr>
          <w:pgSz w:w="11900" w:h="16838" w:orient="portrait"/>
          <w:cols w:equalWidth="0" w:num="1">
            <w:col w:w="11340"/>
          </w:cols>
          <w:pgMar w:left="240" w:top="128" w:right="319" w:bottom="1440" w:gutter="0" w:footer="0" w:header="0"/>
        </w:sectPr>
      </w:pPr>
    </w:p>
    <w:p>
      <w:pPr>
        <w:spacing w:after="0" w:line="13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20" w:firstLine="1429"/>
        <w:spacing w:after="0" w:line="268" w:lineRule="auto"/>
        <w:rPr>
          <w:sz w:val="20"/>
          <w:szCs w:val="20"/>
          <w:color w:val="auto"/>
        </w:rPr>
      </w:pPr>
      <w:r>
        <w:rPr>
          <w:rFonts w:ascii="Arial" w:cs="Arial" w:eastAsia="Arial" w:hAnsi="Arial"/>
          <w:sz w:val="14"/>
          <w:szCs w:val="14"/>
          <w:color w:val="auto"/>
        </w:rPr>
        <w:t>any Borrower makes any payment on account of any Debt that has been subordinated to any of the Obligations, other than payments specifically permitted by the terms of such subordination;</w:t>
      </w:r>
    </w:p>
    <w:p>
      <w:pPr>
        <w:spacing w:after="0" w:line="118"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r>
        <w:rPr>
          <w:sz w:val="20"/>
          <w:szCs w:val="20"/>
          <w:color w:val="auto"/>
        </w:rPr>
        <w:br w:type="column"/>
      </w:r>
    </w:p>
    <w:p>
      <w:pPr>
        <w:jc w:val="both"/>
        <w:ind w:right="120" w:firstLine="1429"/>
        <w:spacing w:after="0" w:line="255" w:lineRule="auto"/>
        <w:rPr>
          <w:sz w:val="20"/>
          <w:szCs w:val="20"/>
          <w:color w:val="auto"/>
        </w:rPr>
      </w:pPr>
      <w:r>
        <w:rPr>
          <w:rFonts w:ascii="Arial" w:cs="Arial" w:eastAsia="Arial" w:hAnsi="Arial"/>
          <w:sz w:val="14"/>
          <w:szCs w:val="14"/>
          <w:color w:val="auto"/>
        </w:rPr>
        <w:t>if any Borrower is or becomes an entity whose equity is registered with the SEC, and/or is publicly traded on and/or registered with a public securities exchange, such Borrower’s equity fails to remain registered with the SEC in good standing, and/or such equity fails to remain publicly traded on and registered with a public securities exchange;</w:t>
      </w:r>
    </w:p>
    <w:p>
      <w:pPr>
        <w:spacing w:after="0" w:line="126"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occurrence of any fact, event or circumstance that would reasonably be expected to result in a Material Adverse Effect;</w:t>
      </w:r>
    </w:p>
    <w:p>
      <w:pPr>
        <w:spacing w:after="0" w:line="177" w:lineRule="exact"/>
        <w:rPr>
          <w:sz w:val="20"/>
          <w:szCs w:val="20"/>
          <w:color w:val="auto"/>
        </w:rPr>
      </w:pPr>
    </w:p>
    <w:p>
      <w:pPr>
        <w:sectPr>
          <w:pgSz w:w="11900" w:h="16838" w:orient="portrait"/>
          <w:cols w:equalWidth="0" w:num="2">
            <w:col w:w="2380" w:space="720"/>
            <w:col w:w="824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(o)</w:t>
      </w:r>
    </w:p>
    <w:p>
      <w:pPr>
        <w:spacing w:after="0" w:line="20" w:lineRule="exact"/>
        <w:rPr>
          <w:sz w:val="20"/>
          <w:szCs w:val="20"/>
          <w:color w:val="auto"/>
        </w:rPr>
      </w:pPr>
      <w:r>
        <w:rPr>
          <w:sz w:val="20"/>
          <w:szCs w:val="20"/>
          <w:color w:val="auto"/>
        </w:rPr>
        <w:br w:type="column"/>
      </w:r>
    </w:p>
    <w:p>
      <w:pPr>
        <w:jc w:val="both"/>
        <w:ind w:right="120" w:firstLine="1429"/>
        <w:spacing w:after="0" w:line="267" w:lineRule="auto"/>
        <w:rPr>
          <w:sz w:val="20"/>
          <w:szCs w:val="20"/>
          <w:color w:val="auto"/>
        </w:rPr>
      </w:pPr>
      <w:r>
        <w:rPr>
          <w:rFonts w:ascii="Arial" w:cs="Arial" w:eastAsia="Arial" w:hAnsi="Arial"/>
          <w:sz w:val="13"/>
          <w:szCs w:val="13"/>
          <w:color w:val="auto"/>
        </w:rPr>
        <w:t>(i) the voluntary withdrawal or institution of any action or proceeding by the FDA or similar Governmental Authority to order the withdrawal of any Product or Product category from the market or to enjoin Borrower, its Subsidiaries or any representative of Borrower or its Subsidiaries from manufacturing, marketing, selling or distributing any Product or Product category, which, in each case, has or would reasonably be expected to result in a Material Adverse Effect, (ii) the institution of any action or proceeding by any FDA, or any other Governmental Authority to revoke, suspend, reject, withdraw, limit, or restrict any Regulatory Required Permit held by Borrower, its Subsidiaries or any representative of Borrower or its Subsidiaries, which, in each case, has or would reasonably be expected to result in a Material Adverse Effect, (iii) the commencement of any enforcement action against Borrower, its Subsidiaries or any representative of Borrower or its Subsidiaries (with respect to the business of Borrower or its Subsidiaries) by FDA, or any other Governmental Authority which has or would reasonably be expected to result in a Material Adverse Effect, or (iv) the occurrence of adverse test results in connection with a Product which could result in a Material Adverse Effect; or</w:t>
      </w:r>
    </w:p>
    <w:p>
      <w:pPr>
        <w:spacing w:after="0" w:line="121"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(p)</w:t>
      </w:r>
    </w:p>
    <w:p>
      <w:pPr>
        <w:spacing w:after="0" w:line="20" w:lineRule="exact"/>
        <w:rPr>
          <w:sz w:val="20"/>
          <w:szCs w:val="20"/>
          <w:color w:val="auto"/>
        </w:rPr>
      </w:pPr>
      <w:r>
        <w:rPr>
          <w:sz w:val="20"/>
          <w:szCs w:val="20"/>
          <w:color w:val="auto"/>
        </w:rPr>
        <w:br w:type="column"/>
      </w:r>
    </w:p>
    <w:p>
      <w:pPr>
        <w:jc w:val="both"/>
        <w:ind w:right="120" w:firstLine="1429"/>
        <w:spacing w:after="0" w:line="317" w:lineRule="auto"/>
        <w:rPr>
          <w:sz w:val="20"/>
          <w:szCs w:val="20"/>
          <w:color w:val="auto"/>
        </w:rPr>
      </w:pPr>
      <w:r>
        <w:rPr>
          <w:rFonts w:ascii="Arial" w:cs="Arial" w:eastAsia="Arial" w:hAnsi="Arial"/>
          <w:sz w:val="12"/>
          <w:szCs w:val="12"/>
          <w:color w:val="auto"/>
        </w:rPr>
        <w:t>any Credit Party defaults in any material respect under or breaches in any material respect any Material Contract (after any applicable grace period contained therein), or a Material Contract shall be terminated by a third party or parties party thereto prior to the expiration thereof, or there is a loss of a material right of a Credit Party under any Material Contract to which it is a party, in each case which would reasonably be expected to result in a Material Adverse Effect.</w:t>
      </w:r>
    </w:p>
    <w:p>
      <w:pPr>
        <w:spacing w:after="0" w:line="93" w:lineRule="exact"/>
        <w:rPr>
          <w:sz w:val="20"/>
          <w:szCs w:val="20"/>
          <w:color w:val="auto"/>
        </w:rPr>
      </w:pPr>
    </w:p>
    <w:p>
      <w:pPr>
        <w:sectPr>
          <w:pgSz w:w="11900" w:h="16838" w:orient="portrait"/>
          <w:cols w:equalWidth="0" w:num="2">
            <w:col w:w="940" w:space="720"/>
            <w:col w:w="9680"/>
          </w:cols>
          <w:pgMar w:left="240" w:top="128" w:right="319" w:bottom="1440" w:gutter="0" w:footer="0" w:header="0"/>
          <w:type w:val="continuous"/>
        </w:sectPr>
      </w:pPr>
    </w:p>
    <w:p>
      <w:pPr>
        <w:ind w:left="980"/>
        <w:spacing w:after="0"/>
        <w:rPr>
          <w:sz w:val="20"/>
          <w:szCs w:val="20"/>
          <w:color w:val="auto"/>
        </w:rPr>
      </w:pPr>
      <w:r>
        <w:rPr>
          <w:rFonts w:ascii="Arial" w:cs="Arial" w:eastAsia="Arial" w:hAnsi="Arial"/>
          <w:sz w:val="12"/>
          <w:szCs w:val="12"/>
          <w:color w:val="auto"/>
        </w:rPr>
        <w:t>All cure periods provided for in this Section 10.1 shall run concurrently with any cure period provided for in any applicable Financing Documents under which the default occurred.</w:t>
      </w:r>
    </w:p>
    <w:p>
      <w:pPr>
        <w:sectPr>
          <w:pgSz w:w="11900" w:h="16838" w:orient="portrait"/>
          <w:cols w:equalWidth="0" w:num="1">
            <w:col w:w="11340"/>
          </w:cols>
          <w:pgMar w:left="240" w:top="128" w:right="319" w:bottom="1440" w:gutter="0" w:footer="0" w:header="0"/>
          <w:type w:val="continuous"/>
        </w:sectPr>
      </w:pPr>
    </w:p>
    <w:p>
      <w:pPr>
        <w:spacing w:after="0" w:line="173" w:lineRule="exact"/>
        <w:rPr>
          <w:sz w:val="20"/>
          <w:szCs w:val="20"/>
          <w:color w:val="auto"/>
        </w:rPr>
      </w:pPr>
    </w:p>
    <w:p>
      <w:pPr>
        <w:jc w:val="both"/>
        <w:ind w:left="140" w:firstLine="836"/>
        <w:spacing w:after="0" w:line="273" w:lineRule="auto"/>
        <w:rPr>
          <w:sz w:val="20"/>
          <w:szCs w:val="20"/>
          <w:color w:val="auto"/>
        </w:rPr>
      </w:pPr>
      <w:r>
        <w:rPr>
          <w:rFonts w:ascii="Arial" w:cs="Arial" w:eastAsia="Arial" w:hAnsi="Arial"/>
          <w:sz w:val="13"/>
          <w:szCs w:val="13"/>
          <w:b w:val="1"/>
          <w:bCs w:val="1"/>
          <w:color w:val="auto"/>
        </w:rPr>
        <w:t xml:space="preserve">Section 10.2 </w:t>
      </w:r>
      <w:r>
        <w:rPr>
          <w:rFonts w:ascii="Arial" w:cs="Arial" w:eastAsia="Arial" w:hAnsi="Arial"/>
          <w:sz w:val="13"/>
          <w:szCs w:val="13"/>
          <w:u w:val="single" w:color="auto"/>
          <w:color w:val="auto"/>
        </w:rPr>
        <w:t>Acceleration and Suspension or Termination of Term Loan Commitment</w:t>
      </w:r>
      <w:r>
        <w:rPr>
          <w:rFonts w:ascii="Arial" w:cs="Arial" w:eastAsia="Arial" w:hAnsi="Arial"/>
          <w:sz w:val="13"/>
          <w:szCs w:val="13"/>
          <w:color w:val="auto"/>
        </w:rPr>
        <w:t>. Upon the occurrence and during the continuance of an Event of Default, Agent may, and shall if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requested by Required Lenders, (a) by notice to Borrower Representative suspend or terminate the Term Loan Commitment and the obligations of Agent and the Lenders with respect thereto, in whole or in part (and, if in part, each Lender’s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Borrower and Borrowers will pay the same;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in the case of any of the Events of</w:t>
      </w:r>
    </w:p>
    <w:p>
      <w:pPr>
        <w:spacing w:after="0" w:line="280"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66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28" w:right="319" w:bottom="1440" w:gutter="0" w:footer="0" w:header="0"/>
          <w:type w:val="continuous"/>
        </w:sectPr>
      </w:pPr>
    </w:p>
    <w:bookmarkStart w:id="128" w:name="page129"/>
    <w:bookmarkEnd w:id="128"/>
    <w:p>
      <w:pPr>
        <w:jc w:val="both"/>
        <w:ind w:left="140"/>
        <w:spacing w:after="0" w:line="255" w:lineRule="auto"/>
        <w:rPr>
          <w:sz w:val="20"/>
          <w:szCs w:val="20"/>
          <w:color w:val="auto"/>
        </w:rPr>
      </w:pPr>
      <w:r>
        <w:rPr>
          <w:rFonts w:ascii="Arial" w:cs="Arial" w:eastAsia="Arial" w:hAnsi="Arial"/>
          <w:sz w:val="14"/>
          <w:szCs w:val="14"/>
          <w:color w:val="auto"/>
        </w:rPr>
        <w:t>Default specified in Section 10.1(e) or 10.1(f) above, without any notice to any Borrower or any other act by Agent or the Lenders, the Term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Borrower and Borrowers will pay the same.</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10.3</w:t>
            </w:r>
          </w:p>
        </w:tc>
        <w:tc>
          <w:tcPr>
            <w:tcW w:w="76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UCC Remedies.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308"/>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ind w:left="700"/>
              <w:spacing w:after="0"/>
              <w:rPr>
                <w:sz w:val="20"/>
                <w:szCs w:val="20"/>
                <w:color w:val="auto"/>
              </w:rPr>
            </w:pPr>
            <w:r>
              <w:rPr>
                <w:rFonts w:ascii="Arial" w:cs="Arial" w:eastAsia="Arial" w:hAnsi="Arial"/>
                <w:sz w:val="14"/>
                <w:szCs w:val="14"/>
                <w:color w:val="auto"/>
                <w:w w:val="92"/>
              </w:rPr>
              <w:t>Upon the occurrence of and during the continuance of an Event of Default under this Agreement or the other Financing Documents, Agent, in</w:t>
            </w:r>
          </w:p>
        </w:tc>
      </w:tr>
    </w:tbl>
    <w:p>
      <w:pPr>
        <w:spacing w:after="0" w:line="1" w:lineRule="exact"/>
        <w:rPr>
          <w:sz w:val="20"/>
          <w:szCs w:val="20"/>
          <w:color w:val="auto"/>
        </w:rPr>
      </w:pPr>
    </w:p>
    <w:p>
      <w:pPr>
        <w:sectPr>
          <w:pgSz w:w="11900" w:h="16838" w:orient="portrait"/>
          <w:cols w:equalWidth="0" w:num="1">
            <w:col w:w="11340"/>
          </w:cols>
          <w:pgMar w:left="240" w:top="165" w:right="319" w:bottom="1440" w:gutter="0" w:footer="0" w:header="0"/>
        </w:sectPr>
      </w:pPr>
    </w:p>
    <w:p>
      <w:pPr>
        <w:jc w:val="both"/>
        <w:ind w:left="1660" w:right="140"/>
        <w:spacing w:after="0" w:line="242" w:lineRule="auto"/>
        <w:rPr>
          <w:sz w:val="20"/>
          <w:szCs w:val="20"/>
          <w:color w:val="auto"/>
        </w:rPr>
      </w:pPr>
      <w:r>
        <w:rPr>
          <w:rFonts w:ascii="Arial" w:cs="Arial" w:eastAsia="Arial" w:hAnsi="Arial"/>
          <w:sz w:val="14"/>
          <w:szCs w:val="14"/>
          <w:color w:val="auto"/>
        </w:rPr>
        <w:t>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ectPr>
          <w:pgSz w:w="11900" w:h="16838" w:orient="portrait"/>
          <w:cols w:equalWidth="0" w:num="1">
            <w:col w:w="11340"/>
          </w:cols>
          <w:pgMar w:left="240" w:top="165" w:right="319" w:bottom="1440" w:gutter="0" w:footer="0" w:header="0"/>
          <w:type w:val="continuous"/>
        </w:sectPr>
      </w:pPr>
    </w:p>
    <w:p>
      <w:pPr>
        <w:spacing w:after="0" w:line="13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the right to take possession of, send notices regarding, and collect directly the Collateral, with or without judicial process;</w:t>
      </w:r>
    </w:p>
    <w:p>
      <w:pPr>
        <w:spacing w:after="0" w:line="177" w:lineRule="exact"/>
        <w:rPr>
          <w:sz w:val="20"/>
          <w:szCs w:val="20"/>
          <w:color w:val="auto"/>
        </w:rPr>
      </w:pPr>
    </w:p>
    <w:p>
      <w:pPr>
        <w:sectPr>
          <w:pgSz w:w="11900" w:h="16838" w:orient="portrait"/>
          <w:cols w:equalWidth="0" w:num="2">
            <w:col w:w="2360" w:space="720"/>
            <w:col w:w="826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ind w:right="120" w:firstLine="1429"/>
        <w:spacing w:after="0" w:line="254" w:lineRule="auto"/>
        <w:rPr>
          <w:sz w:val="20"/>
          <w:szCs w:val="20"/>
          <w:color w:val="auto"/>
        </w:rPr>
      </w:pPr>
      <w:r>
        <w:rPr>
          <w:rFonts w:ascii="Arial" w:cs="Arial" w:eastAsia="Arial" w:hAnsi="Arial"/>
          <w:sz w:val="14"/>
          <w:szCs w:val="14"/>
          <w:color w:val="auto"/>
        </w:rPr>
        <w:t>the right to (by its own means or with judicial assistance) enter any of Borrowers’ premises and take possession of the Collateral, or render it unusable, or to render it usable or saleable, or dispose of the Collateral on such premises in compliance with subsection</w:t>
      </w:r>
    </w:p>
    <w:p>
      <w:pPr>
        <w:spacing w:after="0" w:line="1"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jc w:val="both"/>
        <w:ind w:left="1000" w:firstLine="1"/>
        <w:spacing w:after="0" w:line="265" w:lineRule="auto"/>
        <w:tabs>
          <w:tab w:leader="none" w:pos="1986" w:val="left"/>
        </w:tabs>
        <w:numPr>
          <w:ilvl w:val="0"/>
          <w:numId w:val="58"/>
        </w:numPr>
        <w:rPr>
          <w:rFonts w:ascii="Arial" w:cs="Arial" w:eastAsia="Arial" w:hAnsi="Arial"/>
          <w:sz w:val="13"/>
          <w:szCs w:val="13"/>
          <w:color w:val="auto"/>
        </w:rPr>
      </w:pPr>
      <w:r>
        <w:rPr>
          <w:rFonts w:ascii="Arial" w:cs="Arial" w:eastAsia="Arial" w:hAnsi="Arial"/>
          <w:sz w:val="13"/>
          <w:szCs w:val="13"/>
          <w:color w:val="auto"/>
        </w:rPr>
        <w:t>below and to take possession of Borrowers’ original books and records, to obtain access to Borrowers’ data processing equipment, computer hardware and software relating to the Collateral and to use all of the foregoing and the information contained therein in any manner Agent deems appropriate, without any liability for rent, storage, utilities, or other sums, and Borrowers shall not resist or interfere with such action (if Borrowers’ books and records are prepared or maintained by an accounting service, contractor or other third party agent, Borrowers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12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Arial" w:cs="Arial" w:eastAsia="Arial" w:hAnsi="Arial"/>
                <w:sz w:val="14"/>
                <w:szCs w:val="14"/>
                <w:color w:val="auto"/>
              </w:rPr>
              <w:t>(iii)</w:t>
            </w:r>
          </w:p>
        </w:tc>
        <w:tc>
          <w:tcPr>
            <w:tcW w:w="10180" w:type="dxa"/>
            <w:vAlign w:val="bottom"/>
          </w:tcPr>
          <w:p>
            <w:pPr>
              <w:ind w:left="2040"/>
              <w:spacing w:after="0"/>
              <w:rPr>
                <w:sz w:val="20"/>
                <w:szCs w:val="20"/>
                <w:color w:val="auto"/>
              </w:rPr>
            </w:pPr>
            <w:r>
              <w:rPr>
                <w:rFonts w:ascii="Arial" w:cs="Arial" w:eastAsia="Arial" w:hAnsi="Arial"/>
                <w:sz w:val="14"/>
                <w:szCs w:val="14"/>
                <w:color w:val="auto"/>
                <w:w w:val="93"/>
              </w:rPr>
              <w:t>the right to require Borrowers at Borrowers’ expense to assemble all or any part of the Collateral and make it available to Agent at any place</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designated by Lender;</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(iv)</w:t>
            </w:r>
          </w:p>
        </w:tc>
        <w:tc>
          <w:tcPr>
            <w:tcW w:w="10180" w:type="dxa"/>
            <w:vAlign w:val="bottom"/>
          </w:tcPr>
          <w:p>
            <w:pPr>
              <w:ind w:left="2060"/>
              <w:spacing w:after="0"/>
              <w:rPr>
                <w:sz w:val="20"/>
                <w:szCs w:val="20"/>
                <w:color w:val="auto"/>
              </w:rPr>
            </w:pPr>
            <w:r>
              <w:rPr>
                <w:rFonts w:ascii="Arial" w:cs="Arial" w:eastAsia="Arial" w:hAnsi="Arial"/>
                <w:sz w:val="14"/>
                <w:szCs w:val="14"/>
                <w:color w:val="auto"/>
                <w:w w:val="87"/>
              </w:rPr>
              <w:t>the right to notify postal authorities to change the address for delivery of Borrowers’ mail to an address designated by Agent and to receive, open and</w:t>
            </w: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rPr>
              <w:t>dispose of all mail addressed to any Borrower; and/or</w:t>
            </w: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4"/>
                <w:szCs w:val="14"/>
                <w:color w:val="auto"/>
              </w:rPr>
              <w:t>(v)</w:t>
            </w:r>
          </w:p>
        </w:tc>
        <w:tc>
          <w:tcPr>
            <w:tcW w:w="10180" w:type="dxa"/>
            <w:vAlign w:val="bottom"/>
          </w:tcPr>
          <w:p>
            <w:pPr>
              <w:ind w:left="2060"/>
              <w:spacing w:after="0"/>
              <w:rPr>
                <w:sz w:val="20"/>
                <w:szCs w:val="20"/>
                <w:color w:val="auto"/>
              </w:rPr>
            </w:pPr>
            <w:r>
              <w:rPr>
                <w:rFonts w:ascii="Arial" w:cs="Arial" w:eastAsia="Arial" w:hAnsi="Arial"/>
                <w:sz w:val="14"/>
                <w:szCs w:val="14"/>
                <w:color w:val="auto"/>
                <w:w w:val="93"/>
              </w:rPr>
              <w:t>the right to enforce Borrowers’ rights against Account Debtors and other obligors, including, without limitation, (i) the right to collect Accounts</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9"/>
              </w:rPr>
              <w:t>directly in Agent’s own name (as agent for Lenders) and to charge the collection costs and expenses, including attorneys’ fees, to Borrowers, and (ii) the right, in the name of</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90"/>
              </w:rPr>
              <w:t>Agent or any designee of Agent or Borrowers, to verify the validity, amount or any other matter relating to any Accounts by mail, telephone, or otherwise, including, without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94"/>
              </w:rPr>
              <w:t>limitation, verification of Borrowers’ compliance with applicable Laws. Borrowers shall cooperate fully with Agent in an effort to facilitate and promptly conclude such</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180" w:type="dxa"/>
            <w:vAlign w:val="bottom"/>
          </w:tcPr>
          <w:p>
            <w:pPr>
              <w:ind w:left="620"/>
              <w:spacing w:after="0"/>
              <w:rPr>
                <w:sz w:val="20"/>
                <w:szCs w:val="20"/>
                <w:color w:val="auto"/>
              </w:rPr>
            </w:pPr>
            <w:r>
              <w:rPr>
                <w:rFonts w:ascii="Arial" w:cs="Arial" w:eastAsia="Arial" w:hAnsi="Arial"/>
                <w:sz w:val="14"/>
                <w:szCs w:val="14"/>
                <w:color w:val="auto"/>
                <w:w w:val="88"/>
              </w:rPr>
              <w:t>verification process. Such verification may include contacts between Agent and applicable federal, state and local regulatory authorities having jurisdiction over the Borrowers’</w:t>
            </w:r>
          </w:p>
        </w:tc>
        <w:tc>
          <w:tcPr>
            <w:tcW w:w="0" w:type="dxa"/>
            <w:vAlign w:val="bottom"/>
          </w:tcPr>
          <w:p>
            <w:pPr>
              <w:spacing w:after="0"/>
              <w:rPr>
                <w:sz w:val="1"/>
                <w:szCs w:val="1"/>
                <w:color w:val="auto"/>
              </w:rPr>
            </w:pPr>
          </w:p>
        </w:tc>
      </w:tr>
      <w:tr>
        <w:trPr>
          <w:trHeight w:val="179"/>
        </w:trPr>
        <w:tc>
          <w:tcPr>
            <w:tcW w:w="820" w:type="dxa"/>
            <w:vAlign w:val="bottom"/>
            <w:vMerge w:val="restart"/>
          </w:tcPr>
          <w:p>
            <w:pPr>
              <w:spacing w:after="0"/>
              <w:rPr>
                <w:sz w:val="20"/>
                <w:szCs w:val="20"/>
                <w:color w:val="auto"/>
              </w:rPr>
            </w:pPr>
            <w:r>
              <w:rPr>
                <w:rFonts w:ascii="Arial" w:cs="Arial" w:eastAsia="Arial" w:hAnsi="Arial"/>
                <w:sz w:val="14"/>
                <w:szCs w:val="14"/>
                <w:color w:val="auto"/>
              </w:rPr>
              <w:t>(iii)</w:t>
            </w:r>
          </w:p>
        </w:tc>
        <w:tc>
          <w:tcPr>
            <w:tcW w:w="10180" w:type="dxa"/>
            <w:vAlign w:val="bottom"/>
          </w:tcPr>
          <w:p>
            <w:pPr>
              <w:ind w:left="620"/>
              <w:spacing w:after="0"/>
              <w:rPr>
                <w:sz w:val="20"/>
                <w:szCs w:val="20"/>
                <w:color w:val="auto"/>
              </w:rPr>
            </w:pPr>
            <w:r>
              <w:rPr>
                <w:rFonts w:ascii="Arial" w:cs="Arial" w:eastAsia="Arial" w:hAnsi="Arial"/>
                <w:sz w:val="14"/>
                <w:szCs w:val="14"/>
                <w:color w:val="auto"/>
              </w:rPr>
              <w:t>affairs, all of which contacts Borrowers hereby irrevocably authorize.</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0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0180" w:type="dxa"/>
            <w:vAlign w:val="bottom"/>
          </w:tcPr>
          <w:p>
            <w:pPr>
              <w:ind w:left="92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29" w:name="page130"/>
    <w:bookmarkEnd w:id="129"/>
    <w:p>
      <w:pPr>
        <w:jc w:val="both"/>
        <w:ind w:left="1660" w:right="120" w:hanging="1436"/>
        <w:spacing w:after="0" w:line="264" w:lineRule="auto"/>
        <w:tabs>
          <w:tab w:leader="none" w:pos="164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Each Borrower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Borrowers. At any sale or disposition of Collateral, Agent may (to the extent permitted by applicable law) purchase all or any part of the Collateral, free from any right of redemption by Borrowers, which right is hereby waived and released. Each Borrower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Borrowers will be credited only with payments actually made by the purchaser, received by Agent and applied to the indebtedness of the purchaser. In the event the purchaser fails to pay for the Collateral, Agent may resell the Collateral and Borrowers shall be credited with the proceeds of the sale. Borrowers shall remain liable for any deficiency if the proceeds of any sale or disposition of the Collateral are insufficient to pay all Obligations.</w:t>
      </w:r>
    </w:p>
    <w:p>
      <w:pPr>
        <w:spacing w:after="0" w:line="126" w:lineRule="exact"/>
        <w:rPr>
          <w:sz w:val="20"/>
          <w:szCs w:val="20"/>
          <w:color w:val="auto"/>
        </w:rPr>
      </w:pPr>
    </w:p>
    <w:p>
      <w:pPr>
        <w:jc w:val="both"/>
        <w:ind w:left="1660" w:right="120" w:hanging="1436"/>
        <w:spacing w:after="0" w:line="265" w:lineRule="auto"/>
        <w:tabs>
          <w:tab w:leader="none" w:pos="16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3"/>
          <w:szCs w:val="13"/>
          <w:color w:val="auto"/>
        </w:rPr>
        <w:t>Without restricting the generality of the foregoing and for the purposes aforesaid, each Borrower hereby appoints and constitutes Agent its lawful attorney-in-fact with full power of substitution in the Collateral, upon the occurrence and during the continuance of an Event of Default, to (i) 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w:t>
      </w:r>
    </w:p>
    <w:tbl>
      <w:tblPr>
        <w:tblLayout w:type="fixed"/>
        <w:tblInd w:w="220" w:type="dxa"/>
        <w:tblCellMar>
          <w:top w:w="0" w:type="dxa"/>
          <w:left w:w="0" w:type="dxa"/>
          <w:bottom w:w="0" w:type="dxa"/>
          <w:right w:w="0" w:type="dxa"/>
        </w:tblCellMar>
      </w:tblPr>
      <w:tr>
        <w:trPr>
          <w:trHeight w:val="151"/>
        </w:trPr>
        <w:tc>
          <w:tcPr>
            <w:tcW w:w="2820" w:type="dxa"/>
            <w:vAlign w:val="bottom"/>
          </w:tcPr>
          <w:p>
            <w:pPr>
              <w:ind w:left="1440"/>
              <w:spacing w:after="0" w:line="151" w:lineRule="exact"/>
              <w:rPr>
                <w:sz w:val="20"/>
                <w:szCs w:val="20"/>
                <w:color w:val="auto"/>
              </w:rPr>
            </w:pPr>
            <w:r>
              <w:rPr>
                <w:rFonts w:ascii="Arial" w:cs="Arial" w:eastAsia="Arial" w:hAnsi="Arial"/>
                <w:sz w:val="14"/>
                <w:szCs w:val="14"/>
                <w:color w:val="auto"/>
                <w:w w:val="98"/>
              </w:rPr>
              <w:t>Collateral, (iii) execute</w:t>
            </w:r>
          </w:p>
        </w:tc>
        <w:tc>
          <w:tcPr>
            <w:tcW w:w="8180" w:type="dxa"/>
            <w:vAlign w:val="bottom"/>
          </w:tcPr>
          <w:p>
            <w:pPr>
              <w:jc w:val="right"/>
              <w:spacing w:after="0" w:line="151" w:lineRule="exact"/>
              <w:rPr>
                <w:sz w:val="20"/>
                <w:szCs w:val="20"/>
                <w:color w:val="auto"/>
              </w:rPr>
            </w:pPr>
            <w:r>
              <w:rPr>
                <w:rFonts w:ascii="Arial" w:cs="Arial" w:eastAsia="Arial" w:hAnsi="Arial"/>
                <w:sz w:val="14"/>
                <w:szCs w:val="14"/>
                <w:color w:val="auto"/>
                <w:w w:val="94"/>
              </w:rPr>
              <w:t>all applications and certificates in the name of such Borrower and to prosecute and defend all actions or proceedings in connection with the</w:t>
            </w:r>
          </w:p>
        </w:tc>
      </w:tr>
      <w:tr>
        <w:trPr>
          <w:trHeight w:val="162"/>
        </w:trPr>
        <w:tc>
          <w:tcPr>
            <w:tcW w:w="11000" w:type="dxa"/>
            <w:vAlign w:val="bottom"/>
            <w:gridSpan w:val="2"/>
          </w:tcPr>
          <w:p>
            <w:pPr>
              <w:jc w:val="right"/>
              <w:spacing w:after="0"/>
              <w:rPr>
                <w:sz w:val="20"/>
                <w:szCs w:val="20"/>
                <w:color w:val="auto"/>
              </w:rPr>
            </w:pPr>
            <w:r>
              <w:rPr>
                <w:rFonts w:ascii="Arial" w:cs="Arial" w:eastAsia="Arial" w:hAnsi="Arial"/>
                <w:sz w:val="14"/>
                <w:szCs w:val="14"/>
                <w:color w:val="auto"/>
              </w:rPr>
              <w:t>Collateral, and (iv) do any and every act which such Borrower might do in its own behalf; it being understood and agreed that this power of attorney in this subsection (c)</w:t>
            </w:r>
          </w:p>
        </w:tc>
      </w:tr>
      <w:tr>
        <w:trPr>
          <w:trHeight w:val="179"/>
        </w:trPr>
        <w:tc>
          <w:tcPr>
            <w:tcW w:w="11000" w:type="dxa"/>
            <w:vAlign w:val="bottom"/>
            <w:gridSpan w:val="2"/>
          </w:tcPr>
          <w:p>
            <w:pPr>
              <w:ind w:left="1440"/>
              <w:spacing w:after="0"/>
              <w:rPr>
                <w:sz w:val="20"/>
                <w:szCs w:val="20"/>
                <w:color w:val="auto"/>
              </w:rPr>
            </w:pPr>
            <w:r>
              <w:rPr>
                <w:rFonts w:ascii="Arial" w:cs="Arial" w:eastAsia="Arial" w:hAnsi="Arial"/>
                <w:sz w:val="14"/>
                <w:szCs w:val="14"/>
                <w:color w:val="auto"/>
              </w:rPr>
              <w:t>shall be a power coupled with an interest and cannot be revoked.</w:t>
            </w:r>
          </w:p>
        </w:tc>
      </w:tr>
      <w:tr>
        <w:trPr>
          <w:trHeight w:val="311"/>
        </w:trPr>
        <w:tc>
          <w:tcPr>
            <w:tcW w:w="2820" w:type="dxa"/>
            <w:vAlign w:val="bottom"/>
          </w:tcPr>
          <w:p>
            <w:pPr>
              <w:spacing w:after="0"/>
              <w:rPr>
                <w:sz w:val="20"/>
                <w:szCs w:val="20"/>
                <w:color w:val="auto"/>
              </w:rPr>
            </w:pPr>
            <w:r>
              <w:rPr>
                <w:rFonts w:ascii="Arial" w:cs="Arial" w:eastAsia="Arial" w:hAnsi="Arial"/>
                <w:sz w:val="14"/>
                <w:szCs w:val="14"/>
                <w:color w:val="auto"/>
              </w:rPr>
              <w:t>(d)</w:t>
            </w:r>
          </w:p>
        </w:tc>
        <w:tc>
          <w:tcPr>
            <w:tcW w:w="8180" w:type="dxa"/>
            <w:vAlign w:val="bottom"/>
          </w:tcPr>
          <w:p>
            <w:pPr>
              <w:jc w:val="right"/>
              <w:spacing w:after="0"/>
              <w:rPr>
                <w:sz w:val="20"/>
                <w:szCs w:val="20"/>
                <w:color w:val="auto"/>
              </w:rPr>
            </w:pPr>
            <w:r>
              <w:rPr>
                <w:rFonts w:ascii="Arial" w:cs="Arial" w:eastAsia="Arial" w:hAnsi="Arial"/>
                <w:sz w:val="14"/>
                <w:szCs w:val="14"/>
                <w:color w:val="auto"/>
                <w:w w:val="89"/>
              </w:rPr>
              <w:t>Agent and each Lender is hereby granted a non-exclusive, royalty-free license or other right to use, without charge, Borrowers’ labels, mask works,</w:t>
            </w:r>
          </w:p>
        </w:tc>
      </w:tr>
    </w:tbl>
    <w:p>
      <w:pPr>
        <w:jc w:val="both"/>
        <w:ind w:left="1660" w:right="120"/>
        <w:spacing w:after="0" w:line="246" w:lineRule="auto"/>
        <w:rPr>
          <w:sz w:val="20"/>
          <w:szCs w:val="20"/>
          <w:color w:val="auto"/>
        </w:rPr>
      </w:pPr>
      <w:r>
        <w:rPr>
          <w:rFonts w:ascii="Arial" w:cs="Arial" w:eastAsia="Arial" w:hAnsi="Arial"/>
          <w:sz w:val="14"/>
          <w:szCs w:val="14"/>
          <w:color w:val="auto"/>
        </w:rPr>
        <w:t>rights of use of any name, any other Intellectual Property and advertising matter, and any similar property as it pertains to the Collateral, in completing production of, advertising for sale, and selling any Collateral pursuant to this Section and, in connection with Agent’s exercise of its rights under this Section, Borrowers’ rights under all licenses (whether as licensor or licensee) and all franchise agreements inure to Agent’s and each Lender’s benefit.</w:t>
      </w:r>
    </w:p>
    <w:p>
      <w:pPr>
        <w:spacing w:after="0" w:line="129" w:lineRule="exact"/>
        <w:rPr>
          <w:sz w:val="20"/>
          <w:szCs w:val="20"/>
          <w:color w:val="auto"/>
        </w:rPr>
      </w:pPr>
    </w:p>
    <w:p>
      <w:pPr>
        <w:ind w:left="1000"/>
        <w:spacing w:after="0"/>
        <w:tabs>
          <w:tab w:leader="none" w:pos="3140" w:val="left"/>
        </w:tabs>
        <w:rPr>
          <w:sz w:val="20"/>
          <w:szCs w:val="20"/>
          <w:color w:val="auto"/>
        </w:rPr>
      </w:pPr>
      <w:r>
        <w:rPr>
          <w:rFonts w:ascii="Arial" w:cs="Arial" w:eastAsia="Arial" w:hAnsi="Arial"/>
          <w:sz w:val="14"/>
          <w:szCs w:val="14"/>
          <w:b w:val="1"/>
          <w:bCs w:val="1"/>
          <w:color w:val="auto"/>
        </w:rPr>
        <w:t>Section 10.4</w:t>
      </w:r>
      <w:r>
        <w:rPr>
          <w:sz w:val="20"/>
          <w:szCs w:val="20"/>
          <w:color w:val="auto"/>
        </w:rPr>
        <w:tab/>
      </w:r>
      <w:r>
        <w:rPr>
          <w:rFonts w:ascii="Arial" w:cs="Arial" w:eastAsia="Arial" w:hAnsi="Arial"/>
          <w:sz w:val="12"/>
          <w:szCs w:val="12"/>
          <w:u w:val="single" w:color="auto"/>
          <w:color w:val="auto"/>
        </w:rPr>
        <w:t>Reserved.</w:t>
      </w:r>
    </w:p>
    <w:p>
      <w:pPr>
        <w:spacing w:after="0" w:line="135"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b w:val="1"/>
          <w:bCs w:val="1"/>
          <w:color w:val="auto"/>
        </w:rPr>
        <w:t xml:space="preserve">Section 10.5 </w:t>
      </w:r>
      <w:r>
        <w:rPr>
          <w:rFonts w:ascii="Arial" w:cs="Arial" w:eastAsia="Arial" w:hAnsi="Arial"/>
          <w:sz w:val="14"/>
          <w:szCs w:val="14"/>
          <w:u w:val="single" w:color="auto"/>
          <w:color w:val="auto"/>
        </w:rPr>
        <w:t>Default Rate of Interest</w:t>
      </w:r>
      <w:r>
        <w:rPr>
          <w:rFonts w:ascii="Arial" w:cs="Arial" w:eastAsia="Arial" w:hAnsi="Arial"/>
          <w:sz w:val="14"/>
          <w:szCs w:val="14"/>
          <w:color w:val="auto"/>
        </w:rPr>
        <w:t>. At the election of Agent or Required Lenders, after the occurrence of an Event of Default and for so long as it continues, the Loans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Obligations shall bear interest at rates that are three percent (3.0%) per annum in excess of the rates otherwise payable under this Agreement;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the case of any Event of Default specified in Section 10.1(e) or 10.1(f) above, such default rate shall apply immediately and automatically without the need for any election or action of any kind on the part of Agent or any Lender.</w:t>
      </w:r>
    </w:p>
    <w:p>
      <w:pPr>
        <w:spacing w:after="0" w:line="349"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68</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28" w:right="319" w:bottom="1440" w:gutter="0" w:footer="0" w:header="0"/>
        </w:sectPr>
      </w:pPr>
    </w:p>
    <w:bookmarkStart w:id="130" w:name="page131"/>
    <w:bookmarkEnd w:id="130"/>
    <w:p>
      <w:pPr>
        <w:jc w:val="both"/>
        <w:ind w:left="140" w:firstLine="837"/>
        <w:spacing w:after="0" w:line="268" w:lineRule="auto"/>
        <w:rPr>
          <w:sz w:val="20"/>
          <w:szCs w:val="20"/>
          <w:color w:val="auto"/>
        </w:rPr>
      </w:pPr>
      <w:r>
        <w:rPr>
          <w:rFonts w:ascii="Arial" w:cs="Arial" w:eastAsia="Arial" w:hAnsi="Arial"/>
          <w:sz w:val="13"/>
          <w:szCs w:val="13"/>
          <w:b w:val="1"/>
          <w:bCs w:val="1"/>
          <w:color w:val="auto"/>
        </w:rPr>
        <w:t xml:space="preserve">Section 10.6 </w:t>
      </w:r>
      <w:r>
        <w:rPr>
          <w:rFonts w:ascii="Arial" w:cs="Arial" w:eastAsia="Arial" w:hAnsi="Arial"/>
          <w:sz w:val="13"/>
          <w:szCs w:val="13"/>
          <w:u w:val="single" w:color="auto"/>
          <w:color w:val="auto"/>
        </w:rPr>
        <w:t>Setoff Rights</w:t>
      </w:r>
      <w:r>
        <w:rPr>
          <w:rFonts w:ascii="Arial" w:cs="Arial" w:eastAsia="Arial" w:hAnsi="Arial"/>
          <w:sz w:val="13"/>
          <w:szCs w:val="13"/>
          <w:color w:val="auto"/>
        </w:rPr>
        <w:t>. Upon the occurrence and during the continuance of any Event of Default, each Lender is hereby authorized by each Borrower at any time or from time to</w:t>
      </w:r>
      <w:r>
        <w:rPr>
          <w:rFonts w:ascii="Arial" w:cs="Arial" w:eastAsia="Arial" w:hAnsi="Arial"/>
          <w:sz w:val="13"/>
          <w:szCs w:val="13"/>
          <w:b w:val="1"/>
          <w:bCs w:val="1"/>
          <w:color w:val="auto"/>
        </w:rPr>
        <w:t xml:space="preserve"> </w:t>
      </w:r>
      <w:r>
        <w:rPr>
          <w:rFonts w:ascii="Arial" w:cs="Arial" w:eastAsia="Arial" w:hAnsi="Arial"/>
          <w:sz w:val="13"/>
          <w:szCs w:val="13"/>
          <w:color w:val="auto"/>
        </w:rPr>
        <w:t>time, with reasonably prompt subsequent notice to such Borrower (any prior or contemporaneous notice being hereby expressly waived) to set off and to appropriate and to apply any and all (a) balances held by such Lender or any of such Lender’s Affiliates at any of its offices for the account of such Borrower or any of its Subsidiaries (regardless of whether such balances are then due to such Borrower or its Subsidiaries), and (b) other property at any time held or owing by such Lender to or for the credit or for the account of such Borrower or any of its Subsidiaries, against and on account of any of the Obligations;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Borrower agrees, to the fullest extent permitted by law, that any Lender and any of such Lender’s Affiliates may exercise its right to set off with respect to the Obligations as provided in this Section 10.6.</w:t>
      </w:r>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10.7</w:t>
            </w:r>
          </w:p>
        </w:tc>
        <w:tc>
          <w:tcPr>
            <w:tcW w:w="760" w:type="dxa"/>
            <w:vAlign w:val="bottom"/>
          </w:tcPr>
          <w:p>
            <w:pPr>
              <w:spacing w:after="0"/>
              <w:rPr>
                <w:sz w:val="14"/>
                <w:szCs w:val="14"/>
                <w:color w:val="auto"/>
              </w:rPr>
            </w:pPr>
          </w:p>
        </w:tc>
        <w:tc>
          <w:tcPr>
            <w:tcW w:w="8040" w:type="dxa"/>
            <w:vAlign w:val="bottom"/>
            <w:gridSpan w:val="2"/>
          </w:tcPr>
          <w:p>
            <w:pPr>
              <w:jc w:val="right"/>
              <w:ind w:right="6660"/>
              <w:spacing w:after="0"/>
              <w:rPr>
                <w:sz w:val="20"/>
                <w:szCs w:val="20"/>
                <w:color w:val="auto"/>
              </w:rPr>
            </w:pPr>
            <w:r>
              <w:rPr>
                <w:rFonts w:ascii="Arial" w:cs="Arial" w:eastAsia="Arial" w:hAnsi="Arial"/>
                <w:sz w:val="14"/>
                <w:szCs w:val="14"/>
                <w:color w:val="auto"/>
                <w:w w:val="90"/>
              </w:rPr>
              <w:t>Application of Proceeds.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92"/>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jc w:val="right"/>
              <w:spacing w:after="0"/>
              <w:rPr>
                <w:sz w:val="20"/>
                <w:szCs w:val="20"/>
                <w:color w:val="auto"/>
              </w:rPr>
            </w:pPr>
            <w:r>
              <w:rPr>
                <w:rFonts w:ascii="Arial" w:cs="Arial" w:eastAsia="Arial" w:hAnsi="Arial"/>
                <w:sz w:val="14"/>
                <w:szCs w:val="14"/>
                <w:color w:val="auto"/>
                <w:w w:val="96"/>
              </w:rPr>
              <w:t>Notwithstanding anything to the contrary contained in this Agreement, upon the occurrence and during the continuance of an Event of Default, each</w:t>
            </w:r>
          </w:p>
        </w:tc>
      </w:tr>
      <w:tr>
        <w:trPr>
          <w:trHeight w:val="174"/>
        </w:trPr>
        <w:tc>
          <w:tcPr>
            <w:tcW w:w="10980" w:type="dxa"/>
            <w:vAlign w:val="bottom"/>
            <w:gridSpan w:val="4"/>
          </w:tcPr>
          <w:p>
            <w:pPr>
              <w:jc w:val="right"/>
              <w:spacing w:after="0"/>
              <w:rPr>
                <w:sz w:val="20"/>
                <w:szCs w:val="20"/>
                <w:color w:val="auto"/>
              </w:rPr>
            </w:pPr>
            <w:r>
              <w:rPr>
                <w:rFonts w:ascii="Arial" w:cs="Arial" w:eastAsia="Arial" w:hAnsi="Arial"/>
                <w:sz w:val="14"/>
                <w:szCs w:val="14"/>
                <w:color w:val="auto"/>
              </w:rPr>
              <w:t>Borrower irrevocably waives the right to direct the application of any and all payments at any time or times thereafter received by Agent from or on behalf of such Borrower</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89"/>
              </w:rPr>
              <w:t>or any Guarantor of all or any part of the Obligations, and, as between Borrowers on the one hand and Agent and Lenders on the other, Agent shall have the continuing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exclusive right to apply and to reapply any and all payments received against the Obligations in such manner as Agent may deem advisable notwithstanding any previous</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application by Agent.</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Following the occurrence and continuance of an Event of Default, but absent the occurrence and continuance of an Acceleration Event, Agent shall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apply any and all payments received by Agent in respect of the Obligations, and any and all proceeds of Collateral received by Agent, in such order as Agent may from time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to time elect.</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80"/>
              <w:spacing w:after="0"/>
              <w:rPr>
                <w:sz w:val="20"/>
                <w:szCs w:val="20"/>
                <w:color w:val="auto"/>
              </w:rPr>
            </w:pPr>
            <w:r>
              <w:rPr>
                <w:rFonts w:ascii="Arial" w:cs="Arial" w:eastAsia="Arial" w:hAnsi="Arial"/>
                <w:sz w:val="14"/>
                <w:szCs w:val="14"/>
                <w:color w:val="auto"/>
                <w:w w:val="91"/>
              </w:rPr>
              <w:t>Notwithstanding anything to the contrary contained in this Agreement, if an Acceleration Event shall have occurred, and so long as it continues,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Agent shall apply any and all payments received by Agent in respect of the Obligations, and any and all proceeds of Collateral received by Agent, in the following order: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i w:val="1"/>
                <w:iCs w:val="1"/>
                <w:color w:val="auto"/>
                <w:w w:val="90"/>
              </w:rPr>
              <w:t>first</w:t>
            </w:r>
            <w:r>
              <w:rPr>
                <w:rFonts w:ascii="Arial" w:cs="Arial" w:eastAsia="Arial" w:hAnsi="Arial"/>
                <w:sz w:val="14"/>
                <w:szCs w:val="14"/>
                <w:color w:val="auto"/>
                <w:w w:val="90"/>
              </w:rPr>
              <w:t>, to all fees, costs, indemnities, liabilities, obligations and expenses incurred by or owing to Agent with respect to this Agreement, the other Financing Documents or the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 xml:space="preserve">Collateral; </w:t>
            </w:r>
            <w:r>
              <w:rPr>
                <w:rFonts w:ascii="Arial" w:cs="Arial" w:eastAsia="Arial" w:hAnsi="Arial"/>
                <w:sz w:val="14"/>
                <w:szCs w:val="14"/>
                <w:i w:val="1"/>
                <w:iCs w:val="1"/>
                <w:color w:val="auto"/>
                <w:w w:val="89"/>
              </w:rPr>
              <w:t>second</w:t>
            </w:r>
            <w:r>
              <w:rPr>
                <w:rFonts w:ascii="Arial" w:cs="Arial" w:eastAsia="Arial" w:hAnsi="Arial"/>
                <w:sz w:val="14"/>
                <w:szCs w:val="14"/>
                <w:color w:val="auto"/>
                <w:w w:val="89"/>
              </w:rPr>
              <w:t>, to all fees, costs, indemnities, liabilities, obligations and expenses incurred by or owing to any Lender with respect to this Agreement, the other Financing</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 xml:space="preserve">Documents or the Collateral; </w:t>
            </w:r>
            <w:r>
              <w:rPr>
                <w:rFonts w:ascii="Arial" w:cs="Arial" w:eastAsia="Arial" w:hAnsi="Arial"/>
                <w:sz w:val="14"/>
                <w:szCs w:val="14"/>
                <w:i w:val="1"/>
                <w:iCs w:val="1"/>
                <w:color w:val="auto"/>
                <w:w w:val="92"/>
              </w:rPr>
              <w:t>third</w:t>
            </w:r>
            <w:r>
              <w:rPr>
                <w:rFonts w:ascii="Arial" w:cs="Arial" w:eastAsia="Arial" w:hAnsi="Arial"/>
                <w:sz w:val="14"/>
                <w:szCs w:val="14"/>
                <w:color w:val="auto"/>
                <w:w w:val="92"/>
              </w:rPr>
              <w:t>, to accrued and unpaid interest on the Obligations (including any interest which, but for the provisions of the Bankruptcy Code, would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 xml:space="preserve">have accrued on such amounts); </w:t>
            </w:r>
            <w:r>
              <w:rPr>
                <w:rFonts w:ascii="Arial" w:cs="Arial" w:eastAsia="Arial" w:hAnsi="Arial"/>
                <w:sz w:val="14"/>
                <w:szCs w:val="14"/>
                <w:i w:val="1"/>
                <w:iCs w:val="1"/>
                <w:color w:val="auto"/>
                <w:w w:val="92"/>
              </w:rPr>
              <w:t>fourth</w:t>
            </w:r>
            <w:r>
              <w:rPr>
                <w:rFonts w:ascii="Arial" w:cs="Arial" w:eastAsia="Arial" w:hAnsi="Arial"/>
                <w:sz w:val="14"/>
                <w:szCs w:val="14"/>
                <w:color w:val="auto"/>
                <w:w w:val="92"/>
              </w:rPr>
              <w:t xml:space="preserve">, to the principal amount of the Obligations outstanding; and </w:t>
            </w:r>
            <w:r>
              <w:rPr>
                <w:rFonts w:ascii="Arial" w:cs="Arial" w:eastAsia="Arial" w:hAnsi="Arial"/>
                <w:sz w:val="14"/>
                <w:szCs w:val="14"/>
                <w:i w:val="1"/>
                <w:iCs w:val="1"/>
                <w:color w:val="auto"/>
                <w:w w:val="92"/>
              </w:rPr>
              <w:t>fifth</w:t>
            </w:r>
            <w:r>
              <w:rPr>
                <w:rFonts w:ascii="Arial" w:cs="Arial" w:eastAsia="Arial" w:hAnsi="Arial"/>
                <w:sz w:val="14"/>
                <w:szCs w:val="14"/>
                <w:color w:val="auto"/>
                <w:w w:val="92"/>
              </w:rPr>
              <w:t xml:space="preserve"> to any other indebtedness or obligations of Borrowers owing to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Agent or any Lender under the Financing Documents. Any balance remaining shall be delivered to Borrowers or to whomever may be lawfully entitled to receive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balance or as a court of competent jurisdiction may direct. In carrying out the foregoing, (y) amounts received shall be applied  in the numerical order provided until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exhausted prior to the application to the next succeeding category, and (z) each of the Persons entitled to receive a payment in any particular category shall receive an amount</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equal to its Pro Rata Share of amounts available to be applied pursuant thereto for such category.</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31" w:name="page132"/>
    <w:bookmarkEnd w:id="131"/>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10.8</w:t>
            </w:r>
          </w:p>
        </w:tc>
        <w:tc>
          <w:tcPr>
            <w:tcW w:w="76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color w:val="auto"/>
              </w:rPr>
              <w:t>Waivers.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314"/>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20" w:type="dxa"/>
            <w:vAlign w:val="bottom"/>
            <w:gridSpan w:val="3"/>
          </w:tcPr>
          <w:p>
            <w:pPr>
              <w:ind w:left="700"/>
              <w:spacing w:after="0"/>
              <w:rPr>
                <w:sz w:val="20"/>
                <w:szCs w:val="20"/>
                <w:color w:val="auto"/>
              </w:rPr>
            </w:pPr>
            <w:r>
              <w:rPr>
                <w:rFonts w:ascii="Arial" w:cs="Arial" w:eastAsia="Arial" w:hAnsi="Arial"/>
                <w:sz w:val="14"/>
                <w:szCs w:val="14"/>
                <w:color w:val="auto"/>
                <w:w w:val="91"/>
              </w:rPr>
              <w:t>Except as otherwise provided for in this Agreement and to the fullest extent permitted by applicable law, each Borrower waives: (i) presentment,</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87"/>
              </w:rPr>
              <w:t>demand and protest, and notice of presentment, dishonor, intent to accelerate, acceleration, protest, default, nonpayment, maturity, release, compromise, settlement, extension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or renewal of any or all Financing Documents, the Notes or any other notes, commercial paper, accounts, contracts, documents, Instruments, Chattel Paper and Guarantees at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any time held by Lenders on which any Borrower may in any way be liable, and hereby ratifies and confirms whatever Lenders may do in this regard; (ii) all rights to notice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and a hearing prior to Agent’s or any Lender’s taking possession or control of, or to Agent’s or any Lender’s replevy, attachment or levy upon, any Collateral or any bond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security which might be required by any court prior to allowing Agent or any Lender to exercise any of its remedies; and (iii) the benefit of all valuation, appraisal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exemption Laws. Each Borrower acknowledges that it has been advised by counsel of its choices and decisions with respect to this Agreement, the other Financing</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Documents and the transactions evidenced hereby and thereby.</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80"/>
              <w:spacing w:after="0"/>
              <w:rPr>
                <w:sz w:val="20"/>
                <w:szCs w:val="20"/>
                <w:color w:val="auto"/>
              </w:rPr>
            </w:pPr>
            <w:r>
              <w:rPr>
                <w:rFonts w:ascii="Arial" w:cs="Arial" w:eastAsia="Arial" w:hAnsi="Arial"/>
                <w:sz w:val="14"/>
                <w:szCs w:val="14"/>
                <w:color w:val="auto"/>
                <w:w w:val="94"/>
              </w:rPr>
              <w:t>Each Borrower for itself and all its successors and assigns, (i) agrees that its liability shall not be in any manner affected by any indulgence,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extension of time, renewal, waiver, or modification granted or consented to by Lender; (ii) consents to any indulgences and all extensions of time, renewals, waivers,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modifications that may be granted by Agent or any Lender with respect to the payment or other provisions of the Financing Documents, and to any substitution, exchange or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release of the Collateral, or any part thereof, with or without substitution, and agrees to the addition or release of any Borrower, endorsers, guarantors, or sureties, or whether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primarily or secondarily liable, without notice to any other Borrower and without affecting its liability hereunder; (iii) agrees that its liability shall be unconditional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without regard to the liability of any other Borrower, Agent or any Lender for any tax on the indebtedness; and (iv) to the fullest extent permitted by law, expressly waives the</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benefit of any statute or rule of law or equity now provided, or which may hereafter be provided, which would produce a result contrary to or in conflict with the foregoing.</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ind w:left="2080"/>
              <w:spacing w:after="0"/>
              <w:rPr>
                <w:sz w:val="20"/>
                <w:szCs w:val="20"/>
                <w:color w:val="auto"/>
              </w:rPr>
            </w:pPr>
            <w:r>
              <w:rPr>
                <w:rFonts w:ascii="Arial" w:cs="Arial" w:eastAsia="Arial" w:hAnsi="Arial"/>
                <w:sz w:val="14"/>
                <w:szCs w:val="14"/>
                <w:color w:val="auto"/>
                <w:w w:val="88"/>
              </w:rPr>
              <w:t>To the extent that Agent or any Lender may have acquiesced in any noncompliance with any requirements or conditions precedent to the closing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the Loans or to any subsequent disbursement of Loan proceeds, such acquiescence shall not be deemed to constitute a waiver by Agent or any Lender of such requirements</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9"/>
              </w:rPr>
              <w:t>with respect to any future disbursements of Loan proceeds and Agent may at any time after such acquiescence require Borrowers to comply with all such requirements.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forbearance by Agent or Lender in exercising any right or remedy under any of the Financing Documents, or otherwise afforded by applicable law, including any failure to</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accelerate the maturity date of the Loans, shall not be a waiver of or preclude the exercise of any right or remedy nor shall it serve as a novation of the Notes or as a</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reinstatement of the Loans or a waiver of such right of acceleration or the right to insist upon strict compliance of the terms of the Financing Documents. Agent’s or any</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2"/>
              </w:rPr>
              <w:t>Lender’s acceptance of payment of any sum secured by any of the Financing Documents after the due date of such payment shall not be a waiver of Agent’s and such</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3"/>
              </w:rPr>
              <w:t>Lender’s right to either require prompt payment when due of all other sums so secured or to declare a default for failure to make prompt payment. The procurement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insurance or the payment of taxes or other Liens or charges by Agent as the result of an Event of Default shall not be a waiver of Agent’s right to accelerate the maturity of</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the Loans, nor shall Agent’s receipt of any condemnation awards, insurance proceeds, or damages under this Agreement operate to cure or waive any Credit Party’s default in</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payment of sums secured by any of the Financing Documents.</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10200" w:type="dxa"/>
            <w:vAlign w:val="bottom"/>
          </w:tcPr>
          <w:p>
            <w:pPr>
              <w:ind w:left="2080"/>
              <w:spacing w:after="0"/>
              <w:rPr>
                <w:sz w:val="20"/>
                <w:szCs w:val="20"/>
                <w:color w:val="auto"/>
              </w:rPr>
            </w:pPr>
            <w:r>
              <w:rPr>
                <w:rFonts w:ascii="Arial" w:cs="Arial" w:eastAsia="Arial" w:hAnsi="Arial"/>
                <w:sz w:val="14"/>
                <w:szCs w:val="14"/>
                <w:color w:val="auto"/>
                <w:w w:val="89"/>
              </w:rPr>
              <w:t>Without limiting the generality of anything contained in this Agreement or the other Financing Documents, each Borrower agrees that if an Event of</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Default is continuing (i) Agent and Lenders shall not be subject to any “one action” or “election of remedies” law or rule, and (ii) all Liens</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240" w:top="150" w:right="439" w:bottom="1440" w:gutter="0" w:footer="0" w:header="0"/>
        </w:sectPr>
      </w:pPr>
    </w:p>
    <w:bookmarkStart w:id="132" w:name="page133"/>
    <w:bookmarkEnd w:id="132"/>
    <w:p>
      <w:pPr>
        <w:jc w:val="both"/>
        <w:ind w:left="260" w:right="20"/>
        <w:spacing w:after="0" w:line="255" w:lineRule="auto"/>
        <w:rPr>
          <w:sz w:val="20"/>
          <w:szCs w:val="20"/>
          <w:color w:val="auto"/>
        </w:rPr>
      </w:pPr>
      <w:r>
        <w:rPr>
          <w:rFonts w:ascii="Arial" w:cs="Arial" w:eastAsia="Arial" w:hAnsi="Arial"/>
          <w:sz w:val="14"/>
          <w:szCs w:val="14"/>
          <w:color w:val="auto"/>
        </w:rPr>
        <w:t>and other rights, remedies or privileges provided to Agent or Lenders shall remain in full force and effect until Agent or Lenders have exhausted all remedies against the Collateral and any other properties owned by Borrowers and the Financing Documents and other security instruments or agreements securing the Loans have been foreclosed, sold and/or otherwise realized upon in satisfaction of Borrowers’ obligations under the Financing Documents.</w:t>
      </w:r>
    </w:p>
    <w:p>
      <w:pPr>
        <w:sectPr>
          <w:pgSz w:w="11900" w:h="16838" w:orient="portrait"/>
          <w:cols w:equalWidth="0" w:num="1">
            <w:col w:w="11340"/>
          </w:cols>
          <w:pgMar w:left="240" w:top="165" w:right="319" w:bottom="1440" w:gutter="0" w:footer="0" w:header="0"/>
        </w:sectPr>
      </w:pPr>
    </w:p>
    <w:p>
      <w:pPr>
        <w:spacing w:after="0" w:line="1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right="120" w:firstLine="1429"/>
        <w:spacing w:after="0" w:line="265" w:lineRule="auto"/>
        <w:rPr>
          <w:sz w:val="20"/>
          <w:szCs w:val="20"/>
          <w:color w:val="auto"/>
        </w:rPr>
      </w:pPr>
      <w:r>
        <w:rPr>
          <w:rFonts w:ascii="Arial" w:cs="Arial" w:eastAsia="Arial" w:hAnsi="Arial"/>
          <w:sz w:val="13"/>
          <w:szCs w:val="13"/>
          <w:color w:val="auto"/>
        </w:rPr>
        <w:t>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 and Agent may seek satisfaction out of all of the Collateral or any part thereof, in its absolute discretion in respect of Borrowers’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Borrower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25"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jc w:val="both"/>
        <w:ind w:right="120" w:firstLine="1429"/>
        <w:spacing w:after="0" w:line="276" w:lineRule="auto"/>
        <w:rPr>
          <w:sz w:val="20"/>
          <w:szCs w:val="20"/>
          <w:color w:val="auto"/>
        </w:rPr>
      </w:pPr>
      <w:r>
        <w:rPr>
          <w:rFonts w:ascii="Arial" w:cs="Arial" w:eastAsia="Arial" w:hAnsi="Arial"/>
          <w:sz w:val="13"/>
          <w:szCs w:val="13"/>
          <w:color w:val="auto"/>
        </w:rPr>
        <w:t>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10"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jc w:val="both"/>
        <w:ind w:left="140" w:firstLine="836"/>
        <w:spacing w:after="0" w:line="247" w:lineRule="auto"/>
        <w:rPr>
          <w:sz w:val="20"/>
          <w:szCs w:val="20"/>
          <w:color w:val="auto"/>
        </w:rPr>
      </w:pPr>
      <w:r>
        <w:rPr>
          <w:rFonts w:ascii="Arial" w:cs="Arial" w:eastAsia="Arial" w:hAnsi="Arial"/>
          <w:sz w:val="14"/>
          <w:szCs w:val="14"/>
          <w:b w:val="1"/>
          <w:bCs w:val="1"/>
          <w:color w:val="auto"/>
        </w:rPr>
        <w:t xml:space="preserve">Section 10.9 </w:t>
      </w:r>
      <w:r>
        <w:rPr>
          <w:rFonts w:ascii="Arial" w:cs="Arial" w:eastAsia="Arial" w:hAnsi="Arial"/>
          <w:sz w:val="14"/>
          <w:szCs w:val="14"/>
          <w:u w:val="single" w:color="auto"/>
          <w:color w:val="auto"/>
        </w:rPr>
        <w:t>Injunctive Relief</w:t>
      </w:r>
      <w:r>
        <w:rPr>
          <w:rFonts w:ascii="Arial" w:cs="Arial" w:eastAsia="Arial" w:hAnsi="Arial"/>
          <w:sz w:val="14"/>
          <w:szCs w:val="14"/>
          <w:color w:val="auto"/>
        </w:rPr>
        <w:t>. The parties acknowledge and agree that, in the event of a breach or threatened breach of any Credit Party’s obligations under any Financing</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29" w:lineRule="exact"/>
        <w:rPr>
          <w:sz w:val="20"/>
          <w:szCs w:val="20"/>
          <w:color w:val="auto"/>
        </w:rPr>
      </w:pPr>
    </w:p>
    <w:p>
      <w:pPr>
        <w:jc w:val="both"/>
        <w:ind w:left="140" w:right="20" w:firstLine="836"/>
        <w:spacing w:after="0" w:line="252" w:lineRule="auto"/>
        <w:rPr>
          <w:sz w:val="20"/>
          <w:szCs w:val="20"/>
          <w:color w:val="auto"/>
        </w:rPr>
      </w:pPr>
      <w:r>
        <w:rPr>
          <w:rFonts w:ascii="Arial" w:cs="Arial" w:eastAsia="Arial" w:hAnsi="Arial"/>
          <w:sz w:val="14"/>
          <w:szCs w:val="14"/>
          <w:b w:val="1"/>
          <w:bCs w:val="1"/>
          <w:color w:val="auto"/>
        </w:rPr>
        <w:t xml:space="preserve">Section 10.10 </w:t>
      </w:r>
      <w:r>
        <w:rPr>
          <w:rFonts w:ascii="Arial" w:cs="Arial" w:eastAsia="Arial" w:hAnsi="Arial"/>
          <w:sz w:val="14"/>
          <w:szCs w:val="14"/>
          <w:u w:val="single" w:color="auto"/>
          <w:color w:val="auto"/>
        </w:rPr>
        <w:t>Marshalling; Payments Set Aside</w:t>
      </w:r>
      <w:r>
        <w:rPr>
          <w:rFonts w:ascii="Arial" w:cs="Arial" w:eastAsia="Arial" w:hAnsi="Arial"/>
          <w:sz w:val="14"/>
          <w:szCs w:val="14"/>
          <w:color w:val="auto"/>
        </w:rPr>
        <w:t>. Neither Agent nor any Lender shall be under any obligation to marshal any assets in payment of any or all of the Obligations. To the</w:t>
      </w:r>
      <w:r>
        <w:rPr>
          <w:rFonts w:ascii="Arial" w:cs="Arial" w:eastAsia="Arial" w:hAnsi="Arial"/>
          <w:sz w:val="14"/>
          <w:szCs w:val="14"/>
          <w:b w:val="1"/>
          <w:bCs w:val="1"/>
          <w:color w:val="auto"/>
        </w:rPr>
        <w:t xml:space="preserve"> </w:t>
      </w:r>
      <w:r>
        <w:rPr>
          <w:rFonts w:ascii="Arial" w:cs="Arial" w:eastAsia="Arial" w:hAnsi="Arial"/>
          <w:sz w:val="14"/>
          <w:szCs w:val="14"/>
          <w:color w:val="auto"/>
        </w:rPr>
        <w:t>extent that Borrower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w:t>
      </w:r>
    </w:p>
    <w:p>
      <w:pPr>
        <w:spacing w:after="0" w:line="29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33" w:name="page134"/>
    <w:bookmarkEnd w:id="133"/>
    <w:p>
      <w:pPr>
        <w:ind w:left="140"/>
        <w:spacing w:after="0"/>
        <w:rPr>
          <w:sz w:val="20"/>
          <w:szCs w:val="20"/>
          <w:color w:val="auto"/>
        </w:rPr>
      </w:pPr>
      <w:r>
        <w:rPr>
          <w:rFonts w:ascii="Arial" w:cs="Arial" w:eastAsia="Arial" w:hAnsi="Arial"/>
          <w:sz w:val="14"/>
          <w:szCs w:val="14"/>
          <w:color w:val="auto"/>
        </w:rPr>
        <w:t>and remedies therefor, shall be revived and continued in full force and effect as if such payment had not been made or such enforcement or set-off had not occurred.</w:t>
      </w:r>
    </w:p>
    <w:p>
      <w:pPr>
        <w:spacing w:after="0" w:line="150" w:lineRule="exact"/>
        <w:rPr>
          <w:sz w:val="20"/>
          <w:szCs w:val="20"/>
          <w:color w:val="auto"/>
        </w:rPr>
      </w:pPr>
    </w:p>
    <w:p>
      <w:pPr>
        <w:ind w:left="4380"/>
        <w:spacing w:after="0"/>
        <w:rPr>
          <w:sz w:val="20"/>
          <w:szCs w:val="20"/>
          <w:color w:val="auto"/>
        </w:rPr>
      </w:pPr>
      <w:r>
        <w:rPr>
          <w:rFonts w:ascii="Arial" w:cs="Arial" w:eastAsia="Arial" w:hAnsi="Arial"/>
          <w:sz w:val="14"/>
          <w:szCs w:val="14"/>
          <w:b w:val="1"/>
          <w:bCs w:val="1"/>
          <w:color w:val="auto"/>
        </w:rPr>
        <w:t>ARTICLE 11 - AGENT</w:t>
      </w:r>
    </w:p>
    <w:p>
      <w:pPr>
        <w:spacing w:after="0" w:line="154" w:lineRule="exact"/>
        <w:rPr>
          <w:sz w:val="20"/>
          <w:szCs w:val="20"/>
          <w:color w:val="auto"/>
        </w:rPr>
      </w:pPr>
    </w:p>
    <w:p>
      <w:pPr>
        <w:jc w:val="both"/>
        <w:ind w:left="140" w:firstLine="837"/>
        <w:spacing w:after="0" w:line="295" w:lineRule="auto"/>
        <w:rPr>
          <w:sz w:val="20"/>
          <w:szCs w:val="20"/>
          <w:color w:val="auto"/>
        </w:rPr>
      </w:pPr>
      <w:r>
        <w:rPr>
          <w:rFonts w:ascii="Arial" w:cs="Arial" w:eastAsia="Arial" w:hAnsi="Arial"/>
          <w:sz w:val="12"/>
          <w:szCs w:val="12"/>
          <w:b w:val="1"/>
          <w:bCs w:val="1"/>
          <w:color w:val="auto"/>
        </w:rPr>
        <w:t xml:space="preserve">Section 11.1 </w:t>
      </w:r>
      <w:r>
        <w:rPr>
          <w:rFonts w:ascii="Arial" w:cs="Arial" w:eastAsia="Arial" w:hAnsi="Arial"/>
          <w:sz w:val="12"/>
          <w:szCs w:val="12"/>
          <w:u w:val="single" w:color="auto"/>
          <w:color w:val="auto"/>
        </w:rPr>
        <w:t>Appointment and Authorization</w:t>
      </w:r>
      <w:r>
        <w:rPr>
          <w:rFonts w:ascii="Arial" w:cs="Arial" w:eastAsia="Arial" w:hAnsi="Arial"/>
          <w:sz w:val="12"/>
          <w:szCs w:val="12"/>
          <w:color w:val="auto"/>
        </w:rPr>
        <w:t>. Each Lender hereby irrevocably appoints and authorizes Agent to enter into each of the Financing Documents to which it is a party (other</w:t>
      </w:r>
      <w:r>
        <w:rPr>
          <w:rFonts w:ascii="Arial" w:cs="Arial" w:eastAsia="Arial" w:hAnsi="Arial"/>
          <w:sz w:val="12"/>
          <w:szCs w:val="12"/>
          <w:b w:val="1"/>
          <w:bCs w:val="1"/>
          <w:color w:val="auto"/>
        </w:rPr>
        <w:t xml:space="preserve"> </w:t>
      </w:r>
      <w:r>
        <w:rPr>
          <w:rFonts w:ascii="Arial" w:cs="Arial" w:eastAsia="Arial" w:hAnsi="Arial"/>
          <w:sz w:val="12"/>
          <w:szCs w:val="12"/>
          <w:color w:val="auto"/>
        </w:rPr>
        <w:t>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neither any Borrower nor any other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Borrower or any other Credit Party. Agent may perform any of its duties hereunder, or under the Financing Documents, by or through its agents, servicers, trustees, investment managers or employees.</w:t>
      </w:r>
    </w:p>
    <w:p>
      <w:pPr>
        <w:spacing w:after="0" w:line="102" w:lineRule="exact"/>
        <w:rPr>
          <w:sz w:val="20"/>
          <w:szCs w:val="20"/>
          <w:color w:val="auto"/>
        </w:rPr>
      </w:pPr>
    </w:p>
    <w:p>
      <w:pPr>
        <w:jc w:val="both"/>
        <w:ind w:left="140" w:firstLine="836"/>
        <w:spacing w:after="0" w:line="258" w:lineRule="auto"/>
        <w:rPr>
          <w:sz w:val="20"/>
          <w:szCs w:val="20"/>
          <w:color w:val="auto"/>
        </w:rPr>
      </w:pPr>
      <w:r>
        <w:rPr>
          <w:rFonts w:ascii="Arial" w:cs="Arial" w:eastAsia="Arial" w:hAnsi="Arial"/>
          <w:sz w:val="14"/>
          <w:szCs w:val="14"/>
          <w:b w:val="1"/>
          <w:bCs w:val="1"/>
          <w:color w:val="auto"/>
        </w:rPr>
        <w:t xml:space="preserve">Section 11.2 </w:t>
      </w:r>
      <w:r>
        <w:rPr>
          <w:rFonts w:ascii="Arial" w:cs="Arial" w:eastAsia="Arial" w:hAnsi="Arial"/>
          <w:sz w:val="14"/>
          <w:szCs w:val="14"/>
          <w:u w:val="single" w:color="auto"/>
          <w:color w:val="auto"/>
        </w:rPr>
        <w:t>Agent and Affiliates</w:t>
      </w:r>
      <w:r>
        <w:rPr>
          <w:rFonts w:ascii="Arial" w:cs="Arial" w:eastAsia="Arial" w:hAnsi="Arial"/>
          <w:sz w:val="14"/>
          <w:szCs w:val="14"/>
          <w:color w:val="auto"/>
        </w:rPr>
        <w:t>. Agent shall have the same rights and powers under the Financing Documents as any other Lender and may exercise or refrain from exercising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as though it were not Agent, and Agent and its Affiliates may lend money to, invest in and generally engage in any kind of business with each Credit Party or Affiliate of any Credit Party as if it were not Agent hereunder.</w:t>
      </w:r>
    </w:p>
    <w:p>
      <w:pPr>
        <w:spacing w:after="0" w:line="120"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b w:val="1"/>
          <w:bCs w:val="1"/>
          <w:color w:val="auto"/>
        </w:rPr>
        <w:t xml:space="preserve">Section 11.3 </w:t>
      </w:r>
      <w:r>
        <w:rPr>
          <w:rFonts w:ascii="Arial" w:cs="Arial" w:eastAsia="Arial" w:hAnsi="Arial"/>
          <w:sz w:val="14"/>
          <w:szCs w:val="14"/>
          <w:u w:val="single" w:color="auto"/>
          <w:color w:val="auto"/>
        </w:rPr>
        <w:t>Action by Agent</w:t>
      </w:r>
      <w:r>
        <w:rPr>
          <w:rFonts w:ascii="Arial" w:cs="Arial" w:eastAsia="Arial" w:hAnsi="Arial"/>
          <w:sz w:val="14"/>
          <w:szCs w:val="14"/>
          <w:color w:val="auto"/>
        </w:rPr>
        <w:t>. The duties of Agent shall be mechanical and administrative in nature. Agent shall not have by reason of this Agreement a fiduciary relationship in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20"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b w:val="1"/>
          <w:bCs w:val="1"/>
          <w:color w:val="auto"/>
        </w:rPr>
        <w:t xml:space="preserve">Section 11.4 </w:t>
      </w:r>
      <w:r>
        <w:rPr>
          <w:rFonts w:ascii="Arial" w:cs="Arial" w:eastAsia="Arial" w:hAnsi="Arial"/>
          <w:sz w:val="14"/>
          <w:szCs w:val="14"/>
          <w:u w:val="single" w:color="auto"/>
          <w:color w:val="auto"/>
        </w:rPr>
        <w:t>Consultation with Experts</w:t>
      </w:r>
      <w:r>
        <w:rPr>
          <w:rFonts w:ascii="Arial" w:cs="Arial" w:eastAsia="Arial" w:hAnsi="Arial"/>
          <w:sz w:val="14"/>
          <w:szCs w:val="14"/>
          <w:color w:val="auto"/>
        </w:rPr>
        <w:t>. Agent may consult with legal counsel, independent public accountants and other experts selected by it and shall not be liable for any action</w:t>
      </w:r>
      <w:r>
        <w:rPr>
          <w:rFonts w:ascii="Arial" w:cs="Arial" w:eastAsia="Arial" w:hAnsi="Arial"/>
          <w:sz w:val="14"/>
          <w:szCs w:val="14"/>
          <w:b w:val="1"/>
          <w:bCs w:val="1"/>
          <w:color w:val="auto"/>
        </w:rPr>
        <w:t xml:space="preserve"> </w:t>
      </w:r>
      <w:r>
        <w:rPr>
          <w:rFonts w:ascii="Arial" w:cs="Arial" w:eastAsia="Arial" w:hAnsi="Arial"/>
          <w:sz w:val="14"/>
          <w:szCs w:val="14"/>
          <w:color w:val="auto"/>
        </w:rPr>
        <w:t>taken or omitted to be taken by it in good faith in accordance with the advice of such counsel, accountants or experts.</w:t>
      </w:r>
    </w:p>
    <w:p>
      <w:pPr>
        <w:spacing w:after="0" w:line="110" w:lineRule="exact"/>
        <w:rPr>
          <w:sz w:val="20"/>
          <w:szCs w:val="20"/>
          <w:color w:val="auto"/>
        </w:rPr>
      </w:pPr>
    </w:p>
    <w:p>
      <w:pPr>
        <w:jc w:val="both"/>
        <w:ind w:left="140" w:firstLine="837"/>
        <w:spacing w:after="0" w:line="268" w:lineRule="auto"/>
        <w:rPr>
          <w:sz w:val="20"/>
          <w:szCs w:val="20"/>
          <w:color w:val="auto"/>
        </w:rPr>
      </w:pPr>
      <w:r>
        <w:rPr>
          <w:rFonts w:ascii="Arial" w:cs="Arial" w:eastAsia="Arial" w:hAnsi="Arial"/>
          <w:sz w:val="13"/>
          <w:szCs w:val="13"/>
          <w:b w:val="1"/>
          <w:bCs w:val="1"/>
          <w:color w:val="auto"/>
        </w:rPr>
        <w:t xml:space="preserve">Section 11.5 </w:t>
      </w:r>
      <w:r>
        <w:rPr>
          <w:rFonts w:ascii="Arial" w:cs="Arial" w:eastAsia="Arial" w:hAnsi="Arial"/>
          <w:sz w:val="13"/>
          <w:szCs w:val="13"/>
          <w:u w:val="single" w:color="auto"/>
          <w:color w:val="auto"/>
        </w:rPr>
        <w:t>Liability of Agent</w:t>
      </w:r>
      <w:r>
        <w:rPr>
          <w:rFonts w:ascii="Arial" w:cs="Arial" w:eastAsia="Arial" w:hAnsi="Arial"/>
          <w:sz w:val="13"/>
          <w:szCs w:val="13"/>
          <w:color w:val="auto"/>
        </w:rPr>
        <w:t>. Neither Agent nor any of its directors, officers, agents, trustees, investment managers, servicers or employees shall be liable to any Lender for any</w:t>
      </w:r>
      <w:r>
        <w:rPr>
          <w:rFonts w:ascii="Arial" w:cs="Arial" w:eastAsia="Arial" w:hAnsi="Arial"/>
          <w:sz w:val="13"/>
          <w:szCs w:val="13"/>
          <w:b w:val="1"/>
          <w:bCs w:val="1"/>
          <w:color w:val="auto"/>
        </w:rPr>
        <w:t xml:space="preserve"> </w:t>
      </w:r>
      <w:r>
        <w:rPr>
          <w:rFonts w:ascii="Arial" w:cs="Arial" w:eastAsia="Arial" w:hAnsi="Arial"/>
          <w:sz w:val="13"/>
          <w:szCs w:val="13"/>
          <w:color w:val="auto"/>
        </w:rPr>
        <w:t>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w:t>
      </w:r>
    </w:p>
    <w:p>
      <w:pPr>
        <w:spacing w:after="0" w:line="28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34" w:name="page135"/>
    <w:bookmarkEnd w:id="134"/>
    <w:p>
      <w:pPr>
        <w:jc w:val="both"/>
        <w:ind w:left="140"/>
        <w:spacing w:after="0" w:line="250" w:lineRule="auto"/>
        <w:rPr>
          <w:sz w:val="20"/>
          <w:szCs w:val="20"/>
          <w:color w:val="auto"/>
        </w:rPr>
      </w:pPr>
      <w:r>
        <w:rPr>
          <w:rFonts w:ascii="Arial" w:cs="Arial" w:eastAsia="Arial" w:hAnsi="Arial"/>
          <w:sz w:val="14"/>
          <w:szCs w:val="14"/>
          <w:color w:val="auto"/>
        </w:rPr>
        <w:t>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27" w:lineRule="exact"/>
        <w:rPr>
          <w:sz w:val="20"/>
          <w:szCs w:val="20"/>
          <w:color w:val="auto"/>
        </w:rPr>
      </w:pPr>
    </w:p>
    <w:p>
      <w:pPr>
        <w:jc w:val="both"/>
        <w:ind w:left="140" w:firstLine="837"/>
        <w:spacing w:after="0" w:line="273" w:lineRule="auto"/>
        <w:rPr>
          <w:sz w:val="20"/>
          <w:szCs w:val="20"/>
          <w:color w:val="auto"/>
        </w:rPr>
      </w:pPr>
      <w:r>
        <w:rPr>
          <w:rFonts w:ascii="Arial" w:cs="Arial" w:eastAsia="Arial" w:hAnsi="Arial"/>
          <w:sz w:val="13"/>
          <w:szCs w:val="13"/>
          <w:b w:val="1"/>
          <w:bCs w:val="1"/>
          <w:color w:val="auto"/>
        </w:rPr>
        <w:t xml:space="preserve">Section 11.6 </w:t>
      </w:r>
      <w:r>
        <w:rPr>
          <w:rFonts w:ascii="Arial" w:cs="Arial" w:eastAsia="Arial" w:hAnsi="Arial"/>
          <w:sz w:val="13"/>
          <w:szCs w:val="13"/>
          <w:u w:val="single" w:color="auto"/>
          <w:color w:val="auto"/>
        </w:rPr>
        <w:t>Indemnification</w:t>
      </w:r>
      <w:r>
        <w:rPr>
          <w:rFonts w:ascii="Arial" w:cs="Arial" w:eastAsia="Arial" w:hAnsi="Arial"/>
          <w:sz w:val="13"/>
          <w:szCs w:val="13"/>
          <w:color w:val="auto"/>
        </w:rPr>
        <w:t>. Each Lender shall, in accordance with its Pro Rata Share, indemnify Agent (to the extent not reimbursed by Borrowers) upon demand against any cost,</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w:t>
      </w:r>
    </w:p>
    <w:p>
      <w:pPr>
        <w:spacing w:after="0" w:line="114" w:lineRule="exact"/>
        <w:rPr>
          <w:sz w:val="20"/>
          <w:szCs w:val="20"/>
          <w:color w:val="auto"/>
        </w:rPr>
      </w:pPr>
    </w:p>
    <w:p>
      <w:pPr>
        <w:jc w:val="both"/>
        <w:ind w:left="140" w:right="20" w:firstLine="836"/>
        <w:spacing w:after="0" w:line="268" w:lineRule="auto"/>
        <w:rPr>
          <w:sz w:val="20"/>
          <w:szCs w:val="20"/>
          <w:color w:val="auto"/>
        </w:rPr>
      </w:pPr>
      <w:r>
        <w:rPr>
          <w:rFonts w:ascii="Arial" w:cs="Arial" w:eastAsia="Arial" w:hAnsi="Arial"/>
          <w:sz w:val="13"/>
          <w:szCs w:val="13"/>
          <w:b w:val="1"/>
          <w:bCs w:val="1"/>
          <w:color w:val="auto"/>
        </w:rPr>
        <w:t xml:space="preserve">Section 11.7 </w:t>
      </w:r>
      <w:r>
        <w:rPr>
          <w:rFonts w:ascii="Arial" w:cs="Arial" w:eastAsia="Arial" w:hAnsi="Arial"/>
          <w:sz w:val="13"/>
          <w:szCs w:val="13"/>
          <w:u w:val="single" w:color="auto"/>
          <w:color w:val="auto"/>
        </w:rPr>
        <w:t>Right to Request and Act on Instructions</w:t>
      </w:r>
      <w:r>
        <w:rPr>
          <w:rFonts w:ascii="Arial" w:cs="Arial" w:eastAsia="Arial" w:hAnsi="Arial"/>
          <w:sz w:val="13"/>
          <w:szCs w:val="13"/>
          <w:color w:val="auto"/>
        </w:rPr>
        <w:t>. Agent may at any time request instructions from Lenders with respect to any actions or approvals which by the terms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16" w:lineRule="exact"/>
        <w:rPr>
          <w:sz w:val="20"/>
          <w:szCs w:val="20"/>
          <w:color w:val="auto"/>
        </w:rPr>
      </w:pPr>
    </w:p>
    <w:p>
      <w:pPr>
        <w:jc w:val="both"/>
        <w:ind w:left="140" w:right="20" w:firstLine="837"/>
        <w:spacing w:after="0" w:line="252" w:lineRule="auto"/>
        <w:rPr>
          <w:sz w:val="20"/>
          <w:szCs w:val="20"/>
          <w:color w:val="auto"/>
        </w:rPr>
      </w:pPr>
      <w:r>
        <w:rPr>
          <w:rFonts w:ascii="Arial" w:cs="Arial" w:eastAsia="Arial" w:hAnsi="Arial"/>
          <w:sz w:val="14"/>
          <w:szCs w:val="14"/>
          <w:b w:val="1"/>
          <w:bCs w:val="1"/>
          <w:color w:val="auto"/>
        </w:rPr>
        <w:t xml:space="preserve">Section 11.8 </w:t>
      </w:r>
      <w:r>
        <w:rPr>
          <w:rFonts w:ascii="Arial" w:cs="Arial" w:eastAsia="Arial" w:hAnsi="Arial"/>
          <w:sz w:val="14"/>
          <w:szCs w:val="14"/>
          <w:u w:val="single" w:color="auto"/>
          <w:color w:val="auto"/>
        </w:rPr>
        <w:t>Credit Decision</w:t>
      </w:r>
      <w:r>
        <w:rPr>
          <w:rFonts w:ascii="Arial" w:cs="Arial" w:eastAsia="Arial" w:hAnsi="Arial"/>
          <w:sz w:val="14"/>
          <w:szCs w:val="14"/>
          <w:color w:val="auto"/>
        </w:rPr>
        <w:t>. Each Lender acknowledges that it has, independently and without reliance upon Agent or any other Lender, and based on such documents and</w:t>
      </w:r>
      <w:r>
        <w:rPr>
          <w:rFonts w:ascii="Arial" w:cs="Arial" w:eastAsia="Arial" w:hAnsi="Arial"/>
          <w:sz w:val="14"/>
          <w:szCs w:val="14"/>
          <w:b w:val="1"/>
          <w:bCs w:val="1"/>
          <w:color w:val="auto"/>
        </w:rPr>
        <w:t xml:space="preserve"> </w:t>
      </w:r>
      <w:r>
        <w:rPr>
          <w:rFonts w:ascii="Arial" w:cs="Arial" w:eastAsia="Arial" w:hAnsi="Arial"/>
          <w:sz w:val="14"/>
          <w:szCs w:val="14"/>
          <w:color w:val="auto"/>
        </w:rPr>
        <w:t>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26"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 xml:space="preserve">Section 11.9 </w:t>
      </w:r>
      <w:r>
        <w:rPr>
          <w:rFonts w:ascii="Arial" w:cs="Arial" w:eastAsia="Arial" w:hAnsi="Arial"/>
          <w:sz w:val="12"/>
          <w:szCs w:val="12"/>
          <w:u w:val="single" w:color="auto"/>
          <w:color w:val="auto"/>
        </w:rPr>
        <w:t>Collateral Matters</w:t>
      </w:r>
      <w:r>
        <w:rPr>
          <w:rFonts w:ascii="Arial" w:cs="Arial" w:eastAsia="Arial" w:hAnsi="Arial"/>
          <w:sz w:val="12"/>
          <w:szCs w:val="12"/>
          <w:color w:val="auto"/>
        </w:rPr>
        <w:t>. Lenders irrevocably authorize Agent, at its option and in its discretion, to (a) release any Lien granted to or held by Agent under any Security Document</w:t>
      </w:r>
    </w:p>
    <w:p>
      <w:pPr>
        <w:spacing w:after="0" w:line="40" w:lineRule="exact"/>
        <w:rPr>
          <w:sz w:val="20"/>
          <w:szCs w:val="20"/>
          <w:color w:val="auto"/>
        </w:rPr>
      </w:pPr>
    </w:p>
    <w:p>
      <w:pPr>
        <w:jc w:val="both"/>
        <w:ind w:left="140" w:firstLine="2"/>
        <w:spacing w:after="0" w:line="244" w:lineRule="auto"/>
        <w:tabs>
          <w:tab w:leader="none" w:pos="314" w:val="left"/>
        </w:tabs>
        <w:numPr>
          <w:ilvl w:val="0"/>
          <w:numId w:val="59"/>
        </w:numPr>
        <w:rPr>
          <w:rFonts w:ascii="Arial" w:cs="Arial" w:eastAsia="Arial" w:hAnsi="Arial"/>
          <w:sz w:val="14"/>
          <w:szCs w:val="14"/>
          <w:color w:val="auto"/>
        </w:rPr>
      </w:pPr>
      <w:r>
        <w:rPr>
          <w:rFonts w:ascii="Arial" w:cs="Arial" w:eastAsia="Arial" w:hAnsi="Arial"/>
          <w:sz w:val="14"/>
          <w:szCs w:val="14"/>
          <w:color w:val="auto"/>
        </w:rPr>
        <w:t>upon termination of the Term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spacing w:after="0" w:line="29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73</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35" w:name="page136"/>
    <w:bookmarkEnd w:id="135"/>
    <w:p>
      <w:pPr>
        <w:jc w:val="both"/>
        <w:ind w:left="140" w:firstLine="837"/>
        <w:spacing w:after="0" w:line="273" w:lineRule="auto"/>
        <w:rPr>
          <w:sz w:val="20"/>
          <w:szCs w:val="20"/>
          <w:color w:val="auto"/>
        </w:rPr>
      </w:pPr>
      <w:r>
        <w:rPr>
          <w:rFonts w:ascii="Arial" w:cs="Arial" w:eastAsia="Arial" w:hAnsi="Arial"/>
          <w:sz w:val="13"/>
          <w:szCs w:val="13"/>
          <w:b w:val="1"/>
          <w:bCs w:val="1"/>
          <w:color w:val="auto"/>
        </w:rPr>
        <w:t xml:space="preserve">Section 11.10 </w:t>
      </w:r>
      <w:r>
        <w:rPr>
          <w:rFonts w:ascii="Arial" w:cs="Arial" w:eastAsia="Arial" w:hAnsi="Arial"/>
          <w:sz w:val="13"/>
          <w:szCs w:val="13"/>
          <w:u w:val="single" w:color="auto"/>
          <w:color w:val="auto"/>
        </w:rPr>
        <w:t>Agency for Perfection</w:t>
      </w:r>
      <w:r>
        <w:rPr>
          <w:rFonts w:ascii="Arial" w:cs="Arial" w:eastAsia="Arial" w:hAnsi="Arial"/>
          <w:sz w:val="13"/>
          <w:szCs w:val="13"/>
          <w:color w:val="auto"/>
        </w:rPr>
        <w:t>. Agent and each Lender hereby appoint each other Lender as agent for the purpose of perfecting Agent’s security interest in assets which,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14" w:lineRule="exact"/>
        <w:rPr>
          <w:sz w:val="20"/>
          <w:szCs w:val="20"/>
          <w:color w:val="auto"/>
        </w:rPr>
      </w:pPr>
    </w:p>
    <w:p>
      <w:pPr>
        <w:jc w:val="both"/>
        <w:ind w:left="140" w:firstLine="836"/>
        <w:spacing w:after="0" w:line="248" w:lineRule="auto"/>
        <w:rPr>
          <w:sz w:val="20"/>
          <w:szCs w:val="20"/>
          <w:color w:val="auto"/>
        </w:rPr>
      </w:pPr>
      <w:r>
        <w:rPr>
          <w:rFonts w:ascii="Arial" w:cs="Arial" w:eastAsia="Arial" w:hAnsi="Arial"/>
          <w:sz w:val="14"/>
          <w:szCs w:val="14"/>
          <w:b w:val="1"/>
          <w:bCs w:val="1"/>
          <w:color w:val="auto"/>
        </w:rPr>
        <w:t xml:space="preserve">Section 11.11 </w:t>
      </w:r>
      <w:r>
        <w:rPr>
          <w:rFonts w:ascii="Arial" w:cs="Arial" w:eastAsia="Arial" w:hAnsi="Arial"/>
          <w:sz w:val="14"/>
          <w:szCs w:val="14"/>
          <w:u w:val="single" w:color="auto"/>
          <w:color w:val="auto"/>
        </w:rPr>
        <w:t>Notice of Default</w:t>
      </w:r>
      <w:r>
        <w:rPr>
          <w:rFonts w:ascii="Arial" w:cs="Arial" w:eastAsia="Arial" w:hAnsi="Arial"/>
          <w:sz w:val="14"/>
          <w:szCs w:val="14"/>
          <w:color w:val="auto"/>
        </w:rPr>
        <w:t>. Agent shall not be deemed to have knowledge or notice of the occurrence of any Default or Event of Default except with respect to defaults in the</w:t>
      </w:r>
      <w:r>
        <w:rPr>
          <w:rFonts w:ascii="Arial" w:cs="Arial" w:eastAsia="Arial" w:hAnsi="Arial"/>
          <w:sz w:val="14"/>
          <w:szCs w:val="14"/>
          <w:b w:val="1"/>
          <w:bCs w:val="1"/>
          <w:color w:val="auto"/>
        </w:rPr>
        <w:t xml:space="preserve"> </w:t>
      </w:r>
      <w:r>
        <w:rPr>
          <w:rFonts w:ascii="Arial" w:cs="Arial" w:eastAsia="Arial" w:hAnsi="Arial"/>
          <w:sz w:val="14"/>
          <w:szCs w:val="14"/>
          <w:color w:val="auto"/>
        </w:rPr>
        <w:t>payment of principal, interest and fees required to be paid to Agent for the account of Lenders, unless Agent shall have received written notice from a Lender or a Borrower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20" w:type="dxa"/>
            <w:vAlign w:val="bottom"/>
          </w:tcPr>
          <w:p>
            <w:pPr>
              <w:ind w:left="780"/>
              <w:spacing w:after="0"/>
              <w:rPr>
                <w:sz w:val="20"/>
                <w:szCs w:val="20"/>
                <w:color w:val="auto"/>
              </w:rPr>
            </w:pPr>
            <w:r>
              <w:rPr>
                <w:rFonts w:ascii="Arial" w:cs="Arial" w:eastAsia="Arial" w:hAnsi="Arial"/>
                <w:sz w:val="14"/>
                <w:szCs w:val="14"/>
                <w:b w:val="1"/>
                <w:bCs w:val="1"/>
                <w:color w:val="auto"/>
              </w:rPr>
              <w:t>Section 11.12</w:t>
            </w:r>
          </w:p>
        </w:tc>
        <w:tc>
          <w:tcPr>
            <w:tcW w:w="780" w:type="dxa"/>
            <w:vAlign w:val="bottom"/>
          </w:tcPr>
          <w:p>
            <w:pPr>
              <w:spacing w:after="0"/>
              <w:rPr>
                <w:sz w:val="14"/>
                <w:szCs w:val="14"/>
                <w:color w:val="auto"/>
              </w:rPr>
            </w:pPr>
          </w:p>
        </w:tc>
        <w:tc>
          <w:tcPr>
            <w:tcW w:w="8000" w:type="dxa"/>
            <w:vAlign w:val="bottom"/>
            <w:gridSpan w:val="2"/>
          </w:tcPr>
          <w:p>
            <w:pPr>
              <w:jc w:val="right"/>
              <w:ind w:right="4460"/>
              <w:spacing w:after="0"/>
              <w:rPr>
                <w:sz w:val="20"/>
                <w:szCs w:val="20"/>
                <w:color w:val="auto"/>
              </w:rPr>
            </w:pPr>
            <w:r>
              <w:rPr>
                <w:rFonts w:ascii="Arial" w:cs="Arial" w:eastAsia="Arial" w:hAnsi="Arial"/>
                <w:sz w:val="14"/>
                <w:szCs w:val="14"/>
                <w:color w:val="auto"/>
                <w:w w:val="90"/>
              </w:rPr>
              <w:t>Assignment by Agent; Resignation of Agent; Successor Agent.</w:t>
            </w:r>
          </w:p>
        </w:tc>
      </w:tr>
      <w:tr>
        <w:trPr>
          <w:trHeight w:val="20"/>
        </w:trPr>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92"/>
        </w:trPr>
        <w:tc>
          <w:tcPr>
            <w:tcW w:w="2220" w:type="dxa"/>
            <w:vAlign w:val="bottom"/>
          </w:tcPr>
          <w:p>
            <w:pPr>
              <w:spacing w:after="0"/>
              <w:rPr>
                <w:sz w:val="20"/>
                <w:szCs w:val="20"/>
                <w:color w:val="auto"/>
              </w:rPr>
            </w:pPr>
            <w:r>
              <w:rPr>
                <w:rFonts w:ascii="Arial" w:cs="Arial" w:eastAsia="Arial" w:hAnsi="Arial"/>
                <w:sz w:val="14"/>
                <w:szCs w:val="14"/>
                <w:color w:val="auto"/>
              </w:rPr>
              <w:t>(a)</w:t>
            </w:r>
          </w:p>
        </w:tc>
        <w:tc>
          <w:tcPr>
            <w:tcW w:w="8780" w:type="dxa"/>
            <w:vAlign w:val="bottom"/>
            <w:gridSpan w:val="3"/>
          </w:tcPr>
          <w:p>
            <w:pPr>
              <w:jc w:val="right"/>
              <w:spacing w:after="0"/>
              <w:rPr>
                <w:sz w:val="20"/>
                <w:szCs w:val="20"/>
                <w:color w:val="auto"/>
              </w:rPr>
            </w:pPr>
            <w:r>
              <w:rPr>
                <w:rFonts w:ascii="Arial" w:cs="Arial" w:eastAsia="Arial" w:hAnsi="Arial"/>
                <w:sz w:val="14"/>
                <w:szCs w:val="14"/>
                <w:color w:val="auto"/>
                <w:w w:val="97"/>
              </w:rPr>
              <w:t>Agent may at any time assign its rights, powers, privileges and duties hereunder to (i) another Lender or an Affiliate of Agent or any Lender or any</w:t>
            </w:r>
          </w:p>
        </w:tc>
      </w:tr>
      <w:tr>
        <w:trPr>
          <w:trHeight w:val="179"/>
        </w:trPr>
        <w:tc>
          <w:tcPr>
            <w:tcW w:w="11000" w:type="dxa"/>
            <w:vAlign w:val="bottom"/>
            <w:gridSpan w:val="4"/>
          </w:tcPr>
          <w:p>
            <w:pPr>
              <w:jc w:val="right"/>
              <w:ind w:right="20"/>
              <w:spacing w:after="0"/>
              <w:rPr>
                <w:sz w:val="20"/>
                <w:szCs w:val="20"/>
                <w:color w:val="auto"/>
              </w:rPr>
            </w:pPr>
            <w:r>
              <w:rPr>
                <w:rFonts w:ascii="Arial" w:cs="Arial" w:eastAsia="Arial" w:hAnsi="Arial"/>
                <w:sz w:val="14"/>
                <w:szCs w:val="14"/>
                <w:color w:val="auto"/>
              </w:rPr>
              <w:t>Approved Fund, or (ii) any Person to whom Agent, in its capacity as a Lender, has assigned (or will assign, in conjunction with such assignment of agency rights hereunder)</w:t>
            </w:r>
          </w:p>
        </w:tc>
      </w:tr>
    </w:tbl>
    <w:p>
      <w:pPr>
        <w:spacing w:after="0" w:line="1" w:lineRule="exact"/>
        <w:rPr>
          <w:sz w:val="20"/>
          <w:szCs w:val="20"/>
          <w:color w:val="auto"/>
        </w:rPr>
      </w:pPr>
    </w:p>
    <w:p>
      <w:pPr>
        <w:sectPr>
          <w:pgSz w:w="11900" w:h="16838" w:orient="portrait"/>
          <w:cols w:equalWidth="0" w:num="1">
            <w:col w:w="11340"/>
          </w:cols>
          <w:pgMar w:left="240" w:top="161" w:right="319" w:bottom="1440" w:gutter="0" w:footer="0" w:header="0"/>
        </w:sectPr>
      </w:pPr>
    </w:p>
    <w:p>
      <w:pPr>
        <w:jc w:val="both"/>
        <w:ind w:left="1660" w:right="140"/>
        <w:spacing w:after="0" w:line="242" w:lineRule="auto"/>
        <w:rPr>
          <w:sz w:val="20"/>
          <w:szCs w:val="20"/>
          <w:color w:val="auto"/>
        </w:rPr>
      </w:pPr>
      <w:r>
        <w:rPr>
          <w:rFonts w:ascii="Arial" w:cs="Arial" w:eastAsia="Arial" w:hAnsi="Arial"/>
          <w:sz w:val="14"/>
          <w:szCs w:val="14"/>
          <w:color w:val="auto"/>
        </w:rPr>
        <w:t>50% or more of its Loan in accordance with Section 11.17(a), in each case without the consent of Lenders or Borrowers. Following any such assignment, Agent shall give notice to Lenders and Borrowers. Failure to give such notice shall affect such assignment in any way or cause the assignment to be ineffective. An assignment by Agent pursuant to this subsection (a) shall not be deemed a resignation by Agent for purposes of subsection (b) below.</w:t>
      </w:r>
    </w:p>
    <w:p>
      <w:pPr>
        <w:sectPr>
          <w:pgSz w:w="11900" w:h="16838" w:orient="portrait"/>
          <w:cols w:equalWidth="0" w:num="1">
            <w:col w:w="11340"/>
          </w:cols>
          <w:pgMar w:left="240" w:top="161" w:right="319" w:bottom="1440" w:gutter="0" w:footer="0" w:header="0"/>
          <w:type w:val="continuous"/>
        </w:sectPr>
      </w:pPr>
    </w:p>
    <w:p>
      <w:pPr>
        <w:spacing w:after="0" w:line="13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both"/>
        <w:ind w:right="120" w:firstLine="1429"/>
        <w:spacing w:after="0" w:line="287" w:lineRule="auto"/>
        <w:rPr>
          <w:sz w:val="20"/>
          <w:szCs w:val="20"/>
          <w:color w:val="auto"/>
        </w:rPr>
      </w:pPr>
      <w:r>
        <w:rPr>
          <w:rFonts w:ascii="Arial" w:cs="Arial" w:eastAsia="Arial" w:hAnsi="Arial"/>
          <w:sz w:val="12"/>
          <w:szCs w:val="12"/>
          <w:color w:val="auto"/>
        </w:rPr>
        <w:t xml:space="preserve">Without limiting the rights of Agent to designate an assignee pursuant to subsection (a) above, Agent may at any time give notice of its resignation to the Lenders and Borrowers.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Lenders, appoint a successor Agent;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Agent shall notify Borrowers and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w:t>
      </w:r>
    </w:p>
    <w:p>
      <w:pPr>
        <w:spacing w:after="0" w:line="1" w:lineRule="exact"/>
        <w:rPr>
          <w:sz w:val="20"/>
          <w:szCs w:val="20"/>
          <w:color w:val="auto"/>
        </w:rPr>
      </w:pPr>
    </w:p>
    <w:p>
      <w:pPr>
        <w:sectPr>
          <w:pgSz w:w="11900" w:h="16838" w:orient="portrait"/>
          <w:cols w:equalWidth="0" w:num="2">
            <w:col w:w="940" w:space="720"/>
            <w:col w:w="9680"/>
          </w:cols>
          <w:pgMar w:left="240" w:top="161" w:right="319" w:bottom="1440" w:gutter="0" w:footer="0" w:header="0"/>
          <w:type w:val="continuous"/>
        </w:sectPr>
      </w:pPr>
    </w:p>
    <w:p>
      <w:pPr>
        <w:ind w:left="1660" w:right="120" w:firstLine="6"/>
        <w:spacing w:after="0" w:line="243" w:lineRule="auto"/>
        <w:tabs>
          <w:tab w:leader="none" w:pos="1869"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35"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00" w:type="dxa"/>
            <w:vAlign w:val="bottom"/>
          </w:tcPr>
          <w:p>
            <w:pPr>
              <w:spacing w:after="0"/>
              <w:rPr>
                <w:sz w:val="20"/>
                <w:szCs w:val="20"/>
                <w:color w:val="auto"/>
              </w:rPr>
            </w:pPr>
            <w:r>
              <w:rPr>
                <w:rFonts w:ascii="Arial" w:cs="Arial" w:eastAsia="Arial" w:hAnsi="Arial"/>
                <w:sz w:val="14"/>
                <w:szCs w:val="14"/>
                <w:color w:val="auto"/>
              </w:rPr>
              <w:t>(c)</w:t>
            </w:r>
          </w:p>
        </w:tc>
        <w:tc>
          <w:tcPr>
            <w:tcW w:w="10200" w:type="dxa"/>
            <w:vAlign w:val="bottom"/>
          </w:tcPr>
          <w:p>
            <w:pPr>
              <w:jc w:val="right"/>
              <w:spacing w:after="0"/>
              <w:rPr>
                <w:sz w:val="20"/>
                <w:szCs w:val="20"/>
                <w:color w:val="auto"/>
              </w:rPr>
            </w:pPr>
            <w:r>
              <w:rPr>
                <w:rFonts w:ascii="Arial" w:cs="Arial" w:eastAsia="Arial" w:hAnsi="Arial"/>
                <w:sz w:val="14"/>
                <w:szCs w:val="14"/>
                <w:color w:val="auto"/>
              </w:rPr>
              <w:t>Upon (i) an assignment permitted by subsection (a) above, or (ii) the acceptance of a successor’s appointment as Agent pursuant to subsection (b)</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jc w:val="right"/>
              <w:ind w:right="1570"/>
              <w:spacing w:after="0"/>
              <w:rPr>
                <w:sz w:val="20"/>
                <w:szCs w:val="20"/>
                <w:color w:val="auto"/>
              </w:rPr>
            </w:pPr>
            <w:r>
              <w:rPr>
                <w:rFonts w:ascii="Arial" w:cs="Arial" w:eastAsia="Arial" w:hAnsi="Arial"/>
                <w:sz w:val="14"/>
                <w:szCs w:val="14"/>
                <w:color w:val="auto"/>
                <w:w w:val="96"/>
              </w:rPr>
              <w:t>above, such successor shall succeed to and become vested with all of the rights, powers, privileges and duties of the retiring (or retired) Agent,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jc w:val="right"/>
              <w:ind w:right="69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type w:val="continuous"/>
        </w:sectPr>
      </w:pPr>
    </w:p>
    <w:bookmarkStart w:id="136" w:name="page137"/>
    <w:bookmarkEnd w:id="136"/>
    <w:p>
      <w:pPr>
        <w:jc w:val="both"/>
        <w:ind w:left="260"/>
        <w:spacing w:after="0" w:line="276" w:lineRule="auto"/>
        <w:rPr>
          <w:sz w:val="20"/>
          <w:szCs w:val="20"/>
          <w:color w:val="auto"/>
        </w:rPr>
      </w:pPr>
      <w:r>
        <w:rPr>
          <w:rFonts w:ascii="Arial" w:cs="Arial" w:eastAsia="Arial" w:hAnsi="Arial"/>
          <w:sz w:val="13"/>
          <w:szCs w:val="13"/>
          <w:color w:val="auto"/>
        </w:rPr>
        <w:t>and the retiring Agent shall be discharged from all of its duties and obligations hereunder and under the other Financing Documents (if not already discharged therefrom as provided above in this paragraph). The fees payable by Borrowers to a successor Agent shall be the same as those payable to its predecessor unless otherwise agreed between Borrowers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00" w:type="dxa"/>
            <w:vAlign w:val="bottom"/>
          </w:tcPr>
          <w:p>
            <w:pPr>
              <w:ind w:left="780"/>
              <w:spacing w:after="0"/>
              <w:rPr>
                <w:sz w:val="20"/>
                <w:szCs w:val="20"/>
                <w:color w:val="auto"/>
              </w:rPr>
            </w:pPr>
            <w:r>
              <w:rPr>
                <w:rFonts w:ascii="Arial" w:cs="Arial" w:eastAsia="Arial" w:hAnsi="Arial"/>
                <w:sz w:val="14"/>
                <w:szCs w:val="14"/>
                <w:b w:val="1"/>
                <w:bCs w:val="1"/>
                <w:color w:val="auto"/>
              </w:rPr>
              <w:t>Section 11.13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0" w:type="dxa"/>
            <w:vAlign w:val="bottom"/>
            <w:gridSpan w:val="5"/>
          </w:tcPr>
          <w:p>
            <w:pPr>
              <w:spacing w:after="0"/>
              <w:rPr>
                <w:sz w:val="20"/>
                <w:szCs w:val="20"/>
                <w:color w:val="auto"/>
              </w:rPr>
            </w:pPr>
            <w:r>
              <w:rPr>
                <w:rFonts w:ascii="Arial" w:cs="Arial" w:eastAsia="Arial" w:hAnsi="Arial"/>
                <w:sz w:val="14"/>
                <w:szCs w:val="14"/>
                <w:color w:val="auto"/>
              </w:rPr>
              <w:t>Payment and Sharing of Payment.</w:t>
            </w:r>
          </w:p>
        </w:tc>
      </w:tr>
      <w:tr>
        <w:trPr>
          <w:trHeight w:val="20"/>
        </w:trPr>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76"/>
        </w:trPr>
        <w:tc>
          <w:tcPr>
            <w:tcW w:w="2600" w:type="dxa"/>
            <w:vAlign w:val="bottom"/>
          </w:tcPr>
          <w:p>
            <w:pPr>
              <w:ind w:left="1740"/>
              <w:spacing w:after="0"/>
              <w:rPr>
                <w:sz w:val="20"/>
                <w:szCs w:val="20"/>
                <w:color w:val="auto"/>
              </w:rPr>
            </w:pPr>
            <w:r>
              <w:rPr>
                <w:rFonts w:ascii="Arial" w:cs="Arial" w:eastAsia="Arial" w:hAnsi="Arial"/>
                <w:sz w:val="14"/>
                <w:szCs w:val="14"/>
                <w:color w:val="auto"/>
              </w:rPr>
              <w:t>(a)</w:t>
            </w:r>
          </w:p>
        </w:tc>
        <w:tc>
          <w:tcPr>
            <w:tcW w:w="8400" w:type="dxa"/>
            <w:vAlign w:val="bottom"/>
            <w:gridSpan w:val="7"/>
          </w:tcPr>
          <w:p>
            <w:pPr>
              <w:spacing w:after="0"/>
              <w:rPr>
                <w:sz w:val="20"/>
                <w:szCs w:val="20"/>
                <w:color w:val="auto"/>
              </w:rPr>
            </w:pPr>
            <w:r>
              <w:rPr>
                <w:rFonts w:ascii="Arial" w:cs="Arial" w:eastAsia="Arial" w:hAnsi="Arial"/>
                <w:sz w:val="14"/>
                <w:szCs w:val="14"/>
                <w:color w:val="auto"/>
              </w:rPr>
              <w:t>Reserved.</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285"/>
        </w:trPr>
        <w:tc>
          <w:tcPr>
            <w:tcW w:w="2600" w:type="dxa"/>
            <w:vAlign w:val="bottom"/>
          </w:tcPr>
          <w:p>
            <w:pPr>
              <w:spacing w:after="0"/>
              <w:rPr>
                <w:sz w:val="20"/>
                <w:szCs w:val="20"/>
                <w:color w:val="auto"/>
              </w:rPr>
            </w:pPr>
            <w:r>
              <w:rPr>
                <w:rFonts w:ascii="Arial" w:cs="Arial" w:eastAsia="Arial" w:hAnsi="Arial"/>
                <w:sz w:val="14"/>
                <w:szCs w:val="14"/>
                <w:color w:val="auto"/>
              </w:rPr>
              <w:t>(b)</w:t>
            </w:r>
          </w:p>
        </w:tc>
        <w:tc>
          <w:tcPr>
            <w:tcW w:w="280" w:type="dxa"/>
            <w:vAlign w:val="bottom"/>
          </w:tcPr>
          <w:p>
            <w:pPr>
              <w:spacing w:after="0"/>
              <w:rPr>
                <w:sz w:val="24"/>
                <w:szCs w:val="24"/>
                <w:color w:val="auto"/>
              </w:rPr>
            </w:pPr>
          </w:p>
        </w:tc>
        <w:tc>
          <w:tcPr>
            <w:tcW w:w="8120" w:type="dxa"/>
            <w:vAlign w:val="bottom"/>
            <w:gridSpan w:val="6"/>
          </w:tcPr>
          <w:p>
            <w:pPr>
              <w:spacing w:after="0"/>
              <w:rPr>
                <w:sz w:val="20"/>
                <w:szCs w:val="20"/>
                <w:color w:val="auto"/>
              </w:rPr>
            </w:pPr>
            <w:r>
              <w:rPr>
                <w:rFonts w:ascii="Arial" w:cs="Arial" w:eastAsia="Arial" w:hAnsi="Arial"/>
                <w:sz w:val="14"/>
                <w:szCs w:val="14"/>
                <w:color w:val="auto"/>
                <w:w w:val="92"/>
              </w:rPr>
              <w:t>Term Loan Payments. Payments of principal, interest and fees in respect of the Term Loans will be settled on the date of receipt if received by</w:t>
            </w:r>
          </w:p>
        </w:tc>
      </w:tr>
      <w:tr>
        <w:trPr>
          <w:trHeight w:val="20"/>
        </w:trPr>
        <w:tc>
          <w:tcPr>
            <w:tcW w:w="288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940" w:type="dxa"/>
            <w:vAlign w:val="bottom"/>
            <w:gridSpan w:val="2"/>
          </w:tcPr>
          <w:p>
            <w:pPr>
              <w:spacing w:after="0" w:line="20" w:lineRule="exact"/>
              <w:rPr>
                <w:sz w:val="1"/>
                <w:szCs w:val="1"/>
                <w:color w:val="auto"/>
              </w:rPr>
            </w:pPr>
          </w:p>
        </w:tc>
      </w:tr>
      <w:tr>
        <w:trPr>
          <w:trHeight w:val="158"/>
        </w:trPr>
        <w:tc>
          <w:tcPr>
            <w:tcW w:w="11000" w:type="dxa"/>
            <w:vAlign w:val="bottom"/>
            <w:gridSpan w:val="8"/>
          </w:tcPr>
          <w:p>
            <w:pPr>
              <w:ind w:left="1440"/>
              <w:spacing w:after="0" w:line="159" w:lineRule="exact"/>
              <w:rPr>
                <w:sz w:val="20"/>
                <w:szCs w:val="20"/>
                <w:color w:val="auto"/>
              </w:rPr>
            </w:pPr>
            <w:r>
              <w:rPr>
                <w:rFonts w:ascii="Arial" w:cs="Arial" w:eastAsia="Arial" w:hAnsi="Arial"/>
                <w:sz w:val="14"/>
                <w:szCs w:val="14"/>
                <w:color w:val="auto"/>
                <w:w w:val="91"/>
              </w:rPr>
              <w:t>Agent on the last Business Day of a month or on the Business Day immediately following the date of receipt if received on any day other than the last Business Day of a</w:t>
            </w:r>
          </w:p>
        </w:tc>
      </w:tr>
      <w:tr>
        <w:trPr>
          <w:trHeight w:val="179"/>
        </w:trPr>
        <w:tc>
          <w:tcPr>
            <w:tcW w:w="2600" w:type="dxa"/>
            <w:vAlign w:val="bottom"/>
          </w:tcPr>
          <w:p>
            <w:pPr>
              <w:ind w:left="1440"/>
              <w:spacing w:after="0"/>
              <w:rPr>
                <w:sz w:val="20"/>
                <w:szCs w:val="20"/>
                <w:color w:val="auto"/>
              </w:rPr>
            </w:pPr>
            <w:r>
              <w:rPr>
                <w:rFonts w:ascii="Arial" w:cs="Arial" w:eastAsia="Arial" w:hAnsi="Arial"/>
                <w:sz w:val="14"/>
                <w:szCs w:val="14"/>
                <w:color w:val="auto"/>
              </w:rPr>
              <w:t>month.</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120" w:type="dxa"/>
            <w:vAlign w:val="bottom"/>
          </w:tcPr>
          <w:p>
            <w:pPr>
              <w:spacing w:after="0"/>
              <w:rPr>
                <w:sz w:val="15"/>
                <w:szCs w:val="15"/>
                <w:color w:val="auto"/>
              </w:rPr>
            </w:pPr>
          </w:p>
        </w:tc>
      </w:tr>
      <w:tr>
        <w:trPr>
          <w:trHeight w:val="283"/>
        </w:trPr>
        <w:tc>
          <w:tcPr>
            <w:tcW w:w="2600" w:type="dxa"/>
            <w:vAlign w:val="bottom"/>
          </w:tcPr>
          <w:p>
            <w:pPr>
              <w:ind w:left="1740"/>
              <w:spacing w:after="0"/>
              <w:rPr>
                <w:sz w:val="20"/>
                <w:szCs w:val="20"/>
                <w:color w:val="auto"/>
              </w:rPr>
            </w:pPr>
            <w:r>
              <w:rPr>
                <w:rFonts w:ascii="Arial" w:cs="Arial" w:eastAsia="Arial" w:hAnsi="Arial"/>
                <w:sz w:val="14"/>
                <w:szCs w:val="14"/>
                <w:color w:val="auto"/>
              </w:rPr>
              <w:t>(c)</w:t>
            </w:r>
          </w:p>
        </w:tc>
        <w:tc>
          <w:tcPr>
            <w:tcW w:w="8400" w:type="dxa"/>
            <w:vAlign w:val="bottom"/>
            <w:gridSpan w:val="7"/>
          </w:tcPr>
          <w:p>
            <w:pPr>
              <w:spacing w:after="0"/>
              <w:rPr>
                <w:sz w:val="20"/>
                <w:szCs w:val="20"/>
                <w:color w:val="auto"/>
              </w:rPr>
            </w:pPr>
            <w:r>
              <w:rPr>
                <w:rFonts w:ascii="Arial" w:cs="Arial" w:eastAsia="Arial" w:hAnsi="Arial"/>
                <w:sz w:val="14"/>
                <w:szCs w:val="14"/>
                <w:color w:val="auto"/>
              </w:rPr>
              <w:t>Return of Payments.</w:t>
            </w:r>
          </w:p>
        </w:tc>
      </w:tr>
      <w:tr>
        <w:trPr>
          <w:trHeight w:val="20"/>
        </w:trPr>
        <w:tc>
          <w:tcPr>
            <w:tcW w:w="2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r>
      <w:tr>
        <w:trPr>
          <w:trHeight w:val="314"/>
        </w:trPr>
        <w:tc>
          <w:tcPr>
            <w:tcW w:w="2600" w:type="dxa"/>
            <w:vAlign w:val="bottom"/>
          </w:tcPr>
          <w:p>
            <w:pPr>
              <w:spacing w:after="0"/>
              <w:rPr>
                <w:sz w:val="20"/>
                <w:szCs w:val="20"/>
                <w:color w:val="auto"/>
              </w:rPr>
            </w:pPr>
            <w:r>
              <w:rPr>
                <w:rFonts w:ascii="Arial" w:cs="Arial" w:eastAsia="Arial" w:hAnsi="Arial"/>
                <w:sz w:val="14"/>
                <w:szCs w:val="14"/>
                <w:color w:val="auto"/>
              </w:rPr>
              <w:t>(i)</w:t>
            </w:r>
          </w:p>
        </w:tc>
        <w:tc>
          <w:tcPr>
            <w:tcW w:w="280" w:type="dxa"/>
            <w:vAlign w:val="bottom"/>
          </w:tcPr>
          <w:p>
            <w:pPr>
              <w:spacing w:after="0"/>
              <w:rPr>
                <w:sz w:val="24"/>
                <w:szCs w:val="24"/>
                <w:color w:val="auto"/>
              </w:rPr>
            </w:pPr>
          </w:p>
        </w:tc>
        <w:tc>
          <w:tcPr>
            <w:tcW w:w="8120" w:type="dxa"/>
            <w:vAlign w:val="bottom"/>
            <w:gridSpan w:val="6"/>
          </w:tcPr>
          <w:p>
            <w:pPr>
              <w:spacing w:after="0"/>
              <w:rPr>
                <w:sz w:val="20"/>
                <w:szCs w:val="20"/>
                <w:color w:val="auto"/>
              </w:rPr>
            </w:pPr>
            <w:r>
              <w:rPr>
                <w:rFonts w:ascii="Arial" w:cs="Arial" w:eastAsia="Arial" w:hAnsi="Arial"/>
                <w:sz w:val="14"/>
                <w:szCs w:val="14"/>
                <w:color w:val="auto"/>
                <w:w w:val="88"/>
              </w:rPr>
              <w:t>If Agent pays an amount to a Lender under this Agreement in the belief or expectation that a related payment has been or will be received by Agent</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11000" w:type="dxa"/>
            <w:vAlign w:val="bottom"/>
            <w:gridSpan w:val="5"/>
          </w:tcPr>
          <w:p>
            <w:pPr>
              <w:ind w:left="1440"/>
              <w:spacing w:after="0" w:line="151" w:lineRule="exact"/>
              <w:rPr>
                <w:sz w:val="20"/>
                <w:szCs w:val="20"/>
                <w:color w:val="auto"/>
              </w:rPr>
            </w:pPr>
            <w:r>
              <w:rPr>
                <w:rFonts w:ascii="Arial" w:cs="Arial" w:eastAsia="Arial" w:hAnsi="Arial"/>
                <w:sz w:val="14"/>
                <w:szCs w:val="14"/>
                <w:color w:val="auto"/>
                <w:w w:val="94"/>
              </w:rPr>
              <w:t>from a Borrower and such related payment is not received by Agent, then Agent will be entitled to recover such amount from such Lender on demand without setoff,</w:t>
            </w:r>
          </w:p>
        </w:tc>
      </w:tr>
      <w:tr>
        <w:trPr>
          <w:trHeight w:val="179"/>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rPr>
              <w:t>counterclaim or deduction of any kind, together with interest accruing on a daily basis at the Federal Funds Rate.</w:t>
            </w:r>
          </w:p>
        </w:tc>
      </w:tr>
      <w:tr>
        <w:trPr>
          <w:trHeight w:val="299"/>
        </w:trPr>
        <w:tc>
          <w:tcPr>
            <w:tcW w:w="1680" w:type="dxa"/>
            <w:vAlign w:val="bottom"/>
          </w:tcPr>
          <w:p>
            <w:pPr>
              <w:spacing w:after="0"/>
              <w:rPr>
                <w:sz w:val="20"/>
                <w:szCs w:val="20"/>
                <w:color w:val="auto"/>
              </w:rPr>
            </w:pPr>
            <w:r>
              <w:rPr>
                <w:rFonts w:ascii="Arial" w:cs="Arial" w:eastAsia="Arial" w:hAnsi="Arial"/>
                <w:sz w:val="14"/>
                <w:szCs w:val="14"/>
                <w:color w:val="auto"/>
              </w:rPr>
              <w:t>(ii)</w:t>
            </w:r>
          </w:p>
        </w:tc>
        <w:tc>
          <w:tcPr>
            <w:tcW w:w="1200" w:type="dxa"/>
            <w:vAlign w:val="bottom"/>
          </w:tcPr>
          <w:p>
            <w:pPr>
              <w:spacing w:after="0"/>
              <w:rPr>
                <w:sz w:val="24"/>
                <w:szCs w:val="24"/>
                <w:color w:val="auto"/>
              </w:rPr>
            </w:pPr>
          </w:p>
        </w:tc>
        <w:tc>
          <w:tcPr>
            <w:tcW w:w="8120" w:type="dxa"/>
            <w:vAlign w:val="bottom"/>
            <w:gridSpan w:val="3"/>
          </w:tcPr>
          <w:p>
            <w:pPr>
              <w:jc w:val="right"/>
              <w:ind w:right="20"/>
              <w:spacing w:after="0"/>
              <w:rPr>
                <w:sz w:val="20"/>
                <w:szCs w:val="20"/>
                <w:color w:val="auto"/>
              </w:rPr>
            </w:pPr>
            <w:r>
              <w:rPr>
                <w:rFonts w:ascii="Arial" w:cs="Arial" w:eastAsia="Arial" w:hAnsi="Arial"/>
                <w:sz w:val="14"/>
                <w:szCs w:val="14"/>
                <w:color w:val="auto"/>
                <w:w w:val="90"/>
              </w:rPr>
              <w:t>If Agent determines at any time that any amount received by Agent under this Agreement must be returned to any Borrower or paid to any other</w:t>
            </w:r>
          </w:p>
        </w:tc>
      </w:tr>
      <w:tr>
        <w:trPr>
          <w:trHeight w:val="162"/>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w w:val="89"/>
              </w:rPr>
              <w:t>Person pursuant to any insolvency law or otherwise, then, notwithstanding any other term or condition of this Agreement or any other Financing Document, Agent will not be</w:t>
            </w:r>
          </w:p>
        </w:tc>
      </w:tr>
      <w:tr>
        <w:trPr>
          <w:trHeight w:val="162"/>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w w:val="88"/>
              </w:rPr>
              <w:t>required to distribute any portion thereof to any Lender. In addition, each Lender will repay to Agent on demand any portion of such amount that Agent has distributed to such</w:t>
            </w:r>
          </w:p>
        </w:tc>
      </w:tr>
      <w:tr>
        <w:trPr>
          <w:trHeight w:val="179"/>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w w:val="91"/>
              </w:rPr>
              <w:t>Lender, together with interest at such rate, if any, as Agent is required to pay to any Borrower or such other Person, without setoff, counterclaim or deduction of any kind.</w:t>
            </w:r>
          </w:p>
        </w:tc>
      </w:tr>
      <w:tr>
        <w:trPr>
          <w:trHeight w:val="283"/>
        </w:trPr>
        <w:tc>
          <w:tcPr>
            <w:tcW w:w="1680" w:type="dxa"/>
            <w:vAlign w:val="bottom"/>
          </w:tcPr>
          <w:p>
            <w:pPr>
              <w:spacing w:after="0"/>
              <w:rPr>
                <w:sz w:val="20"/>
                <w:szCs w:val="20"/>
                <w:color w:val="auto"/>
              </w:rPr>
            </w:pPr>
            <w:r>
              <w:rPr>
                <w:rFonts w:ascii="Arial" w:cs="Arial" w:eastAsia="Arial" w:hAnsi="Arial"/>
                <w:sz w:val="14"/>
                <w:szCs w:val="14"/>
                <w:color w:val="auto"/>
              </w:rPr>
              <w:t>(d)</w:t>
            </w:r>
          </w:p>
        </w:tc>
        <w:tc>
          <w:tcPr>
            <w:tcW w:w="1200" w:type="dxa"/>
            <w:vAlign w:val="bottom"/>
          </w:tcPr>
          <w:p>
            <w:pPr>
              <w:spacing w:after="0"/>
              <w:rPr>
                <w:sz w:val="24"/>
                <w:szCs w:val="24"/>
                <w:color w:val="auto"/>
              </w:rPr>
            </w:pPr>
          </w:p>
        </w:tc>
        <w:tc>
          <w:tcPr>
            <w:tcW w:w="8120" w:type="dxa"/>
            <w:vAlign w:val="bottom"/>
            <w:gridSpan w:val="3"/>
          </w:tcPr>
          <w:p>
            <w:pPr>
              <w:jc w:val="right"/>
              <w:ind w:right="20"/>
              <w:spacing w:after="0"/>
              <w:rPr>
                <w:sz w:val="20"/>
                <w:szCs w:val="20"/>
                <w:color w:val="auto"/>
              </w:rPr>
            </w:pPr>
            <w:r>
              <w:rPr>
                <w:rFonts w:ascii="Arial" w:cs="Arial" w:eastAsia="Arial" w:hAnsi="Arial"/>
                <w:sz w:val="14"/>
                <w:szCs w:val="14"/>
                <w:color w:val="auto"/>
                <w:w w:val="92"/>
              </w:rPr>
              <w:t>Defaulted Lenders. The failure of any Defaulted Lender to make any payment required by it hereunder shall not relieve any other Lender of its</w:t>
            </w:r>
          </w:p>
        </w:tc>
      </w:tr>
      <w:tr>
        <w:trPr>
          <w:trHeight w:val="20"/>
        </w:trPr>
        <w:tc>
          <w:tcPr>
            <w:tcW w:w="288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58"/>
        </w:trPr>
        <w:tc>
          <w:tcPr>
            <w:tcW w:w="11000" w:type="dxa"/>
            <w:vAlign w:val="bottom"/>
            <w:gridSpan w:val="5"/>
          </w:tcPr>
          <w:p>
            <w:pPr>
              <w:ind w:left="1440"/>
              <w:spacing w:after="0" w:line="159" w:lineRule="exact"/>
              <w:rPr>
                <w:sz w:val="20"/>
                <w:szCs w:val="20"/>
                <w:color w:val="auto"/>
              </w:rPr>
            </w:pPr>
            <w:r>
              <w:rPr>
                <w:rFonts w:ascii="Arial" w:cs="Arial" w:eastAsia="Arial" w:hAnsi="Arial"/>
                <w:sz w:val="14"/>
                <w:szCs w:val="14"/>
                <w:color w:val="auto"/>
                <w:w w:val="90"/>
              </w:rPr>
              <w:t>obligations to make payment, but neither any other Lender nor Agent shall be responsible for the failure of any Defaulted Lender to make any payment required hereunder.</w:t>
            </w:r>
          </w:p>
        </w:tc>
      </w:tr>
      <w:tr>
        <w:trPr>
          <w:trHeight w:val="162"/>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w w:val="89"/>
              </w:rPr>
              <w:t>Notwithstanding anything set forth herein to the contrary, a Defaulted Lender shall not have any voting or consent rights under or with respect to any Financing Document or</w:t>
            </w:r>
          </w:p>
        </w:tc>
      </w:tr>
      <w:tr>
        <w:trPr>
          <w:trHeight w:val="179"/>
        </w:trPr>
        <w:tc>
          <w:tcPr>
            <w:tcW w:w="11000" w:type="dxa"/>
            <w:vAlign w:val="bottom"/>
            <w:gridSpan w:val="5"/>
          </w:tcPr>
          <w:p>
            <w:pPr>
              <w:ind w:left="1440"/>
              <w:spacing w:after="0"/>
              <w:rPr>
                <w:sz w:val="20"/>
                <w:szCs w:val="20"/>
                <w:color w:val="auto"/>
              </w:rPr>
            </w:pPr>
            <w:r>
              <w:rPr>
                <w:rFonts w:ascii="Arial" w:cs="Arial" w:eastAsia="Arial" w:hAnsi="Arial"/>
                <w:sz w:val="14"/>
                <w:szCs w:val="14"/>
                <w:color w:val="auto"/>
                <w:w w:val="90"/>
              </w:rPr>
              <w:t>constitute a “Lender” (or be included in the calculation of “Required Lenders” hereunder) for any voting or consent rights under or with respect to any Financing Document.</w:t>
            </w:r>
          </w:p>
        </w:tc>
      </w:tr>
      <w:tr>
        <w:trPr>
          <w:trHeight w:val="283"/>
        </w:trPr>
        <w:tc>
          <w:tcPr>
            <w:tcW w:w="1680" w:type="dxa"/>
            <w:vAlign w:val="bottom"/>
          </w:tcPr>
          <w:p>
            <w:pPr>
              <w:spacing w:after="0"/>
              <w:rPr>
                <w:sz w:val="20"/>
                <w:szCs w:val="20"/>
                <w:color w:val="auto"/>
              </w:rPr>
            </w:pPr>
            <w:r>
              <w:rPr>
                <w:rFonts w:ascii="Arial" w:cs="Arial" w:eastAsia="Arial" w:hAnsi="Arial"/>
                <w:sz w:val="14"/>
                <w:szCs w:val="14"/>
                <w:color w:val="auto"/>
              </w:rPr>
              <w:t>(e)</w:t>
            </w:r>
          </w:p>
        </w:tc>
        <w:tc>
          <w:tcPr>
            <w:tcW w:w="1200" w:type="dxa"/>
            <w:vAlign w:val="bottom"/>
          </w:tcPr>
          <w:p>
            <w:pPr>
              <w:spacing w:after="0"/>
              <w:rPr>
                <w:sz w:val="24"/>
                <w:szCs w:val="24"/>
                <w:color w:val="auto"/>
              </w:rPr>
            </w:pPr>
          </w:p>
        </w:tc>
        <w:tc>
          <w:tcPr>
            <w:tcW w:w="8120" w:type="dxa"/>
            <w:vAlign w:val="bottom"/>
            <w:gridSpan w:val="3"/>
          </w:tcPr>
          <w:p>
            <w:pPr>
              <w:jc w:val="right"/>
              <w:spacing w:after="0"/>
              <w:rPr>
                <w:sz w:val="20"/>
                <w:szCs w:val="20"/>
                <w:color w:val="auto"/>
              </w:rPr>
            </w:pPr>
            <w:r>
              <w:rPr>
                <w:rFonts w:ascii="Arial" w:cs="Arial" w:eastAsia="Arial" w:hAnsi="Arial"/>
                <w:sz w:val="14"/>
                <w:szCs w:val="14"/>
                <w:color w:val="auto"/>
                <w:w w:val="95"/>
              </w:rPr>
              <w:t>Sharing of Payments. If any Lender shall obtain any payment or other recovery (whether voluntary, involuntary, by application of setoff or</w:t>
            </w:r>
          </w:p>
        </w:tc>
      </w:tr>
      <w:tr>
        <w:trPr>
          <w:trHeight w:val="20"/>
        </w:trPr>
        <w:tc>
          <w:tcPr>
            <w:tcW w:w="288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158"/>
        </w:trPr>
        <w:tc>
          <w:tcPr>
            <w:tcW w:w="11000" w:type="dxa"/>
            <w:vAlign w:val="bottom"/>
            <w:gridSpan w:val="5"/>
          </w:tcPr>
          <w:p>
            <w:pPr>
              <w:ind w:left="1440"/>
              <w:spacing w:after="0" w:line="159" w:lineRule="exact"/>
              <w:rPr>
                <w:sz w:val="20"/>
                <w:szCs w:val="20"/>
                <w:color w:val="auto"/>
              </w:rPr>
            </w:pPr>
            <w:r>
              <w:rPr>
                <w:rFonts w:ascii="Arial" w:cs="Arial" w:eastAsia="Arial" w:hAnsi="Arial"/>
                <w:sz w:val="14"/>
                <w:szCs w:val="14"/>
                <w:color w:val="auto"/>
                <w:w w:val="88"/>
              </w:rPr>
              <w:t>otherwise) on account of any Loan (other than pursuant to the terms of Section 2.8(d)) in excess of its Pro Rata Share of payments entitled pursuant to the other provisions of</w:t>
            </w:r>
          </w:p>
        </w:tc>
      </w:tr>
      <w:tr>
        <w:trPr>
          <w:trHeight w:val="174"/>
        </w:trPr>
        <w:tc>
          <w:tcPr>
            <w:tcW w:w="1680" w:type="dxa"/>
            <w:vAlign w:val="bottom"/>
          </w:tcPr>
          <w:p>
            <w:pPr>
              <w:ind w:left="1440"/>
              <w:spacing w:after="0"/>
              <w:rPr>
                <w:sz w:val="20"/>
                <w:szCs w:val="20"/>
                <w:color w:val="auto"/>
              </w:rPr>
            </w:pPr>
            <w:r>
              <w:rPr>
                <w:rFonts w:ascii="Arial" w:cs="Arial" w:eastAsia="Arial" w:hAnsi="Arial"/>
                <w:sz w:val="14"/>
                <w:szCs w:val="14"/>
                <w:color w:val="auto"/>
              </w:rPr>
              <w:t>this</w:t>
            </w:r>
          </w:p>
        </w:tc>
        <w:tc>
          <w:tcPr>
            <w:tcW w:w="9320" w:type="dxa"/>
            <w:vAlign w:val="bottom"/>
            <w:gridSpan w:val="4"/>
          </w:tcPr>
          <w:p>
            <w:pPr>
              <w:jc w:val="right"/>
              <w:ind w:right="20"/>
              <w:spacing w:after="0"/>
              <w:rPr>
                <w:sz w:val="20"/>
                <w:szCs w:val="20"/>
                <w:color w:val="auto"/>
              </w:rPr>
            </w:pPr>
            <w:r>
              <w:rPr>
                <w:rFonts w:ascii="Arial" w:cs="Arial" w:eastAsia="Arial" w:hAnsi="Arial"/>
                <w:sz w:val="14"/>
                <w:szCs w:val="14"/>
                <w:color w:val="auto"/>
                <w:w w:val="96"/>
              </w:rPr>
              <w:t>Section 11.13, such Lender shall purchase from the other Lenders such participations in extensions of credit made by such other Lenders (without recourse,</w:t>
            </w:r>
          </w:p>
        </w:tc>
      </w:tr>
    </w:tbl>
    <w:p>
      <w:pPr>
        <w:ind w:left="1660" w:right="140"/>
        <w:spacing w:after="0" w:line="260" w:lineRule="auto"/>
        <w:rPr>
          <w:sz w:val="20"/>
          <w:szCs w:val="20"/>
          <w:color w:val="auto"/>
        </w:rPr>
      </w:pPr>
      <w:r>
        <w:rPr>
          <w:rFonts w:ascii="Arial" w:cs="Arial" w:eastAsia="Arial" w:hAnsi="Arial"/>
          <w:sz w:val="13"/>
          <w:szCs w:val="13"/>
          <w:color w:val="auto"/>
        </w:rPr>
        <w:t xml:space="preserve">representation or warranty) as shall be necessary to cause such purchasing Lender to share the excess payment or other recovery ratably with each of them;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however, </w:t>
      </w:r>
      <w:r>
        <w:rPr>
          <w:rFonts w:ascii="Arial" w:cs="Arial" w:eastAsia="Arial" w:hAnsi="Arial"/>
          <w:sz w:val="13"/>
          <w:szCs w:val="13"/>
          <w:color w:val="auto"/>
        </w:rPr>
        <w:t>that if all or any portion of the excess payment or other recovery is thereafter required to be returned or otherwise recovered from such purchasing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37" w:name="page138"/>
    <w:bookmarkEnd w:id="137"/>
    <w:p>
      <w:pPr>
        <w:jc w:val="both"/>
        <w:ind w:left="260" w:right="20"/>
        <w:spacing w:after="0" w:line="247" w:lineRule="auto"/>
        <w:rPr>
          <w:sz w:val="20"/>
          <w:szCs w:val="20"/>
          <w:color w:val="auto"/>
        </w:rPr>
      </w:pPr>
      <w:r>
        <w:rPr>
          <w:rFonts w:ascii="Arial" w:cs="Arial" w:eastAsia="Arial" w:hAnsi="Arial"/>
          <w:sz w:val="14"/>
          <w:szCs w:val="14"/>
          <w:color w:val="auto"/>
        </w:rPr>
        <w:t>Lender, such portion of such purchase shall be rescinded and each Lender which has sold a participation to the purchasing Lender shall repay to the purchasing Lender the purchase price to the ratable extent of such return or recovery, without interest. Each Borrower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Borrowers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128" w:lineRule="exact"/>
        <w:rPr>
          <w:sz w:val="20"/>
          <w:szCs w:val="20"/>
          <w:color w:val="auto"/>
        </w:rPr>
      </w:pPr>
    </w:p>
    <w:p>
      <w:pPr>
        <w:jc w:val="both"/>
        <w:ind w:left="140" w:firstLine="836"/>
        <w:spacing w:after="0" w:line="248" w:lineRule="auto"/>
        <w:rPr>
          <w:sz w:val="20"/>
          <w:szCs w:val="20"/>
          <w:color w:val="auto"/>
        </w:rPr>
      </w:pPr>
      <w:r>
        <w:rPr>
          <w:rFonts w:ascii="Arial" w:cs="Arial" w:eastAsia="Arial" w:hAnsi="Arial"/>
          <w:sz w:val="14"/>
          <w:szCs w:val="14"/>
          <w:b w:val="1"/>
          <w:bCs w:val="1"/>
          <w:color w:val="auto"/>
        </w:rPr>
        <w:t xml:space="preserve">Section 11.14 </w:t>
      </w:r>
      <w:r>
        <w:rPr>
          <w:rFonts w:ascii="Arial" w:cs="Arial" w:eastAsia="Arial" w:hAnsi="Arial"/>
          <w:sz w:val="14"/>
          <w:szCs w:val="14"/>
          <w:u w:val="single" w:color="auto"/>
          <w:color w:val="auto"/>
        </w:rPr>
        <w:t>Right to Perform, Preserve and Protect</w:t>
      </w:r>
      <w:r>
        <w:rPr>
          <w:rFonts w:ascii="Arial" w:cs="Arial" w:eastAsia="Arial" w:hAnsi="Arial"/>
          <w:sz w:val="14"/>
          <w:szCs w:val="14"/>
          <w:color w:val="auto"/>
        </w:rPr>
        <w:t>. If any Credit Party fails to perform any obligation hereunder or under any other Financing Document, Agent itself may, but shall</w:t>
      </w:r>
      <w:r>
        <w:rPr>
          <w:rFonts w:ascii="Arial" w:cs="Arial" w:eastAsia="Arial" w:hAnsi="Arial"/>
          <w:sz w:val="14"/>
          <w:szCs w:val="14"/>
          <w:b w:val="1"/>
          <w:bCs w:val="1"/>
          <w:color w:val="auto"/>
        </w:rPr>
        <w:t xml:space="preserve"> </w:t>
      </w:r>
      <w:r>
        <w:rPr>
          <w:rFonts w:ascii="Arial" w:cs="Arial" w:eastAsia="Arial" w:hAnsi="Arial"/>
          <w:sz w:val="14"/>
          <w:szCs w:val="14"/>
          <w:color w:val="auto"/>
        </w:rPr>
        <w:t>not be obligated to, cause such obligation to be performed at Borrowers’ expense. Agent is further authorized by Borrowers and Lenders to make expenditures from time to time which Agent, in its reasonable business judgment, deems necessary or desirable to (a) preserve or protect the business conducted by Borrowers, the Collateral, or any portion thereof, and/or (b) enhance the likelihood of, or maximize the amount of, repayment of the Loan and other Obligations. Each Borrower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28" w:lineRule="exact"/>
        <w:rPr>
          <w:sz w:val="20"/>
          <w:szCs w:val="20"/>
          <w:color w:val="auto"/>
        </w:rPr>
      </w:pPr>
    </w:p>
    <w:p>
      <w:pPr>
        <w:jc w:val="both"/>
        <w:ind w:left="140" w:firstLine="837"/>
        <w:spacing w:after="0" w:line="248" w:lineRule="auto"/>
        <w:rPr>
          <w:sz w:val="20"/>
          <w:szCs w:val="20"/>
          <w:color w:val="auto"/>
        </w:rPr>
      </w:pPr>
      <w:r>
        <w:rPr>
          <w:rFonts w:ascii="Arial" w:cs="Arial" w:eastAsia="Arial" w:hAnsi="Arial"/>
          <w:sz w:val="14"/>
          <w:szCs w:val="14"/>
          <w:b w:val="1"/>
          <w:bCs w:val="1"/>
          <w:color w:val="auto"/>
        </w:rPr>
        <w:t xml:space="preserve">Section 11.15 </w:t>
      </w:r>
      <w:r>
        <w:rPr>
          <w:rFonts w:ascii="Arial" w:cs="Arial" w:eastAsia="Arial" w:hAnsi="Arial"/>
          <w:sz w:val="14"/>
          <w:szCs w:val="14"/>
          <w:u w:val="single" w:color="auto"/>
          <w:color w:val="auto"/>
        </w:rPr>
        <w:t>Additional Titled Agents</w:t>
      </w:r>
      <w:r>
        <w:rPr>
          <w:rFonts w:ascii="Arial" w:cs="Arial" w:eastAsia="Arial" w:hAnsi="Arial"/>
          <w:sz w:val="14"/>
          <w:szCs w:val="14"/>
          <w:color w:val="auto"/>
        </w:rPr>
        <w:t>. Except for rights and powers, if any, expressly reserved under this Agreement to any bookrunner, arranger or to any titled agent named on</w:t>
      </w:r>
      <w:r>
        <w:rPr>
          <w:rFonts w:ascii="Arial" w:cs="Arial" w:eastAsia="Arial" w:hAnsi="Arial"/>
          <w:sz w:val="14"/>
          <w:szCs w:val="14"/>
          <w:b w:val="1"/>
          <w:bCs w:val="1"/>
          <w:color w:val="auto"/>
        </w:rPr>
        <w:t xml:space="preserve"> </w:t>
      </w:r>
      <w:r>
        <w:rPr>
          <w:rFonts w:ascii="Arial" w:cs="Arial" w:eastAsia="Arial" w:hAnsi="Arial"/>
          <w:sz w:val="14"/>
          <w:szCs w:val="14"/>
          <w:color w:val="auto"/>
        </w:rPr>
        <w:t>the cover page of this Agreement, other than Agent (collectively, the “</w:t>
      </w:r>
      <w:r>
        <w:rPr>
          <w:rFonts w:ascii="Arial" w:cs="Arial" w:eastAsia="Arial" w:hAnsi="Arial"/>
          <w:sz w:val="14"/>
          <w:szCs w:val="14"/>
          <w:b w:val="1"/>
          <w:bCs w:val="1"/>
          <w:color w:val="auto"/>
        </w:rPr>
        <w:t>Additional Titled Agents</w:t>
      </w:r>
      <w:r>
        <w:rPr>
          <w:rFonts w:ascii="Arial" w:cs="Arial" w:eastAsia="Arial" w:hAnsi="Arial"/>
          <w:sz w:val="14"/>
          <w:szCs w:val="14"/>
          <w:color w:val="auto"/>
        </w:rPr>
        <w:t>”), and except for obligations, liabilities, duties and responsibilities, if any, expressly assumed under this Agreement by any 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760" w:type="dxa"/>
            <w:vAlign w:val="bottom"/>
          </w:tcPr>
          <w:p>
            <w:pPr>
              <w:ind w:left="780"/>
              <w:spacing w:after="0"/>
              <w:rPr>
                <w:sz w:val="20"/>
                <w:szCs w:val="20"/>
                <w:color w:val="auto"/>
              </w:rPr>
            </w:pPr>
            <w:r>
              <w:rPr>
                <w:rFonts w:ascii="Arial" w:cs="Arial" w:eastAsia="Arial" w:hAnsi="Arial"/>
                <w:sz w:val="14"/>
                <w:szCs w:val="14"/>
                <w:b w:val="1"/>
                <w:bCs w:val="1"/>
                <w:color w:val="auto"/>
              </w:rPr>
              <w:t>Section 11.16</w:t>
            </w:r>
          </w:p>
        </w:tc>
        <w:tc>
          <w:tcPr>
            <w:tcW w:w="240" w:type="dxa"/>
            <w:vAlign w:val="bottom"/>
          </w:tcPr>
          <w:p>
            <w:pPr>
              <w:spacing w:after="0"/>
              <w:rPr>
                <w:sz w:val="14"/>
                <w:szCs w:val="14"/>
                <w:color w:val="auto"/>
              </w:rPr>
            </w:pPr>
          </w:p>
        </w:tc>
        <w:tc>
          <w:tcPr>
            <w:tcW w:w="7980" w:type="dxa"/>
            <w:vAlign w:val="bottom"/>
            <w:gridSpan w:val="2"/>
          </w:tcPr>
          <w:p>
            <w:pPr>
              <w:spacing w:after="0"/>
              <w:rPr>
                <w:sz w:val="20"/>
                <w:szCs w:val="20"/>
                <w:color w:val="auto"/>
              </w:rPr>
            </w:pPr>
            <w:r>
              <w:rPr>
                <w:rFonts w:ascii="Arial" w:cs="Arial" w:eastAsia="Arial" w:hAnsi="Arial"/>
                <w:sz w:val="14"/>
                <w:szCs w:val="14"/>
                <w:color w:val="auto"/>
              </w:rPr>
              <w:t>Amendments and Waivers.</w:t>
            </w:r>
          </w:p>
        </w:tc>
      </w:tr>
      <w:tr>
        <w:trPr>
          <w:trHeight w:val="20"/>
        </w:trPr>
        <w:tc>
          <w:tcPr>
            <w:tcW w:w="2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302"/>
        </w:trPr>
        <w:tc>
          <w:tcPr>
            <w:tcW w:w="2760" w:type="dxa"/>
            <w:vAlign w:val="bottom"/>
          </w:tcPr>
          <w:p>
            <w:pPr>
              <w:spacing w:after="0"/>
              <w:rPr>
                <w:sz w:val="20"/>
                <w:szCs w:val="20"/>
                <w:color w:val="auto"/>
              </w:rPr>
            </w:pPr>
            <w:r>
              <w:rPr>
                <w:rFonts w:ascii="Arial" w:cs="Arial" w:eastAsia="Arial" w:hAnsi="Arial"/>
                <w:sz w:val="14"/>
                <w:szCs w:val="14"/>
                <w:color w:val="auto"/>
              </w:rPr>
              <w:t>(a)</w:t>
            </w:r>
          </w:p>
        </w:tc>
        <w:tc>
          <w:tcPr>
            <w:tcW w:w="8220" w:type="dxa"/>
            <w:vAlign w:val="bottom"/>
            <w:gridSpan w:val="3"/>
          </w:tcPr>
          <w:p>
            <w:pPr>
              <w:ind w:left="120"/>
              <w:spacing w:after="0"/>
              <w:rPr>
                <w:sz w:val="20"/>
                <w:szCs w:val="20"/>
                <w:color w:val="auto"/>
              </w:rPr>
            </w:pPr>
            <w:r>
              <w:rPr>
                <w:rFonts w:ascii="Arial" w:cs="Arial" w:eastAsia="Arial" w:hAnsi="Arial"/>
                <w:sz w:val="14"/>
                <w:szCs w:val="14"/>
                <w:color w:val="auto"/>
                <w:w w:val="89"/>
              </w:rPr>
              <w:t>No provision of this Agreement or any other Financing Document may be amended, waived or otherwise modified unless such amendment, waiver</w:t>
            </w:r>
          </w:p>
        </w:tc>
      </w:tr>
      <w:tr>
        <w:trPr>
          <w:trHeight w:val="162"/>
        </w:trPr>
        <w:tc>
          <w:tcPr>
            <w:tcW w:w="10980" w:type="dxa"/>
            <w:vAlign w:val="bottom"/>
            <w:gridSpan w:val="4"/>
          </w:tcPr>
          <w:p>
            <w:pPr>
              <w:ind w:left="1440"/>
              <w:spacing w:after="0"/>
              <w:rPr>
                <w:sz w:val="20"/>
                <w:szCs w:val="20"/>
                <w:color w:val="auto"/>
              </w:rPr>
            </w:pPr>
            <w:r>
              <w:rPr>
                <w:rFonts w:ascii="Arial" w:cs="Arial" w:eastAsia="Arial" w:hAnsi="Arial"/>
                <w:sz w:val="14"/>
                <w:szCs w:val="14"/>
                <w:color w:val="auto"/>
                <w:w w:val="92"/>
              </w:rPr>
              <w:t>or other modification is in writing and is signed or otherwise approved by Borrowers, the Required Lenders and any other  Lender to the extent required under Section</w:t>
            </w:r>
          </w:p>
        </w:tc>
      </w:tr>
      <w:tr>
        <w:trPr>
          <w:trHeight w:val="179"/>
        </w:trPr>
        <w:tc>
          <w:tcPr>
            <w:tcW w:w="10980" w:type="dxa"/>
            <w:vAlign w:val="bottom"/>
            <w:gridSpan w:val="4"/>
          </w:tcPr>
          <w:p>
            <w:pPr>
              <w:ind w:left="1440"/>
              <w:spacing w:after="0"/>
              <w:rPr>
                <w:sz w:val="20"/>
                <w:szCs w:val="20"/>
                <w:color w:val="auto"/>
              </w:rPr>
            </w:pPr>
            <w:r>
              <w:rPr>
                <w:rFonts w:ascii="Arial" w:cs="Arial" w:eastAsia="Arial" w:hAnsi="Arial"/>
                <w:sz w:val="14"/>
                <w:szCs w:val="14"/>
                <w:color w:val="auto"/>
              </w:rPr>
              <w:t xml:space="preserve">11.16(b); </w:t>
            </w:r>
            <w:r>
              <w:rPr>
                <w:rFonts w:ascii="Arial" w:cs="Arial" w:eastAsia="Arial" w:hAnsi="Arial"/>
                <w:sz w:val="14"/>
                <w:szCs w:val="14"/>
                <w:i w:val="1"/>
                <w:iCs w:val="1"/>
                <w:color w:val="auto"/>
              </w:rPr>
              <w:t>provided, however</w:t>
            </w:r>
            <w:r>
              <w:rPr>
                <w:rFonts w:ascii="Arial" w:cs="Arial" w:eastAsia="Arial" w:hAnsi="Arial"/>
                <w:sz w:val="14"/>
                <w:szCs w:val="14"/>
                <w:color w:val="auto"/>
              </w:rPr>
              <w:t>, the Fee Letter may be amended, or rights or privileges thereunder waived, in a writing executed only by the parties thereto.</w:t>
            </w:r>
          </w:p>
        </w:tc>
      </w:tr>
      <w:tr>
        <w:trPr>
          <w:trHeight w:val="299"/>
        </w:trPr>
        <w:tc>
          <w:tcPr>
            <w:tcW w:w="2760" w:type="dxa"/>
            <w:vAlign w:val="bottom"/>
          </w:tcPr>
          <w:p>
            <w:pPr>
              <w:spacing w:after="0"/>
              <w:rPr>
                <w:sz w:val="20"/>
                <w:szCs w:val="20"/>
                <w:color w:val="auto"/>
              </w:rPr>
            </w:pPr>
            <w:r>
              <w:rPr>
                <w:rFonts w:ascii="Arial" w:cs="Arial" w:eastAsia="Arial" w:hAnsi="Arial"/>
                <w:sz w:val="14"/>
                <w:szCs w:val="14"/>
                <w:color w:val="auto"/>
              </w:rPr>
              <w:t>(b)</w:t>
            </w:r>
          </w:p>
        </w:tc>
        <w:tc>
          <w:tcPr>
            <w:tcW w:w="8220" w:type="dxa"/>
            <w:vAlign w:val="bottom"/>
            <w:gridSpan w:val="3"/>
          </w:tcPr>
          <w:p>
            <w:pPr>
              <w:ind w:left="120"/>
              <w:spacing w:after="0"/>
              <w:rPr>
                <w:sz w:val="20"/>
                <w:szCs w:val="20"/>
                <w:color w:val="auto"/>
              </w:rPr>
            </w:pPr>
            <w:r>
              <w:rPr>
                <w:rFonts w:ascii="Arial" w:cs="Arial" w:eastAsia="Arial" w:hAnsi="Arial"/>
                <w:sz w:val="14"/>
                <w:szCs w:val="14"/>
                <w:color w:val="auto"/>
                <w:w w:val="90"/>
              </w:rPr>
              <w:t>In addition to the required signatures under Section 11.16(a), no provision of this Agreement or any other Financing Document may be amended,</w:t>
            </w:r>
          </w:p>
        </w:tc>
      </w:tr>
      <w:tr>
        <w:trPr>
          <w:trHeight w:val="179"/>
        </w:trPr>
        <w:tc>
          <w:tcPr>
            <w:tcW w:w="10980" w:type="dxa"/>
            <w:vAlign w:val="bottom"/>
            <w:gridSpan w:val="4"/>
          </w:tcPr>
          <w:p>
            <w:pPr>
              <w:ind w:left="1440"/>
              <w:spacing w:after="0"/>
              <w:rPr>
                <w:sz w:val="20"/>
                <w:szCs w:val="20"/>
                <w:color w:val="auto"/>
              </w:rPr>
            </w:pPr>
            <w:r>
              <w:rPr>
                <w:rFonts w:ascii="Arial" w:cs="Arial" w:eastAsia="Arial" w:hAnsi="Arial"/>
                <w:sz w:val="14"/>
                <w:szCs w:val="14"/>
                <w:color w:val="auto"/>
                <w:w w:val="97"/>
              </w:rPr>
              <w:t>waived or otherwise modified unless such amendment, waiver or other modification is in writing and is signed or otherwise approved by the following Persons:</w:t>
            </w:r>
          </w:p>
        </w:tc>
      </w:tr>
      <w:tr>
        <w:trPr>
          <w:trHeight w:val="299"/>
        </w:trPr>
        <w:tc>
          <w:tcPr>
            <w:tcW w:w="2760" w:type="dxa"/>
            <w:vAlign w:val="bottom"/>
          </w:tcPr>
          <w:p>
            <w:pPr>
              <w:ind w:left="2320"/>
              <w:spacing w:after="0"/>
              <w:rPr>
                <w:sz w:val="20"/>
                <w:szCs w:val="20"/>
                <w:color w:val="auto"/>
              </w:rPr>
            </w:pPr>
            <w:r>
              <w:rPr>
                <w:rFonts w:ascii="Arial" w:cs="Arial" w:eastAsia="Arial" w:hAnsi="Arial"/>
                <w:sz w:val="14"/>
                <w:szCs w:val="14"/>
                <w:color w:val="auto"/>
              </w:rPr>
              <w:t>(i)</w:t>
            </w:r>
          </w:p>
        </w:tc>
        <w:tc>
          <w:tcPr>
            <w:tcW w:w="240" w:type="dxa"/>
            <w:vAlign w:val="bottom"/>
          </w:tcPr>
          <w:p>
            <w:pPr>
              <w:spacing w:after="0"/>
              <w:rPr>
                <w:sz w:val="24"/>
                <w:szCs w:val="24"/>
                <w:color w:val="auto"/>
              </w:rPr>
            </w:pPr>
          </w:p>
        </w:tc>
        <w:tc>
          <w:tcPr>
            <w:tcW w:w="7980" w:type="dxa"/>
            <w:vAlign w:val="bottom"/>
            <w:gridSpan w:val="2"/>
          </w:tcPr>
          <w:p>
            <w:pPr>
              <w:ind w:left="1380"/>
              <w:spacing w:after="0"/>
              <w:rPr>
                <w:sz w:val="20"/>
                <w:szCs w:val="20"/>
                <w:color w:val="auto"/>
              </w:rPr>
            </w:pPr>
            <w:r>
              <w:rPr>
                <w:rFonts w:ascii="Arial" w:cs="Arial" w:eastAsia="Arial" w:hAnsi="Arial"/>
                <w:sz w:val="14"/>
                <w:szCs w:val="14"/>
                <w:color w:val="auto"/>
                <w:w w:val="88"/>
              </w:rPr>
              <w:t>if any amendment, waiver or other modification would increase a Lender’s funding obligations in respect of any Loan, by</w:t>
            </w:r>
          </w:p>
        </w:tc>
      </w:tr>
      <w:tr>
        <w:trPr>
          <w:trHeight w:val="179"/>
        </w:trPr>
        <w:tc>
          <w:tcPr>
            <w:tcW w:w="2760" w:type="dxa"/>
            <w:vAlign w:val="bottom"/>
          </w:tcPr>
          <w:p>
            <w:pPr>
              <w:ind w:left="780"/>
              <w:spacing w:after="0"/>
              <w:rPr>
                <w:sz w:val="20"/>
                <w:szCs w:val="20"/>
                <w:color w:val="auto"/>
              </w:rPr>
            </w:pPr>
            <w:r>
              <w:rPr>
                <w:rFonts w:ascii="Arial" w:cs="Arial" w:eastAsia="Arial" w:hAnsi="Arial"/>
                <w:sz w:val="14"/>
                <w:szCs w:val="14"/>
                <w:color w:val="auto"/>
              </w:rPr>
              <w:t>such Lender; and/or</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500" w:type="dxa"/>
            <w:vAlign w:val="bottom"/>
          </w:tcPr>
          <w:p>
            <w:pPr>
              <w:spacing w:after="0"/>
              <w:rPr>
                <w:sz w:val="15"/>
                <w:szCs w:val="15"/>
                <w:color w:val="auto"/>
              </w:rPr>
            </w:pPr>
          </w:p>
        </w:tc>
      </w:tr>
      <w:tr>
        <w:trPr>
          <w:trHeight w:val="299"/>
        </w:trPr>
        <w:tc>
          <w:tcPr>
            <w:tcW w:w="2760" w:type="dxa"/>
            <w:vAlign w:val="bottom"/>
          </w:tcPr>
          <w:p>
            <w:pPr>
              <w:ind w:left="2500"/>
              <w:spacing w:after="0"/>
              <w:rPr>
                <w:sz w:val="20"/>
                <w:szCs w:val="20"/>
                <w:color w:val="auto"/>
              </w:rPr>
            </w:pPr>
            <w:r>
              <w:rPr>
                <w:rFonts w:ascii="Arial" w:cs="Arial" w:eastAsia="Arial" w:hAnsi="Arial"/>
                <w:sz w:val="14"/>
                <w:szCs w:val="14"/>
                <w:color w:val="auto"/>
              </w:rPr>
              <w:t>(ii)</w:t>
            </w:r>
          </w:p>
        </w:tc>
        <w:tc>
          <w:tcPr>
            <w:tcW w:w="240" w:type="dxa"/>
            <w:vAlign w:val="bottom"/>
          </w:tcPr>
          <w:p>
            <w:pPr>
              <w:spacing w:after="0"/>
              <w:rPr>
                <w:sz w:val="24"/>
                <w:szCs w:val="24"/>
                <w:color w:val="auto"/>
              </w:rPr>
            </w:pPr>
          </w:p>
        </w:tc>
        <w:tc>
          <w:tcPr>
            <w:tcW w:w="7980" w:type="dxa"/>
            <w:vAlign w:val="bottom"/>
            <w:gridSpan w:val="2"/>
          </w:tcPr>
          <w:p>
            <w:pPr>
              <w:ind w:left="340"/>
              <w:spacing w:after="0"/>
              <w:rPr>
                <w:sz w:val="20"/>
                <w:szCs w:val="20"/>
                <w:color w:val="auto"/>
              </w:rPr>
            </w:pPr>
            <w:r>
              <w:rPr>
                <w:rFonts w:ascii="Arial" w:cs="Arial" w:eastAsia="Arial" w:hAnsi="Arial"/>
                <w:sz w:val="14"/>
                <w:szCs w:val="14"/>
                <w:color w:val="auto"/>
              </w:rPr>
              <w:t>if the rights or duties of Agent are affected thereby, by Agent;</w:t>
            </w:r>
          </w:p>
        </w:tc>
      </w:tr>
      <w:tr>
        <w:trPr>
          <w:trHeight w:val="179"/>
        </w:trPr>
        <w:tc>
          <w:tcPr>
            <w:tcW w:w="2760" w:type="dxa"/>
            <w:vAlign w:val="bottom"/>
          </w:tcPr>
          <w:p>
            <w:pPr>
              <w:ind w:left="2500"/>
              <w:spacing w:after="0"/>
              <w:rPr>
                <w:sz w:val="20"/>
                <w:szCs w:val="20"/>
                <w:color w:val="auto"/>
              </w:rPr>
            </w:pPr>
            <w:r>
              <w:rPr>
                <w:rFonts w:ascii="Arial" w:cs="Arial" w:eastAsia="Arial" w:hAnsi="Arial"/>
                <w:sz w:val="14"/>
                <w:szCs w:val="14"/>
                <w:color w:val="auto"/>
              </w:rPr>
              <w:t>(i)</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500" w:type="dxa"/>
            <w:vAlign w:val="bottom"/>
          </w:tcPr>
          <w:p>
            <w:pPr>
              <w:spacing w:after="0"/>
              <w:rPr>
                <w:sz w:val="15"/>
                <w:szCs w:val="15"/>
                <w:color w:val="auto"/>
              </w:rPr>
            </w:pPr>
          </w:p>
        </w:tc>
      </w:tr>
    </w:tbl>
    <w:p>
      <w:pPr>
        <w:spacing w:after="0" w:line="13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38" w:name="page139"/>
    <w:bookmarkEnd w:id="138"/>
    <w:p>
      <w:pPr>
        <w:ind w:left="140"/>
        <w:spacing w:after="0"/>
        <w:tabs>
          <w:tab w:leader="none" w:pos="1020" w:val="left"/>
          <w:tab w:leader="none" w:pos="1900" w:val="left"/>
          <w:tab w:leader="none" w:pos="2520" w:val="left"/>
          <w:tab w:leader="none" w:pos="3000" w:val="left"/>
          <w:tab w:leader="none" w:pos="3640" w:val="left"/>
          <w:tab w:leader="none" w:pos="4120" w:val="left"/>
          <w:tab w:leader="none" w:pos="4620" w:val="left"/>
          <w:tab w:leader="none" w:pos="5200" w:val="left"/>
          <w:tab w:leader="none" w:pos="5740" w:val="left"/>
          <w:tab w:leader="none" w:pos="6480" w:val="left"/>
          <w:tab w:leader="none" w:pos="7000" w:val="left"/>
          <w:tab w:leader="none" w:pos="7620" w:val="left"/>
          <w:tab w:leader="none" w:pos="8680" w:val="left"/>
          <w:tab w:leader="none" w:pos="9440" w:val="left"/>
          <w:tab w:leader="none" w:pos="9920" w:val="left"/>
          <w:tab w:leader="none" w:pos="10580" w:val="left"/>
        </w:tabs>
        <w:rPr>
          <w:sz w:val="20"/>
          <w:szCs w:val="20"/>
          <w:color w:val="auto"/>
        </w:rPr>
      </w:pPr>
      <w:r>
        <w:rPr>
          <w:rFonts w:ascii="Arial" w:cs="Arial" w:eastAsia="Arial" w:hAnsi="Arial"/>
          <w:sz w:val="14"/>
          <w:szCs w:val="14"/>
          <w:i w:val="1"/>
          <w:iCs w:val="1"/>
          <w:color w:val="auto"/>
        </w:rPr>
        <w:t>provided,</w:t>
      </w:r>
      <w:r>
        <w:rPr>
          <w:sz w:val="20"/>
          <w:szCs w:val="20"/>
          <w:color w:val="auto"/>
        </w:rPr>
        <w:tab/>
      </w:r>
      <w:r>
        <w:rPr>
          <w:rFonts w:ascii="Arial" w:cs="Arial" w:eastAsia="Arial" w:hAnsi="Arial"/>
          <w:sz w:val="14"/>
          <w:szCs w:val="14"/>
          <w:i w:val="1"/>
          <w:iCs w:val="1"/>
          <w:color w:val="auto"/>
        </w:rPr>
        <w:t>however</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that,</w:t>
      </w:r>
      <w:r>
        <w:rPr>
          <w:sz w:val="20"/>
          <w:szCs w:val="20"/>
          <w:color w:val="auto"/>
        </w:rPr>
        <w:tab/>
      </w:r>
      <w:r>
        <w:rPr>
          <w:rFonts w:ascii="Arial" w:cs="Arial" w:eastAsia="Arial" w:hAnsi="Arial"/>
          <w:sz w:val="14"/>
          <w:szCs w:val="14"/>
          <w:color w:val="auto"/>
        </w:rPr>
        <w:t>in</w:t>
      </w:r>
      <w:r>
        <w:rPr>
          <w:sz w:val="20"/>
          <w:szCs w:val="20"/>
          <w:color w:val="auto"/>
        </w:rPr>
        <w:tab/>
      </w:r>
      <w:r>
        <w:rPr>
          <w:rFonts w:ascii="Arial" w:cs="Arial" w:eastAsia="Arial" w:hAnsi="Arial"/>
          <w:sz w:val="14"/>
          <w:szCs w:val="14"/>
          <w:color w:val="auto"/>
        </w:rPr>
        <w:t>each</w:t>
      </w:r>
      <w:r>
        <w:rPr>
          <w:sz w:val="20"/>
          <w:szCs w:val="20"/>
          <w:color w:val="auto"/>
        </w:rPr>
        <w:tab/>
      </w: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above,</w:t>
      </w:r>
      <w:r>
        <w:rPr>
          <w:sz w:val="20"/>
          <w:szCs w:val="20"/>
          <w:color w:val="auto"/>
        </w:rPr>
        <w:tab/>
      </w: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such</w:t>
      </w:r>
      <w:r>
        <w:rPr>
          <w:sz w:val="20"/>
          <w:szCs w:val="20"/>
          <w:color w:val="auto"/>
        </w:rPr>
        <w:tab/>
      </w:r>
      <w:r>
        <w:rPr>
          <w:rFonts w:ascii="Arial" w:cs="Arial" w:eastAsia="Arial" w:hAnsi="Arial"/>
          <w:sz w:val="14"/>
          <w:szCs w:val="14"/>
          <w:color w:val="auto"/>
        </w:rPr>
        <w:t>amendment,</w:t>
      </w:r>
      <w:r>
        <w:rPr>
          <w:sz w:val="20"/>
          <w:szCs w:val="20"/>
          <w:color w:val="auto"/>
        </w:rPr>
        <w:tab/>
      </w:r>
      <w:r>
        <w:rPr>
          <w:rFonts w:ascii="Arial" w:cs="Arial" w:eastAsia="Arial" w:hAnsi="Arial"/>
          <w:sz w:val="14"/>
          <w:szCs w:val="14"/>
          <w:color w:val="auto"/>
        </w:rPr>
        <w:t>waiver</w:t>
      </w:r>
      <w:r>
        <w:rPr>
          <w:sz w:val="20"/>
          <w:szCs w:val="20"/>
          <w:color w:val="auto"/>
        </w:rPr>
        <w:tab/>
      </w:r>
      <w:r>
        <w:rPr>
          <w:rFonts w:ascii="Arial" w:cs="Arial" w:eastAsia="Arial" w:hAnsi="Arial"/>
          <w:sz w:val="14"/>
          <w:szCs w:val="14"/>
          <w:color w:val="auto"/>
        </w:rPr>
        <w:t>or</w:t>
      </w:r>
      <w:r>
        <w:rPr>
          <w:sz w:val="20"/>
          <w:szCs w:val="20"/>
          <w:color w:val="auto"/>
        </w:rPr>
        <w:tab/>
      </w:r>
      <w:r>
        <w:rPr>
          <w:rFonts w:ascii="Arial" w:cs="Arial" w:eastAsia="Arial" w:hAnsi="Arial"/>
          <w:sz w:val="14"/>
          <w:szCs w:val="14"/>
          <w:color w:val="auto"/>
        </w:rPr>
        <w:t>other</w:t>
      </w:r>
      <w:r>
        <w:rPr>
          <w:sz w:val="20"/>
          <w:szCs w:val="20"/>
          <w:color w:val="auto"/>
        </w:rPr>
        <w:tab/>
      </w:r>
      <w:r>
        <w:rPr>
          <w:rFonts w:ascii="Arial" w:cs="Arial" w:eastAsia="Arial" w:hAnsi="Arial"/>
          <w:sz w:val="13"/>
          <w:szCs w:val="13"/>
          <w:color w:val="auto"/>
        </w:rPr>
        <w:t>modification</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shall, unless signed or otherwise approved in writing by all the Lenders directly affected thereby,</w:t>
      </w:r>
    </w:p>
    <w:p>
      <w:pPr>
        <w:spacing w:after="0" w:line="1" w:lineRule="exact"/>
        <w:rPr>
          <w:sz w:val="20"/>
          <w:szCs w:val="20"/>
          <w:color w:val="auto"/>
        </w:rPr>
      </w:pPr>
    </w:p>
    <w:p>
      <w:pPr>
        <w:ind w:left="660" w:hanging="516"/>
        <w:spacing w:after="0"/>
        <w:tabs>
          <w:tab w:leader="none" w:pos="6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reduce the principal of, rate of interest on or any fees with respect to any Loan or forgive any principal, interest (other than default interest) or fees (other than late charges) with respect to any</w:t>
      </w:r>
    </w:p>
    <w:p>
      <w:pPr>
        <w:spacing w:after="0" w:line="24" w:lineRule="exact"/>
        <w:rPr>
          <w:rFonts w:ascii="Arial" w:cs="Arial" w:eastAsia="Arial" w:hAnsi="Arial"/>
          <w:sz w:val="12"/>
          <w:szCs w:val="12"/>
          <w:color w:val="auto"/>
        </w:rPr>
      </w:pPr>
    </w:p>
    <w:p>
      <w:pPr>
        <w:ind w:left="140"/>
        <w:spacing w:after="0"/>
        <w:rPr>
          <w:rFonts w:ascii="Arial" w:cs="Arial" w:eastAsia="Arial" w:hAnsi="Arial"/>
          <w:sz w:val="12"/>
          <w:szCs w:val="12"/>
          <w:color w:val="auto"/>
        </w:rPr>
      </w:pPr>
      <w:r>
        <w:rPr>
          <w:rFonts w:ascii="Arial" w:cs="Arial" w:eastAsia="Arial" w:hAnsi="Arial"/>
          <w:sz w:val="14"/>
          <w:szCs w:val="14"/>
          <w:color w:val="auto"/>
        </w:rPr>
        <w:t>Loan;</w:t>
      </w:r>
    </w:p>
    <w:p>
      <w:pPr>
        <w:spacing w:after="0" w:line="1" w:lineRule="exact"/>
        <w:rPr>
          <w:rFonts w:ascii="Arial" w:cs="Arial" w:eastAsia="Arial" w:hAnsi="Arial"/>
          <w:sz w:val="12"/>
          <w:szCs w:val="12"/>
          <w:color w:val="auto"/>
        </w:rPr>
      </w:pPr>
    </w:p>
    <w:p>
      <w:pPr>
        <w:jc w:val="both"/>
        <w:ind w:left="140" w:firstLine="3"/>
        <w:spacing w:after="0" w:line="282" w:lineRule="auto"/>
        <w:tabs>
          <w:tab w:leader="none" w:pos="629" w:val="left"/>
        </w:tabs>
        <w:numPr>
          <w:ilvl w:val="0"/>
          <w:numId w:val="61"/>
        </w:numPr>
        <w:rPr>
          <w:rFonts w:ascii="Arial" w:cs="Arial" w:eastAsia="Arial" w:hAnsi="Arial"/>
          <w:sz w:val="12"/>
          <w:szCs w:val="12"/>
          <w:color w:val="auto"/>
        </w:rPr>
      </w:pPr>
      <w:r>
        <w:rPr>
          <w:rFonts w:ascii="Arial" w:cs="Arial" w:eastAsia="Arial" w:hAnsi="Arial"/>
          <w:sz w:val="12"/>
          <w:szCs w:val="12"/>
          <w:color w:val="auto"/>
        </w:rPr>
        <w:t>postpone the date fixed for, or waive, any payment (other than any mandatory prepayment pursuant to Section 2.1(b)(ii))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Borrower to sell or otherwise</w:t>
      </w:r>
    </w:p>
    <w:p>
      <w:pPr>
        <w:ind w:left="140"/>
        <w:spacing w:after="0"/>
        <w:rPr>
          <w:rFonts w:ascii="Arial" w:cs="Arial" w:eastAsia="Arial" w:hAnsi="Arial"/>
          <w:sz w:val="12"/>
          <w:szCs w:val="12"/>
          <w:color w:val="auto"/>
        </w:rPr>
      </w:pPr>
      <w:r>
        <w:rPr>
          <w:rFonts w:ascii="Arial" w:cs="Arial" w:eastAsia="Arial" w:hAnsi="Arial"/>
          <w:sz w:val="12"/>
          <w:szCs w:val="12"/>
          <w:color w:val="auto"/>
        </w:rPr>
        <w:t>dispose of all or substantially all of the Collateral, release any Guarantor of all or any portion of the Obligations or its Guarantee obligations with respect thereto, or consent to a transfer of any of the</w:t>
      </w:r>
    </w:p>
    <w:p>
      <w:pPr>
        <w:spacing w:after="0" w:line="151" w:lineRule="exact"/>
        <w:rPr>
          <w:sz w:val="20"/>
          <w:szCs w:val="20"/>
          <w:color w:val="auto"/>
        </w:rPr>
      </w:pPr>
    </w:p>
    <w:p>
      <w:pPr>
        <w:ind w:left="140"/>
        <w:spacing w:after="0" w:line="250" w:lineRule="auto"/>
        <w:rPr>
          <w:sz w:val="20"/>
          <w:szCs w:val="20"/>
          <w:color w:val="auto"/>
        </w:rPr>
      </w:pPr>
      <w:r>
        <w:rPr>
          <w:rFonts w:ascii="Arial" w:cs="Arial" w:eastAsia="Arial" w:hAnsi="Arial"/>
          <w:sz w:val="14"/>
          <w:szCs w:val="14"/>
          <w:color w:val="auto"/>
        </w:rPr>
        <w:t>Intellectual Property, except, in each case with respect to this clause (D), as otherwise may be provided in this Agreement or the other Financing Documents (including in connection with any disposition permitted hereunder);</w:t>
      </w:r>
    </w:p>
    <w:p>
      <w:pPr>
        <w:spacing w:after="0" w:line="1" w:lineRule="exact"/>
        <w:rPr>
          <w:sz w:val="20"/>
          <w:szCs w:val="20"/>
          <w:color w:val="auto"/>
        </w:rPr>
      </w:pPr>
    </w:p>
    <w:p>
      <w:pPr>
        <w:jc w:val="both"/>
        <w:ind w:left="140" w:firstLine="2"/>
        <w:spacing w:after="0" w:line="266" w:lineRule="auto"/>
        <w:tabs>
          <w:tab w:leader="none" w:pos="607" w:val="left"/>
        </w:tabs>
        <w:numPr>
          <w:ilvl w:val="0"/>
          <w:numId w:val="62"/>
        </w:numPr>
        <w:rPr>
          <w:rFonts w:ascii="Arial" w:cs="Arial" w:eastAsia="Arial" w:hAnsi="Arial"/>
          <w:sz w:val="13"/>
          <w:szCs w:val="13"/>
          <w:color w:val="auto"/>
        </w:rPr>
      </w:pPr>
      <w:r>
        <w:rPr>
          <w:rFonts w:ascii="Arial" w:cs="Arial" w:eastAsia="Arial" w:hAnsi="Arial"/>
          <w:sz w:val="13"/>
          <w:szCs w:val="13"/>
          <w:color w:val="auto"/>
        </w:rPr>
        <w:t>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Borrower of its payment obligations under any Financing Document, except, in each case with respect to this clause (F), pursuant to a merger or consolidation permitted pursuant to this Agreement; or (G) amend any of the provisions of Section 10.7 or amend any of the definitions of Pro Rata Share, Term Loan Commitments, or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600" w:type="dxa"/>
            <w:vAlign w:val="bottom"/>
          </w:tcPr>
          <w:p>
            <w:pPr>
              <w:ind w:left="780"/>
              <w:spacing w:after="0"/>
              <w:rPr>
                <w:sz w:val="20"/>
                <w:szCs w:val="20"/>
                <w:color w:val="auto"/>
              </w:rPr>
            </w:pPr>
            <w:r>
              <w:rPr>
                <w:rFonts w:ascii="Arial" w:cs="Arial" w:eastAsia="Arial" w:hAnsi="Arial"/>
                <w:sz w:val="14"/>
                <w:szCs w:val="14"/>
                <w:b w:val="1"/>
                <w:bCs w:val="1"/>
                <w:color w:val="auto"/>
              </w:rPr>
              <w:t>Section 11.17</w:t>
            </w:r>
          </w:p>
        </w:tc>
        <w:tc>
          <w:tcPr>
            <w:tcW w:w="400" w:type="dxa"/>
            <w:vAlign w:val="bottom"/>
          </w:tcPr>
          <w:p>
            <w:pPr>
              <w:spacing w:after="0"/>
              <w:rPr>
                <w:sz w:val="14"/>
                <w:szCs w:val="14"/>
                <w:color w:val="auto"/>
              </w:rPr>
            </w:pPr>
          </w:p>
        </w:tc>
        <w:tc>
          <w:tcPr>
            <w:tcW w:w="8000" w:type="dxa"/>
            <w:vAlign w:val="bottom"/>
            <w:gridSpan w:val="3"/>
          </w:tcPr>
          <w:p>
            <w:pPr>
              <w:jc w:val="right"/>
              <w:ind w:right="6200"/>
              <w:spacing w:after="0"/>
              <w:rPr>
                <w:sz w:val="20"/>
                <w:szCs w:val="20"/>
                <w:color w:val="auto"/>
              </w:rPr>
            </w:pPr>
            <w:r>
              <w:rPr>
                <w:rFonts w:ascii="Arial" w:cs="Arial" w:eastAsia="Arial" w:hAnsi="Arial"/>
                <w:sz w:val="14"/>
                <w:szCs w:val="14"/>
                <w:color w:val="auto"/>
                <w:w w:val="89"/>
              </w:rPr>
              <w:t>Assignments and Participations.</w:t>
            </w:r>
          </w:p>
        </w:tc>
      </w:tr>
      <w:tr>
        <w:trPr>
          <w:trHeight w:val="20"/>
        </w:trPr>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76"/>
        </w:trPr>
        <w:tc>
          <w:tcPr>
            <w:tcW w:w="2600" w:type="dxa"/>
            <w:vAlign w:val="bottom"/>
          </w:tcPr>
          <w:p>
            <w:pPr>
              <w:ind w:left="1740"/>
              <w:spacing w:after="0"/>
              <w:rPr>
                <w:sz w:val="20"/>
                <w:szCs w:val="20"/>
                <w:color w:val="auto"/>
              </w:rPr>
            </w:pPr>
            <w:r>
              <w:rPr>
                <w:rFonts w:ascii="Arial" w:cs="Arial" w:eastAsia="Arial" w:hAnsi="Arial"/>
                <w:sz w:val="14"/>
                <w:szCs w:val="14"/>
                <w:color w:val="auto"/>
              </w:rPr>
              <w:t>(a)</w:t>
            </w:r>
          </w:p>
        </w:tc>
        <w:tc>
          <w:tcPr>
            <w:tcW w:w="8400" w:type="dxa"/>
            <w:vAlign w:val="bottom"/>
            <w:gridSpan w:val="4"/>
          </w:tcPr>
          <w:p>
            <w:pPr>
              <w:jc w:val="right"/>
              <w:ind w:right="7660"/>
              <w:spacing w:after="0"/>
              <w:rPr>
                <w:sz w:val="20"/>
                <w:szCs w:val="20"/>
                <w:color w:val="auto"/>
              </w:rPr>
            </w:pPr>
            <w:r>
              <w:rPr>
                <w:rFonts w:ascii="Arial" w:cs="Arial" w:eastAsia="Arial" w:hAnsi="Arial"/>
                <w:sz w:val="14"/>
                <w:szCs w:val="14"/>
                <w:color w:val="auto"/>
                <w:w w:val="85"/>
              </w:rPr>
              <w:t>Assignments.</w:t>
            </w:r>
          </w:p>
        </w:tc>
      </w:tr>
      <w:tr>
        <w:trPr>
          <w:trHeight w:val="20"/>
        </w:trPr>
        <w:tc>
          <w:tcPr>
            <w:tcW w:w="26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302"/>
        </w:trPr>
        <w:tc>
          <w:tcPr>
            <w:tcW w:w="2600" w:type="dxa"/>
            <w:vAlign w:val="bottom"/>
          </w:tcPr>
          <w:p>
            <w:pPr>
              <w:spacing w:after="0"/>
              <w:rPr>
                <w:sz w:val="20"/>
                <w:szCs w:val="20"/>
                <w:color w:val="auto"/>
              </w:rPr>
            </w:pPr>
            <w:r>
              <w:rPr>
                <w:rFonts w:ascii="Arial" w:cs="Arial" w:eastAsia="Arial" w:hAnsi="Arial"/>
                <w:sz w:val="14"/>
                <w:szCs w:val="14"/>
                <w:color w:val="auto"/>
              </w:rPr>
              <w:t>(i)</w:t>
            </w:r>
          </w:p>
        </w:tc>
        <w:tc>
          <w:tcPr>
            <w:tcW w:w="8400" w:type="dxa"/>
            <w:vAlign w:val="bottom"/>
            <w:gridSpan w:val="4"/>
          </w:tcPr>
          <w:p>
            <w:pPr>
              <w:jc w:val="right"/>
              <w:spacing w:after="0"/>
              <w:rPr>
                <w:sz w:val="20"/>
                <w:szCs w:val="20"/>
                <w:color w:val="auto"/>
              </w:rPr>
            </w:pPr>
            <w:r>
              <w:rPr>
                <w:rFonts w:ascii="Arial" w:cs="Arial" w:eastAsia="Arial" w:hAnsi="Arial"/>
                <w:sz w:val="14"/>
                <w:szCs w:val="14"/>
                <w:color w:val="auto"/>
                <w:w w:val="91"/>
              </w:rPr>
              <w:t>Any Lender may at any time assign to one or more Eligible Assignees all or any portion of such Lender’s Loan together with all related obligations of</w:t>
            </w:r>
          </w:p>
        </w:tc>
      </w:tr>
      <w:tr>
        <w:trPr>
          <w:trHeight w:val="174"/>
        </w:trPr>
        <w:tc>
          <w:tcPr>
            <w:tcW w:w="11000" w:type="dxa"/>
            <w:vAlign w:val="bottom"/>
            <w:gridSpan w:val="5"/>
          </w:tcPr>
          <w:p>
            <w:pPr>
              <w:jc w:val="right"/>
              <w:spacing w:after="0"/>
              <w:rPr>
                <w:sz w:val="20"/>
                <w:szCs w:val="20"/>
                <w:color w:val="auto"/>
              </w:rPr>
            </w:pPr>
            <w:r>
              <w:rPr>
                <w:rFonts w:ascii="Arial" w:cs="Arial" w:eastAsia="Arial" w:hAnsi="Arial"/>
                <w:sz w:val="14"/>
                <w:szCs w:val="14"/>
                <w:color w:val="auto"/>
              </w:rPr>
              <w:t>such Lender hereunder. Except as Agent may otherwise agree, the amount of any such assignment (determined as of the date of the applicable Assignment Agreement or, if a</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88"/>
              </w:rPr>
              <w:t>“Trade Date” is specified in such Assignment Agreement, as of such Trade Date) shall be in a minimum aggregate amount equal to $1,000,000 or, if less, the assignor’s entire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7"/>
              </w:rPr>
              <w:t xml:space="preserve">interests in the outstanding Loan; </w:t>
            </w:r>
            <w:r>
              <w:rPr>
                <w:rFonts w:ascii="Arial" w:cs="Arial" w:eastAsia="Arial" w:hAnsi="Arial"/>
                <w:sz w:val="14"/>
                <w:szCs w:val="14"/>
                <w:i w:val="1"/>
                <w:iCs w:val="1"/>
                <w:color w:val="auto"/>
                <w:w w:val="87"/>
              </w:rPr>
              <w:t>provided, however,</w:t>
            </w:r>
            <w:r>
              <w:rPr>
                <w:rFonts w:ascii="Arial" w:cs="Arial" w:eastAsia="Arial" w:hAnsi="Arial"/>
                <w:sz w:val="14"/>
                <w:szCs w:val="14"/>
                <w:color w:val="auto"/>
                <w:w w:val="87"/>
              </w:rPr>
              <w:t xml:space="preserve"> that, in connection with simultaneous assignments to two or more related Approved Funds, such Approved Funds shall be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7"/>
              </w:rPr>
              <w:t>treated as one assignee for purposes of determining compliance with the minimum assignment size referred to above. Borrowers and Agent shall be entitled to continue to deal</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solely and directly with such Lender in connection with the interests so assigned to an Eligible Assignee until Agent shall have received and accepted an effective Assignment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7"/>
              </w:rPr>
              <w:t xml:space="preserve">Agreement executed, delivered and fully completed by the applicable parties thereto and a processing fee of $3,500 to be paid by the assigning Lender; </w:t>
            </w:r>
            <w:r>
              <w:rPr>
                <w:rFonts w:ascii="Arial" w:cs="Arial" w:eastAsia="Arial" w:hAnsi="Arial"/>
                <w:sz w:val="14"/>
                <w:szCs w:val="14"/>
                <w:i w:val="1"/>
                <w:iCs w:val="1"/>
                <w:color w:val="auto"/>
                <w:w w:val="87"/>
              </w:rPr>
              <w:t>provided, however,</w:t>
            </w:r>
            <w:r>
              <w:rPr>
                <w:rFonts w:ascii="Arial" w:cs="Arial" w:eastAsia="Arial" w:hAnsi="Arial"/>
                <w:sz w:val="14"/>
                <w:szCs w:val="14"/>
                <w:color w:val="auto"/>
                <w:w w:val="87"/>
              </w:rPr>
              <w:t xml:space="preserve"> that</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only one processing fee shall be payable in connection with simultaneous assignments to two or more related Approved Funds.</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(ii)</w:t>
            </w:r>
          </w:p>
        </w:tc>
        <w:tc>
          <w:tcPr>
            <w:tcW w:w="10200" w:type="dxa"/>
            <w:vAlign w:val="bottom"/>
          </w:tcPr>
          <w:p>
            <w:pPr>
              <w:ind w:left="2080"/>
              <w:spacing w:after="0"/>
              <w:rPr>
                <w:sz w:val="20"/>
                <w:szCs w:val="20"/>
                <w:color w:val="auto"/>
              </w:rPr>
            </w:pPr>
            <w:r>
              <w:rPr>
                <w:rFonts w:ascii="Arial" w:cs="Arial" w:eastAsia="Arial" w:hAnsi="Arial"/>
                <w:sz w:val="14"/>
                <w:szCs w:val="14"/>
                <w:color w:val="auto"/>
                <w:w w:val="88"/>
              </w:rPr>
              <w:t>From and after the date on which the conditions described above have been met, (A) such Eligible Assignee shall be deemed automatically to have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8"/>
              </w:rPr>
              <w:t>become a party hereto and, to the extent of the interests assigned to such Eligible Assignee pursuant to such Assignment Agreement, shall have the rights and obligations of a</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200" w:type="dxa"/>
            <w:vAlign w:val="bottom"/>
          </w:tcPr>
          <w:p>
            <w:pPr>
              <w:ind w:left="640"/>
              <w:spacing w:after="0"/>
              <w:rPr>
                <w:sz w:val="20"/>
                <w:szCs w:val="20"/>
                <w:color w:val="auto"/>
              </w:rPr>
            </w:pPr>
            <w:r>
              <w:rPr>
                <w:rFonts w:ascii="Arial" w:cs="Arial" w:eastAsia="Arial" w:hAnsi="Arial"/>
                <w:sz w:val="14"/>
                <w:szCs w:val="14"/>
                <w:color w:val="auto"/>
              </w:rPr>
              <w:t>Lender hereunder, and (B) the assigning Lender, to the extent that rights and obligations hereunder have been assigned by it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39" w:name="page140"/>
    <w:bookmarkEnd w:id="139"/>
    <w:p>
      <w:pPr>
        <w:jc w:val="both"/>
        <w:ind w:left="1000"/>
        <w:spacing w:after="0" w:line="248" w:lineRule="auto"/>
        <w:rPr>
          <w:sz w:val="20"/>
          <w:szCs w:val="20"/>
          <w:color w:val="auto"/>
        </w:rPr>
      </w:pPr>
      <w:r>
        <w:rPr>
          <w:rFonts w:ascii="Arial" w:cs="Arial" w:eastAsia="Arial" w:hAnsi="Arial"/>
          <w:sz w:val="14"/>
          <w:szCs w:val="14"/>
          <w:color w:val="auto"/>
        </w:rPr>
        <w:t>pursuant to such Assignment Agreement, shall be released from its rights and obligations hereunder (other than those that survive termination pursuant to Section 12.1).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32" w:lineRule="exact"/>
        <w:rPr>
          <w:sz w:val="20"/>
          <w:szCs w:val="20"/>
          <w:color w:val="auto"/>
        </w:rPr>
      </w:pPr>
    </w:p>
    <w:p>
      <w:pPr>
        <w:jc w:val="both"/>
        <w:ind w:left="1000" w:firstLine="1547"/>
        <w:spacing w:after="0" w:line="289" w:lineRule="auto"/>
        <w:rPr>
          <w:sz w:val="20"/>
          <w:szCs w:val="20"/>
          <w:color w:val="auto"/>
        </w:rPr>
      </w:pPr>
      <w:r>
        <w:rPr>
          <w:rFonts w:ascii="Arial" w:cs="Arial" w:eastAsia="Arial" w:hAnsi="Arial"/>
          <w:sz w:val="12"/>
          <w:szCs w:val="12"/>
          <w:color w:val="auto"/>
        </w:rPr>
        <w:t>(iii) 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Arial" w:cs="Arial" w:eastAsia="Arial" w:hAnsi="Arial"/>
          <w:sz w:val="12"/>
          <w:szCs w:val="12"/>
          <w:b w:val="1"/>
          <w:bCs w:val="1"/>
          <w:color w:val="auto"/>
        </w:rPr>
        <w:t>Register</w:t>
      </w:r>
      <w:r>
        <w:rPr>
          <w:rFonts w:ascii="Arial" w:cs="Arial" w:eastAsia="Arial" w:hAnsi="Arial"/>
          <w:sz w:val="12"/>
          <w:szCs w:val="12"/>
          <w:color w:val="auto"/>
        </w:rPr>
        <w:t>”). The entries in such Register shall be conclusive, absent manifest error, and Borrower, Agent and Lenders shall treat each Person whose name is recorded therein pursuant to the terms hereof as a Lender hereunder for all purposes of this Agreement. Such Register shall be available for inspection by Borrower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“Participant Register”). The entries in the Participant Registers shall be conclusive, absent manifest error. Each Participant Register shall be available for inspection by Borrower and Agent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ectPr>
          <w:pgSz w:w="11900" w:h="16838" w:orient="portrait"/>
          <w:cols w:equalWidth="0" w:num="1">
            <w:col w:w="11340"/>
          </w:cols>
          <w:pgMar w:left="240" w:top="165" w:right="319" w:bottom="1440" w:gutter="0" w:footer="0" w:header="0"/>
        </w:sectPr>
      </w:pPr>
    </w:p>
    <w:p>
      <w:pPr>
        <w:spacing w:after="0" w:line="1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both"/>
        <w:ind w:right="120" w:firstLine="1429"/>
        <w:spacing w:after="0" w:line="296" w:lineRule="auto"/>
        <w:rPr>
          <w:sz w:val="20"/>
          <w:szCs w:val="20"/>
          <w:color w:val="auto"/>
        </w:rPr>
      </w:pPr>
      <w:r>
        <w:rPr>
          <w:rFonts w:ascii="Arial" w:cs="Arial" w:eastAsia="Arial" w:hAnsi="Arial"/>
          <w:sz w:val="12"/>
          <w:szCs w:val="12"/>
          <w:color w:val="auto"/>
        </w:rPr>
        <w:t>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w:t>
      </w:r>
    </w:p>
    <w:p>
      <w:pPr>
        <w:spacing w:after="0" w:line="1"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86"/>
              </w:rPr>
              <w:t xml:space="preserve">a Federal Reserve Bank; </w:t>
            </w:r>
            <w:r>
              <w:rPr>
                <w:rFonts w:ascii="Arial" w:cs="Arial" w:eastAsia="Arial" w:hAnsi="Arial"/>
                <w:sz w:val="14"/>
                <w:szCs w:val="14"/>
                <w:i w:val="1"/>
                <w:iCs w:val="1"/>
                <w:color w:val="auto"/>
                <w:w w:val="86"/>
              </w:rPr>
              <w:t>provided, however,</w:t>
            </w:r>
            <w:r>
              <w:rPr>
                <w:rFonts w:ascii="Arial" w:cs="Arial" w:eastAsia="Arial" w:hAnsi="Arial"/>
                <w:sz w:val="14"/>
                <w:szCs w:val="14"/>
                <w:color w:val="auto"/>
                <w:w w:val="86"/>
              </w:rPr>
              <w:t xml:space="preserve"> that no such pledge or assignment shall release such Lender from any of its obligations hereunder or substitute any such pledgee or</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assignee for such Lender as a party hereto.</w:t>
            </w:r>
          </w:p>
        </w:tc>
        <w:tc>
          <w:tcPr>
            <w:tcW w:w="0" w:type="dxa"/>
            <w:vAlign w:val="bottom"/>
          </w:tcPr>
          <w:p>
            <w:pPr>
              <w:spacing w:after="0"/>
              <w:rPr>
                <w:sz w:val="1"/>
                <w:szCs w:val="1"/>
                <w:color w:val="auto"/>
              </w:rPr>
            </w:pPr>
          </w:p>
        </w:tc>
      </w:tr>
      <w:tr>
        <w:trPr>
          <w:trHeight w:val="295"/>
        </w:trPr>
        <w:tc>
          <w:tcPr>
            <w:tcW w:w="800" w:type="dxa"/>
            <w:vAlign w:val="bottom"/>
          </w:tcPr>
          <w:p>
            <w:pPr>
              <w:spacing w:after="0"/>
              <w:rPr>
                <w:sz w:val="20"/>
                <w:szCs w:val="20"/>
                <w:color w:val="auto"/>
              </w:rPr>
            </w:pPr>
            <w:r>
              <w:rPr>
                <w:rFonts w:ascii="Arial" w:cs="Arial" w:eastAsia="Arial" w:hAnsi="Arial"/>
                <w:sz w:val="14"/>
                <w:szCs w:val="14"/>
                <w:color w:val="auto"/>
              </w:rPr>
              <w:t>(v)</w:t>
            </w:r>
          </w:p>
        </w:tc>
        <w:tc>
          <w:tcPr>
            <w:tcW w:w="10200" w:type="dxa"/>
            <w:vAlign w:val="bottom"/>
          </w:tcPr>
          <w:p>
            <w:pPr>
              <w:ind w:left="2080"/>
              <w:spacing w:after="0"/>
              <w:rPr>
                <w:sz w:val="20"/>
                <w:szCs w:val="20"/>
                <w:color w:val="auto"/>
              </w:rPr>
            </w:pPr>
            <w:r>
              <w:rPr>
                <w:rFonts w:ascii="Arial" w:cs="Arial" w:eastAsia="Arial" w:hAnsi="Arial"/>
                <w:sz w:val="14"/>
                <w:szCs w:val="14"/>
                <w:color w:val="auto"/>
                <w:w w:val="88"/>
              </w:rPr>
              <w:t>Notwithstanding the foregoing provisions of this Section 11.17(a) or any other provision of this Agreement, Agent has the right, but not the obligation,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0"/>
              </w:rPr>
              <w:t>to effectuate assignments of Loan via an electronic settlement system acceptable to Agent as designated in writing from time to time to Lenders by Agent (the “</w:t>
            </w:r>
            <w:r>
              <w:rPr>
                <w:rFonts w:ascii="Arial" w:cs="Arial" w:eastAsia="Arial" w:hAnsi="Arial"/>
                <w:sz w:val="14"/>
                <w:szCs w:val="14"/>
                <w:b w:val="1"/>
                <w:bCs w:val="1"/>
                <w:color w:val="auto"/>
                <w:w w:val="90"/>
              </w:rPr>
              <w:t>Settlement</w:t>
            </w:r>
          </w:p>
        </w:tc>
        <w:tc>
          <w:tcPr>
            <w:tcW w:w="0" w:type="dxa"/>
            <w:vAlign w:val="bottom"/>
          </w:tcPr>
          <w:p>
            <w:pPr>
              <w:spacing w:after="0"/>
              <w:rPr>
                <w:sz w:val="1"/>
                <w:szCs w:val="1"/>
                <w:color w:val="auto"/>
              </w:rPr>
            </w:pPr>
          </w:p>
        </w:tc>
      </w:tr>
      <w:tr>
        <w:trPr>
          <w:trHeight w:val="166"/>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b w:val="1"/>
                <w:bCs w:val="1"/>
                <w:color w:val="auto"/>
                <w:w w:val="89"/>
              </w:rPr>
              <w:t>Service</w:t>
            </w:r>
            <w:r>
              <w:rPr>
                <w:rFonts w:ascii="Arial" w:cs="Arial" w:eastAsia="Arial" w:hAnsi="Arial"/>
                <w:sz w:val="14"/>
                <w:szCs w:val="14"/>
                <w:color w:val="auto"/>
                <w:w w:val="89"/>
              </w:rPr>
              <w:t>”). At any time when Agent elects, in its sole discretion, to implement such Settlement Service, each such assignment shall be effected by the assigning Lender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86"/>
              </w:rPr>
              <w:t>proposed assignee pursuant to the procedures then in effect under the Settlement Service, which procedures shall be consistent with the other provisions of this Section 11.17(a).</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1"/>
              </w:rPr>
              <w:t>Each assigning Lender and proposed Eligible Assignee shall comply with the requirements of the Settlement Service in connection with effecting any assignment of Loan</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(i)</w:t>
            </w:r>
          </w:p>
        </w:tc>
        <w:tc>
          <w:tcPr>
            <w:tcW w:w="10200" w:type="dxa"/>
            <w:vAlign w:val="bottom"/>
          </w:tcPr>
          <w:p>
            <w:pPr>
              <w:ind w:left="640"/>
              <w:spacing w:after="0"/>
              <w:rPr>
                <w:sz w:val="20"/>
                <w:szCs w:val="20"/>
                <w:color w:val="auto"/>
              </w:rPr>
            </w:pPr>
            <w:r>
              <w:rPr>
                <w:rFonts w:ascii="Arial" w:cs="Arial" w:eastAsia="Arial" w:hAnsi="Arial"/>
                <w:sz w:val="14"/>
                <w:szCs w:val="14"/>
                <w:color w:val="auto"/>
              </w:rPr>
              <w:t>pursuant to the Settlement Service. With the prior written approval of Agent,</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40" w:name="page141"/>
    <w:bookmarkEnd w:id="140"/>
    <w:tbl>
      <w:tblPr>
        <w:tblLayout w:type="fixed"/>
        <w:tblInd w:w="22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620" w:type="dxa"/>
            <w:vAlign w:val="bottom"/>
            <w:gridSpan w:val="4"/>
          </w:tcPr>
          <w:p>
            <w:pPr>
              <w:ind w:left="300"/>
              <w:spacing w:after="0"/>
              <w:rPr>
                <w:sz w:val="20"/>
                <w:szCs w:val="20"/>
                <w:color w:val="auto"/>
              </w:rPr>
            </w:pPr>
            <w:r>
              <w:rPr>
                <w:rFonts w:ascii="Arial" w:cs="Arial" w:eastAsia="Arial" w:hAnsi="Arial"/>
                <w:sz w:val="14"/>
                <w:szCs w:val="14"/>
                <w:color w:val="auto"/>
                <w:w w:val="91"/>
              </w:rPr>
              <w:t>Agent’s approval of such Eligible Assignee shall be deemed to have been automatically granted with respect to any transfer effected through the Settlement Service. Assignments and</w:t>
            </w:r>
          </w:p>
        </w:tc>
      </w:tr>
      <w:tr>
        <w:trPr>
          <w:trHeight w:val="179"/>
        </w:trPr>
        <w:tc>
          <w:tcPr>
            <w:tcW w:w="480" w:type="dxa"/>
            <w:vAlign w:val="bottom"/>
          </w:tcPr>
          <w:p>
            <w:pPr>
              <w:spacing w:after="0"/>
              <w:rPr>
                <w:sz w:val="15"/>
                <w:szCs w:val="15"/>
                <w:color w:val="auto"/>
              </w:rPr>
            </w:pPr>
          </w:p>
        </w:tc>
        <w:tc>
          <w:tcPr>
            <w:tcW w:w="10620" w:type="dxa"/>
            <w:vAlign w:val="bottom"/>
            <w:gridSpan w:val="4"/>
          </w:tcPr>
          <w:p>
            <w:pPr>
              <w:ind w:left="300"/>
              <w:spacing w:after="0"/>
              <w:rPr>
                <w:sz w:val="20"/>
                <w:szCs w:val="20"/>
                <w:color w:val="auto"/>
              </w:rPr>
            </w:pPr>
            <w:r>
              <w:rPr>
                <w:rFonts w:ascii="Arial" w:cs="Arial" w:eastAsia="Arial" w:hAnsi="Arial"/>
                <w:sz w:val="14"/>
                <w:szCs w:val="14"/>
                <w:color w:val="auto"/>
              </w:rPr>
              <w:t>assumptions of the Loan shall be effected by the provisions otherwise set forth herein until Agent notifies Lenders of the Settlement Service as set forth herein.</w:t>
            </w:r>
          </w:p>
        </w:tc>
      </w:tr>
      <w:tr>
        <w:trPr>
          <w:trHeight w:val="283"/>
        </w:trPr>
        <w:tc>
          <w:tcPr>
            <w:tcW w:w="480" w:type="dxa"/>
            <w:vAlign w:val="bottom"/>
          </w:tcPr>
          <w:p>
            <w:pPr>
              <w:spacing w:after="0"/>
              <w:rPr>
                <w:sz w:val="20"/>
                <w:szCs w:val="20"/>
                <w:color w:val="auto"/>
              </w:rPr>
            </w:pPr>
            <w:r>
              <w:rPr>
                <w:rFonts w:ascii="Arial" w:cs="Arial" w:eastAsia="Arial" w:hAnsi="Arial"/>
                <w:sz w:val="14"/>
                <w:szCs w:val="14"/>
                <w:color w:val="auto"/>
              </w:rPr>
              <w:t>(b)</w:t>
            </w:r>
          </w:p>
        </w:tc>
        <w:tc>
          <w:tcPr>
            <w:tcW w:w="240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w w:val="92"/>
              </w:rPr>
              <w:t>Participations. Any Lender may at any time, without the consent of, or notice to, any Borrower or Agent, sell to one or more Persons (other than</w:t>
            </w:r>
          </w:p>
        </w:tc>
      </w:tr>
      <w:tr>
        <w:trPr>
          <w:trHeight w:val="20"/>
        </w:trPr>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58"/>
        </w:trPr>
        <w:tc>
          <w:tcPr>
            <w:tcW w:w="480" w:type="dxa"/>
            <w:vAlign w:val="bottom"/>
          </w:tcPr>
          <w:p>
            <w:pPr>
              <w:spacing w:after="0"/>
              <w:rPr>
                <w:sz w:val="13"/>
                <w:szCs w:val="13"/>
                <w:color w:val="auto"/>
              </w:rPr>
            </w:pPr>
          </w:p>
        </w:tc>
        <w:tc>
          <w:tcPr>
            <w:tcW w:w="10620" w:type="dxa"/>
            <w:vAlign w:val="bottom"/>
            <w:gridSpan w:val="4"/>
          </w:tcPr>
          <w:p>
            <w:pPr>
              <w:ind w:left="960"/>
              <w:spacing w:after="0" w:line="159" w:lineRule="exact"/>
              <w:rPr>
                <w:sz w:val="20"/>
                <w:szCs w:val="20"/>
                <w:color w:val="auto"/>
              </w:rPr>
            </w:pPr>
            <w:r>
              <w:rPr>
                <w:rFonts w:ascii="Arial" w:cs="Arial" w:eastAsia="Arial" w:hAnsi="Arial"/>
                <w:sz w:val="14"/>
                <w:szCs w:val="14"/>
                <w:color w:val="auto"/>
                <w:w w:val="91"/>
              </w:rPr>
              <w:t>any Borrower or any Borrower’s Affiliates) participating interests in its Loan, commitments or other interests hereunder (any such Person, a “</w:t>
            </w:r>
            <w:r>
              <w:rPr>
                <w:rFonts w:ascii="Arial" w:cs="Arial" w:eastAsia="Arial" w:hAnsi="Arial"/>
                <w:sz w:val="14"/>
                <w:szCs w:val="14"/>
                <w:b w:val="1"/>
                <w:bCs w:val="1"/>
                <w:color w:val="auto"/>
                <w:w w:val="91"/>
              </w:rPr>
              <w:t>Participant</w:t>
            </w:r>
            <w:r>
              <w:rPr>
                <w:rFonts w:ascii="Arial" w:cs="Arial" w:eastAsia="Arial" w:hAnsi="Arial"/>
                <w:sz w:val="14"/>
                <w:szCs w:val="14"/>
                <w:color w:val="auto"/>
                <w:w w:val="91"/>
              </w:rPr>
              <w:t>”). In the event of a</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1"/>
              </w:rPr>
              <w:t>sale by a Lender of a participating interest to a Participant, (i) such Lender’s obligations hereunder shall remain unchanged for all purposes, (ii) Borrowers and Agent shall</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0"/>
              </w:rPr>
              <w:t>continue to deal solely and directly with such Lender in connection with such Lender’s rights and obligations hereunder, and (iii) all amounts payable by each Borrower shall</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3"/>
              </w:rPr>
              <w:t>be determined as if such Lender had not sold such participation and shall be paid directly to such Lender. Each Borrower agrees that if amounts outstanding under this</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89"/>
              </w:rPr>
              <w:t>Agreement are due and payable (as a result of acceleration or otherwise), each Participant shall be deemed to have the right of set-off in respect of its participating interest in</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2"/>
              </w:rPr>
              <w:t xml:space="preserve">amounts owing under this Agreement to the same extent as if the amount of its participating interest were owing directly to it as a Lender under this Agreement; </w:t>
            </w:r>
            <w:r>
              <w:rPr>
                <w:rFonts w:ascii="Arial" w:cs="Arial" w:eastAsia="Arial" w:hAnsi="Arial"/>
                <w:sz w:val="14"/>
                <w:szCs w:val="14"/>
                <w:i w:val="1"/>
                <w:iCs w:val="1"/>
                <w:color w:val="auto"/>
                <w:w w:val="92"/>
              </w:rPr>
              <w:t>provided,</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i w:val="1"/>
                <w:iCs w:val="1"/>
                <w:color w:val="auto"/>
                <w:w w:val="89"/>
              </w:rPr>
              <w:t>however</w:t>
            </w:r>
            <w:r>
              <w:rPr>
                <w:rFonts w:ascii="Arial" w:cs="Arial" w:eastAsia="Arial" w:hAnsi="Arial"/>
                <w:sz w:val="14"/>
                <w:szCs w:val="14"/>
                <w:color w:val="auto"/>
                <w:w w:val="89"/>
              </w:rPr>
              <w:t>, that such right of set-off shall be subject to the obligation of each Participant to share with Lenders, and Lenders agree to share with each Participant, as provided in</w:t>
            </w:r>
          </w:p>
        </w:tc>
      </w:tr>
      <w:tr>
        <w:trPr>
          <w:trHeight w:val="179"/>
        </w:trPr>
        <w:tc>
          <w:tcPr>
            <w:tcW w:w="480" w:type="dxa"/>
            <w:vAlign w:val="bottom"/>
          </w:tcPr>
          <w:p>
            <w:pPr>
              <w:spacing w:after="0"/>
              <w:rPr>
                <w:sz w:val="15"/>
                <w:szCs w:val="15"/>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rPr>
              <w:t>Section 11.5.</w:t>
            </w:r>
          </w:p>
        </w:tc>
      </w:tr>
      <w:tr>
        <w:trPr>
          <w:trHeight w:val="283"/>
        </w:trPr>
        <w:tc>
          <w:tcPr>
            <w:tcW w:w="480" w:type="dxa"/>
            <w:vAlign w:val="bottom"/>
          </w:tcPr>
          <w:p>
            <w:pPr>
              <w:spacing w:after="0"/>
              <w:rPr>
                <w:sz w:val="20"/>
                <w:szCs w:val="20"/>
                <w:color w:val="auto"/>
              </w:rPr>
            </w:pPr>
            <w:r>
              <w:rPr>
                <w:rFonts w:ascii="Arial" w:cs="Arial" w:eastAsia="Arial" w:hAnsi="Arial"/>
                <w:sz w:val="14"/>
                <w:szCs w:val="14"/>
                <w:color w:val="auto"/>
              </w:rPr>
              <w:t>(c)</w:t>
            </w:r>
          </w:p>
        </w:tc>
        <w:tc>
          <w:tcPr>
            <w:tcW w:w="240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Arial" w:cs="Arial" w:eastAsia="Arial" w:hAnsi="Arial"/>
                <w:sz w:val="14"/>
                <w:szCs w:val="14"/>
                <w:color w:val="auto"/>
                <w:w w:val="92"/>
              </w:rPr>
              <w:t>Replacement of Lenders. Within thirty (30) days after: (i) receipt by Agent of notice and demand from any Lender for payment of additional costs</w:t>
            </w:r>
          </w:p>
        </w:tc>
      </w:tr>
      <w:tr>
        <w:trPr>
          <w:trHeight w:val="20"/>
        </w:trPr>
        <w:tc>
          <w:tcPr>
            <w:tcW w:w="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58"/>
        </w:trPr>
        <w:tc>
          <w:tcPr>
            <w:tcW w:w="480" w:type="dxa"/>
            <w:vAlign w:val="bottom"/>
          </w:tcPr>
          <w:p>
            <w:pPr>
              <w:spacing w:after="0"/>
              <w:rPr>
                <w:sz w:val="13"/>
                <w:szCs w:val="13"/>
                <w:color w:val="auto"/>
              </w:rPr>
            </w:pPr>
          </w:p>
        </w:tc>
        <w:tc>
          <w:tcPr>
            <w:tcW w:w="10620" w:type="dxa"/>
            <w:vAlign w:val="bottom"/>
            <w:gridSpan w:val="4"/>
          </w:tcPr>
          <w:p>
            <w:pPr>
              <w:ind w:left="960"/>
              <w:spacing w:after="0" w:line="159" w:lineRule="exact"/>
              <w:rPr>
                <w:sz w:val="20"/>
                <w:szCs w:val="20"/>
                <w:color w:val="auto"/>
              </w:rPr>
            </w:pPr>
            <w:r>
              <w:rPr>
                <w:rFonts w:ascii="Arial" w:cs="Arial" w:eastAsia="Arial" w:hAnsi="Arial"/>
                <w:sz w:val="14"/>
                <w:szCs w:val="14"/>
                <w:color w:val="auto"/>
                <w:w w:val="92"/>
              </w:rPr>
              <w:t>as provided in Section 2.8(d), which demand shall not have been revoked, (ii) any Borrower is required to pay any additional amount to any Lender or any Governmental</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89"/>
              </w:rPr>
              <w:t>Authority for the account of any Lender pursuant to Section 2.8(a), (iii) any Lender is a Defaulted Lender, and the circumstances causing such status shall not have been cured</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3"/>
              </w:rPr>
              <w:t>or waived; or (iv) any failure by any Lender to consent to a requested amendment, waiver or modification to any Financing Document in which Required Lenders have</w:t>
            </w:r>
          </w:p>
        </w:tc>
      </w:tr>
      <w:tr>
        <w:trPr>
          <w:trHeight w:val="158"/>
        </w:trPr>
        <w:tc>
          <w:tcPr>
            <w:tcW w:w="480" w:type="dxa"/>
            <w:vAlign w:val="bottom"/>
          </w:tcPr>
          <w:p>
            <w:pPr>
              <w:spacing w:after="0"/>
              <w:rPr>
                <w:sz w:val="13"/>
                <w:szCs w:val="13"/>
                <w:color w:val="auto"/>
              </w:rPr>
            </w:pPr>
          </w:p>
        </w:tc>
        <w:tc>
          <w:tcPr>
            <w:tcW w:w="10620" w:type="dxa"/>
            <w:vAlign w:val="bottom"/>
            <w:gridSpan w:val="4"/>
          </w:tcPr>
          <w:p>
            <w:pPr>
              <w:ind w:left="960"/>
              <w:spacing w:after="0" w:line="158" w:lineRule="exact"/>
              <w:rPr>
                <w:sz w:val="20"/>
                <w:szCs w:val="20"/>
                <w:color w:val="auto"/>
              </w:rPr>
            </w:pPr>
            <w:r>
              <w:rPr>
                <w:rFonts w:ascii="Arial" w:cs="Arial" w:eastAsia="Arial" w:hAnsi="Arial"/>
                <w:sz w:val="14"/>
                <w:szCs w:val="14"/>
                <w:color w:val="auto"/>
                <w:w w:val="89"/>
              </w:rPr>
              <w:t>already consented to such amendment, waiver or modification but the consent of each Lender, or each Lender affected thereby, is required with respect thereto (each relevant</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0"/>
              </w:rPr>
              <w:t>Lender in the foregoing clauses (i) through (iv) being an “</w:t>
            </w:r>
            <w:r>
              <w:rPr>
                <w:rFonts w:ascii="Arial" w:cs="Arial" w:eastAsia="Arial" w:hAnsi="Arial"/>
                <w:sz w:val="14"/>
                <w:szCs w:val="14"/>
                <w:b w:val="1"/>
                <w:bCs w:val="1"/>
                <w:color w:val="auto"/>
                <w:w w:val="90"/>
              </w:rPr>
              <w:t>Affected Lender</w:t>
            </w:r>
            <w:r>
              <w:rPr>
                <w:rFonts w:ascii="Arial" w:cs="Arial" w:eastAsia="Arial" w:hAnsi="Arial"/>
                <w:sz w:val="14"/>
                <w:szCs w:val="14"/>
                <w:color w:val="auto"/>
                <w:w w:val="90"/>
              </w:rPr>
              <w:t>”) each of Borrower Representative and Agent may, at its option, notify such Affected Lender and,</w:t>
            </w:r>
          </w:p>
        </w:tc>
      </w:tr>
      <w:tr>
        <w:trPr>
          <w:trHeight w:val="166"/>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3"/>
              </w:rPr>
              <w:t>in the case of Borrowers’ election, Agent, of such Person’s intention to obtain, at Borrowers’ expense, a replacement Lender (“</w:t>
            </w:r>
            <w:r>
              <w:rPr>
                <w:rFonts w:ascii="Arial" w:cs="Arial" w:eastAsia="Arial" w:hAnsi="Arial"/>
                <w:sz w:val="14"/>
                <w:szCs w:val="14"/>
                <w:b w:val="1"/>
                <w:bCs w:val="1"/>
                <w:color w:val="auto"/>
                <w:w w:val="93"/>
              </w:rPr>
              <w:t>Replacement Lender</w:t>
            </w:r>
            <w:r>
              <w:rPr>
                <w:rFonts w:ascii="Arial" w:cs="Arial" w:eastAsia="Arial" w:hAnsi="Arial"/>
                <w:sz w:val="14"/>
                <w:szCs w:val="14"/>
                <w:color w:val="auto"/>
                <w:w w:val="93"/>
              </w:rPr>
              <w:t>”) for such Lender,</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1"/>
              </w:rPr>
              <w:t>which Replacement Lender shall be an Eligible Assignee and, in the event the Replacement Lender is to replace an Affected Lender described in the preceding clause (iv),</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89"/>
              </w:rPr>
              <w:t>such Replacement Lender consents to the requested amendment, waiver or modification making the replaced Lender an Affected Lender. In the event Borrowers or Agent, as</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0"/>
              </w:rPr>
              <w:t>applicable, obtains a Replacement Lender within ninety (90) days following notice of its intention to do so, the Affected Lender shall sell, at par, and assign all of its Loan and</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1"/>
              </w:rPr>
              <w:t xml:space="preserve">funding commitments hereunder to such Replacement Lender in accordance with the procedures set forth in Section 11.17(a); </w:t>
            </w:r>
            <w:r>
              <w:rPr>
                <w:rFonts w:ascii="Arial" w:cs="Arial" w:eastAsia="Arial" w:hAnsi="Arial"/>
                <w:sz w:val="14"/>
                <w:szCs w:val="14"/>
                <w:i w:val="1"/>
                <w:iCs w:val="1"/>
                <w:color w:val="auto"/>
                <w:w w:val="91"/>
              </w:rPr>
              <w:t>provided, however,</w:t>
            </w:r>
            <w:r>
              <w:rPr>
                <w:rFonts w:ascii="Arial" w:cs="Arial" w:eastAsia="Arial" w:hAnsi="Arial"/>
                <w:sz w:val="14"/>
                <w:szCs w:val="14"/>
                <w:color w:val="auto"/>
                <w:w w:val="91"/>
              </w:rPr>
              <w:t xml:space="preserve"> that (A) Borrowers shall</w:t>
            </w:r>
          </w:p>
        </w:tc>
      </w:tr>
      <w:tr>
        <w:trPr>
          <w:trHeight w:val="162"/>
        </w:trPr>
        <w:tc>
          <w:tcPr>
            <w:tcW w:w="480" w:type="dxa"/>
            <w:vAlign w:val="bottom"/>
          </w:tcPr>
          <w:p>
            <w:pPr>
              <w:spacing w:after="0"/>
              <w:rPr>
                <w:sz w:val="14"/>
                <w:szCs w:val="14"/>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w w:val="91"/>
              </w:rPr>
              <w:t>have reimbursed such Lender for its increased costs and additional payments for which it is entitled to reimbursement under Section 2.8(a) or Section 2.8(d), as applicable,</w:t>
            </w:r>
          </w:p>
        </w:tc>
      </w:tr>
      <w:tr>
        <w:trPr>
          <w:trHeight w:val="174"/>
        </w:trPr>
        <w:tc>
          <w:tcPr>
            <w:tcW w:w="480" w:type="dxa"/>
            <w:vAlign w:val="bottom"/>
          </w:tcPr>
          <w:p>
            <w:pPr>
              <w:spacing w:after="0"/>
              <w:rPr>
                <w:sz w:val="15"/>
                <w:szCs w:val="15"/>
                <w:color w:val="auto"/>
              </w:rPr>
            </w:pPr>
          </w:p>
        </w:tc>
        <w:tc>
          <w:tcPr>
            <w:tcW w:w="10620" w:type="dxa"/>
            <w:vAlign w:val="bottom"/>
            <w:gridSpan w:val="4"/>
          </w:tcPr>
          <w:p>
            <w:pPr>
              <w:ind w:left="960"/>
              <w:spacing w:after="0"/>
              <w:rPr>
                <w:sz w:val="20"/>
                <w:szCs w:val="20"/>
                <w:color w:val="auto"/>
              </w:rPr>
            </w:pPr>
            <w:r>
              <w:rPr>
                <w:rFonts w:ascii="Arial" w:cs="Arial" w:eastAsia="Arial" w:hAnsi="Arial"/>
                <w:sz w:val="14"/>
                <w:szCs w:val="14"/>
                <w:color w:val="auto"/>
              </w:rPr>
              <w:t>of this Agreement through the date of such sale and assignment, and</w:t>
            </w:r>
          </w:p>
        </w:tc>
      </w:tr>
    </w:tbl>
    <w:p>
      <w:pPr>
        <w:jc w:val="both"/>
        <w:ind w:left="260" w:hanging="8"/>
        <w:spacing w:after="0" w:line="243" w:lineRule="auto"/>
        <w:tabs>
          <w:tab w:leader="none" w:pos="496" w:val="left"/>
        </w:tabs>
        <w:numPr>
          <w:ilvl w:val="0"/>
          <w:numId w:val="63"/>
        </w:numPr>
        <w:rPr>
          <w:rFonts w:ascii="Arial" w:cs="Arial" w:eastAsia="Arial" w:hAnsi="Arial"/>
          <w:sz w:val="14"/>
          <w:szCs w:val="14"/>
          <w:color w:val="auto"/>
        </w:rPr>
      </w:pPr>
      <w:r>
        <w:rPr>
          <w:rFonts w:ascii="Arial" w:cs="Arial" w:eastAsia="Arial" w:hAnsi="Arial"/>
          <w:sz w:val="14"/>
          <w:szCs w:val="14"/>
          <w:color w:val="auto"/>
        </w:rPr>
        <w:t>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 payment, such replaced Lender shall no longer constitute a “</w:t>
      </w:r>
      <w:r>
        <w:rPr>
          <w:rFonts w:ascii="Arial" w:cs="Arial" w:eastAsia="Arial" w:hAnsi="Arial"/>
          <w:sz w:val="14"/>
          <w:szCs w:val="14"/>
          <w:b w:val="1"/>
          <w:bCs w:val="1"/>
          <w:color w:val="auto"/>
        </w:rPr>
        <w:t>Lender</w:t>
      </w:r>
      <w:r>
        <w:rPr>
          <w:rFonts w:ascii="Arial" w:cs="Arial" w:eastAsia="Arial" w:hAnsi="Arial"/>
          <w:sz w:val="14"/>
          <w:szCs w:val="14"/>
          <w:color w:val="auto"/>
        </w:rPr>
        <w:t>” for purposes hereof, other than with respect to such rights and obligations that survive termination as set forth in Section 12.1.</w:t>
      </w:r>
    </w:p>
    <w:p>
      <w:pPr>
        <w:spacing w:after="0" w:line="299"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79</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20"/>
          </w:cols>
          <w:pgMar w:left="240" w:top="165" w:right="339" w:bottom="1440" w:gutter="0" w:footer="0" w:header="0"/>
        </w:sectPr>
      </w:pPr>
    </w:p>
    <w:bookmarkStart w:id="141" w:name="page142"/>
    <w:bookmarkEnd w:id="141"/>
    <w:tbl>
      <w:tblPr>
        <w:tblLayout w:type="fixed"/>
        <w:tblInd w:w="22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(d)</w:t>
            </w:r>
          </w:p>
        </w:tc>
        <w:tc>
          <w:tcPr>
            <w:tcW w:w="2080" w:type="dxa"/>
            <w:vAlign w:val="bottom"/>
          </w:tcPr>
          <w:p>
            <w:pPr>
              <w:spacing w:after="0"/>
              <w:rPr>
                <w:sz w:val="14"/>
                <w:szCs w:val="14"/>
                <w:color w:val="auto"/>
              </w:rPr>
            </w:pPr>
          </w:p>
        </w:tc>
        <w:tc>
          <w:tcPr>
            <w:tcW w:w="8100" w:type="dxa"/>
            <w:vAlign w:val="bottom"/>
            <w:gridSpan w:val="2"/>
          </w:tcPr>
          <w:p>
            <w:pPr>
              <w:spacing w:after="0"/>
              <w:rPr>
                <w:sz w:val="20"/>
                <w:szCs w:val="20"/>
                <w:color w:val="auto"/>
              </w:rPr>
            </w:pPr>
            <w:r>
              <w:rPr>
                <w:rFonts w:ascii="Arial" w:cs="Arial" w:eastAsia="Arial" w:hAnsi="Arial"/>
                <w:sz w:val="14"/>
                <w:szCs w:val="14"/>
                <w:color w:val="auto"/>
                <w:w w:val="89"/>
              </w:rPr>
              <w:t>Credit Party Assignments. No Credit Party may assign, delegate or otherwise transfer any of its rights or other obligations hereunder or under any</w:t>
            </w:r>
          </w:p>
        </w:tc>
      </w:tr>
      <w:tr>
        <w:trPr>
          <w:trHeight w:val="20"/>
        </w:trPr>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800" w:type="dxa"/>
            <w:vAlign w:val="bottom"/>
          </w:tcPr>
          <w:p>
            <w:pPr>
              <w:spacing w:after="0"/>
              <w:rPr>
                <w:sz w:val="15"/>
                <w:szCs w:val="15"/>
                <w:color w:val="auto"/>
              </w:rPr>
            </w:pPr>
          </w:p>
        </w:tc>
        <w:tc>
          <w:tcPr>
            <w:tcW w:w="10180" w:type="dxa"/>
            <w:vAlign w:val="bottom"/>
            <w:gridSpan w:val="3"/>
          </w:tcPr>
          <w:p>
            <w:pPr>
              <w:ind w:left="640"/>
              <w:spacing w:after="0"/>
              <w:rPr>
                <w:sz w:val="20"/>
                <w:szCs w:val="20"/>
                <w:color w:val="auto"/>
              </w:rPr>
            </w:pPr>
            <w:r>
              <w:rPr>
                <w:rFonts w:ascii="Arial" w:cs="Arial" w:eastAsia="Arial" w:hAnsi="Arial"/>
                <w:sz w:val="14"/>
                <w:szCs w:val="14"/>
                <w:color w:val="auto"/>
              </w:rPr>
              <w:t>other Financing Document without the prior written consent of Agent and each Lender.</w:t>
            </w:r>
          </w:p>
        </w:tc>
      </w:tr>
    </w:tbl>
    <w:p>
      <w:pPr>
        <w:spacing w:after="0" w:line="134" w:lineRule="exact"/>
        <w:rPr>
          <w:sz w:val="20"/>
          <w:szCs w:val="20"/>
          <w:color w:val="auto"/>
        </w:rPr>
      </w:pPr>
    </w:p>
    <w:p>
      <w:pPr>
        <w:jc w:val="both"/>
        <w:ind w:left="140" w:firstLine="837"/>
        <w:spacing w:after="0" w:line="245" w:lineRule="auto"/>
        <w:rPr>
          <w:sz w:val="20"/>
          <w:szCs w:val="20"/>
          <w:color w:val="auto"/>
        </w:rPr>
      </w:pPr>
      <w:r>
        <w:rPr>
          <w:rFonts w:ascii="Arial" w:cs="Arial" w:eastAsia="Arial" w:hAnsi="Arial"/>
          <w:sz w:val="14"/>
          <w:szCs w:val="14"/>
          <w:b w:val="1"/>
          <w:bCs w:val="1"/>
          <w:color w:val="auto"/>
        </w:rPr>
        <w:t xml:space="preserve">Section 11.18 </w:t>
      </w:r>
      <w:r>
        <w:rPr>
          <w:rFonts w:ascii="Arial" w:cs="Arial" w:eastAsia="Arial" w:hAnsi="Arial"/>
          <w:sz w:val="14"/>
          <w:szCs w:val="14"/>
          <w:u w:val="single" w:color="auto"/>
          <w:color w:val="auto"/>
        </w:rPr>
        <w:t>Funding and Settlement Provisions Applicable When Non-Funding Lenders Exist</w:t>
      </w:r>
      <w:r>
        <w:rPr>
          <w:rFonts w:ascii="Arial" w:cs="Arial" w:eastAsia="Arial" w:hAnsi="Arial"/>
          <w:sz w:val="15"/>
          <w:szCs w:val="15"/>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So long as Agent has not waived the conditions to the funding of Loans set forth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7.2 or Section 2.1, any Lender may deliver a notice to Agent stating that such Lender shall not fund the Term Loan due to the non-satisfaction of one or more conditions to funding Loans set forth in Section 7.2 or Section 2.1, and specifying any such non-satisfied conditions. Any Lender delivering any such notice shall become a non-funding Lender (a “</w:t>
      </w:r>
      <w:r>
        <w:rPr>
          <w:rFonts w:ascii="Arial" w:cs="Arial" w:eastAsia="Arial" w:hAnsi="Arial"/>
          <w:sz w:val="14"/>
          <w:szCs w:val="14"/>
          <w:b w:val="1"/>
          <w:bCs w:val="1"/>
          <w:color w:val="auto"/>
        </w:rPr>
        <w:t>Non-Funding Lender</w:t>
      </w:r>
      <w:r>
        <w:rPr>
          <w:rFonts w:ascii="Arial" w:cs="Arial" w:eastAsia="Arial" w:hAnsi="Arial"/>
          <w:sz w:val="14"/>
          <w:szCs w:val="14"/>
          <w:color w:val="auto"/>
        </w:rPr>
        <w:t xml:space="preserve">”) for purposes of this Agreement commencing on the Business Day following receipt by Agent of such notice, and shall cease to be a Non- 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 Funding Lender. Each Non-Funding Lender shall remain a Lender for purposes of this Agreement to the extent that such Non-Funding Lender has Term Loans outstanding in excess of $0;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during any period of time that any Non-Funding Lender exists, and notwithstanding any provision to the contrary set forth herein, the following provisions shall apply:</w:t>
      </w:r>
    </w:p>
    <w:p>
      <w:pPr>
        <w:spacing w:after="0" w:line="136" w:lineRule="exact"/>
        <w:rPr>
          <w:sz w:val="20"/>
          <w:szCs w:val="20"/>
          <w:color w:val="auto"/>
        </w:rPr>
      </w:pPr>
    </w:p>
    <w:p>
      <w:pPr>
        <w:ind w:left="2700" w:hanging="843"/>
        <w:spacing w:after="0"/>
        <w:tabs>
          <w:tab w:leader="none" w:pos="27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[reserved].</w:t>
      </w:r>
    </w:p>
    <w:p>
      <w:pPr>
        <w:spacing w:after="0" w:line="154" w:lineRule="exact"/>
        <w:rPr>
          <w:sz w:val="20"/>
          <w:szCs w:val="20"/>
          <w:color w:val="auto"/>
        </w:rPr>
      </w:pPr>
    </w:p>
    <w:p>
      <w:pPr>
        <w:ind w:left="220"/>
        <w:spacing w:after="0"/>
        <w:tabs>
          <w:tab w:leader="none" w:pos="308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Except as provided in clause (a) above, Term Loan Commitment Amount of each Non-Funding Lender shall be deemed to be $0.</w:t>
      </w:r>
    </w:p>
    <w:p>
      <w:pPr>
        <w:spacing w:after="0" w:line="154" w:lineRule="exact"/>
        <w:rPr>
          <w:sz w:val="20"/>
          <w:szCs w:val="20"/>
          <w:color w:val="auto"/>
        </w:rPr>
      </w:pPr>
    </w:p>
    <w:p>
      <w:pPr>
        <w:ind w:left="2700" w:hanging="843"/>
        <w:spacing w:after="0"/>
        <w:tabs>
          <w:tab w:leader="none" w:pos="27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[reserved].</w:t>
      </w:r>
    </w:p>
    <w:p>
      <w:pPr>
        <w:spacing w:after="0" w:line="154" w:lineRule="exact"/>
        <w:rPr>
          <w:sz w:val="20"/>
          <w:szCs w:val="20"/>
          <w:color w:val="auto"/>
        </w:rPr>
      </w:pPr>
    </w:p>
    <w:p>
      <w:pPr>
        <w:jc w:val="both"/>
        <w:ind w:left="1660" w:right="120" w:hanging="1436"/>
        <w:spacing w:after="0" w:line="255" w:lineRule="auto"/>
        <w:tabs>
          <w:tab w:leader="none" w:pos="164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4"/>
          <w:szCs w:val="14"/>
          <w:color w:val="auto"/>
        </w:rPr>
        <w:t>The Term Loan Commitment at any date of determination during such period shall be deemed to be equal to the sum of (i) the aggregate Term Loan Commitment Amounts of all Lenders, other than the Non-Funding Lenders as of such date plus (ii) the aggregate principal amount outstanding under the Term Loans of all Non-Funding Lenders as of such date.</w:t>
      </w:r>
    </w:p>
    <w:p>
      <w:pPr>
        <w:spacing w:after="0" w:line="122" w:lineRule="exact"/>
        <w:rPr>
          <w:sz w:val="20"/>
          <w:szCs w:val="20"/>
          <w:color w:val="auto"/>
        </w:rPr>
      </w:pPr>
    </w:p>
    <w:p>
      <w:pPr>
        <w:ind w:left="1000"/>
        <w:spacing w:after="0"/>
        <w:tabs>
          <w:tab w:leader="none" w:pos="3200" w:val="left"/>
        </w:tabs>
        <w:rPr>
          <w:sz w:val="20"/>
          <w:szCs w:val="20"/>
          <w:color w:val="auto"/>
        </w:rPr>
      </w:pPr>
      <w:r>
        <w:rPr>
          <w:rFonts w:ascii="Arial" w:cs="Arial" w:eastAsia="Arial" w:hAnsi="Arial"/>
          <w:sz w:val="14"/>
          <w:szCs w:val="14"/>
          <w:b w:val="1"/>
          <w:bCs w:val="1"/>
          <w:color w:val="auto"/>
        </w:rPr>
        <w:t>Section 11.19</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 xml:space="preserve">Section 11.20 </w:t>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Article 11, the following terms have the following meanings:</w:t>
      </w:r>
    </w:p>
    <w:p>
      <w:pPr>
        <w:spacing w:after="0" w:line="154" w:lineRule="exact"/>
        <w:rPr>
          <w:sz w:val="20"/>
          <w:szCs w:val="20"/>
          <w:color w:val="auto"/>
        </w:rPr>
      </w:pPr>
    </w:p>
    <w:p>
      <w:pPr>
        <w:jc w:val="both"/>
        <w:ind w:left="140" w:firstLine="836"/>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Approved Fund</w:t>
      </w:r>
      <w:r>
        <w:rPr>
          <w:rFonts w:ascii="Arial" w:cs="Arial" w:eastAsia="Arial" w:hAnsi="Arial"/>
          <w:sz w:val="13"/>
          <w:szCs w:val="13"/>
          <w:color w:val="auto"/>
        </w:rPr>
        <w:t>” means any (a) investment company, fund, trust, securitization vehicle or conduit that is (or will be) engaged in making, purchasing, holding or otherwise investing in commercial loans and similar extensions of credit in the Ordinary Course of Business,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10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Assignment Agreement</w:t>
      </w:r>
      <w:r>
        <w:rPr>
          <w:rFonts w:ascii="Arial" w:cs="Arial" w:eastAsia="Arial" w:hAnsi="Arial"/>
          <w:sz w:val="14"/>
          <w:szCs w:val="14"/>
          <w:color w:val="auto"/>
        </w:rPr>
        <w:t>” means an assignment agreement in form and substance acceptable to</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Agent.</w:t>
      </w:r>
    </w:p>
    <w:p>
      <w:pPr>
        <w:spacing w:after="0" w:line="129" w:lineRule="exact"/>
        <w:rPr>
          <w:sz w:val="20"/>
          <w:szCs w:val="20"/>
          <w:color w:val="auto"/>
        </w:rPr>
      </w:pPr>
    </w:p>
    <w:p>
      <w:pPr>
        <w:jc w:val="both"/>
        <w:ind w:left="140" w:right="20" w:firstLine="8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Defaulted Lender</w:t>
      </w:r>
      <w:r>
        <w:rPr>
          <w:rFonts w:ascii="Arial" w:cs="Arial" w:eastAsia="Arial" w:hAnsi="Arial"/>
          <w:sz w:val="14"/>
          <w:szCs w:val="14"/>
          <w:color w:val="auto"/>
        </w:rPr>
        <w:t>” means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Agent and Borrower Representative in writing that such failure is the result of such Lender's good</w:t>
      </w:r>
    </w:p>
    <w:p>
      <w:pPr>
        <w:spacing w:after="0" w:line="334"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80</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42" w:name="page143"/>
    <w:bookmarkEnd w:id="142"/>
    <w:p>
      <w:pPr>
        <w:jc w:val="both"/>
        <w:ind w:left="140"/>
        <w:spacing w:after="0" w:line="265" w:lineRule="auto"/>
        <w:rPr>
          <w:sz w:val="20"/>
          <w:szCs w:val="20"/>
          <w:color w:val="auto"/>
        </w:rPr>
      </w:pPr>
      <w:r>
        <w:rPr>
          <w:rFonts w:ascii="Arial" w:cs="Arial" w:eastAsia="Arial" w:hAnsi="Arial"/>
          <w:sz w:val="13"/>
          <w:szCs w:val="13"/>
          <w:color w:val="auto"/>
        </w:rPr>
        <w:t xml:space="preserve">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or the Borrower Representative, acting in good faith, to provide a certification in writing from an authorized officer of such Lender that it will comply with its obligations (and is financially able to meet such obligations) to fund prospective Loans under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Lender shall cease to be a Defaulted Lender pursuant to this clause (c) upon such Credit Party’s receipt of such certification in form and substance satisfactory to it and the Agent, or (d) has, or has a direct or indirect parent company that has, (i) become the subject of a proceeding under any bankruptcy, insolvency or other similar law, or (ii) had appointed for it a receiver, custodian, conservator, trustee, administrator, assignee for the benefit of creditors or similar Person charged with reorganization or liquidation of its business or assets. Any determination by Agent that a Lender is a Defaulted Lender under any one or more of clauses (a) through (d) above shall be conclusive and binding absent manifest error, and such Lender shall be deemed to be a Defaulted Lender upon delivery of written notice of such determination to Borrower Representative and each Lender.</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Assignee</w:t>
      </w:r>
      <w:r>
        <w:rPr>
          <w:rFonts w:ascii="Arial" w:cs="Arial" w:eastAsia="Arial" w:hAnsi="Arial"/>
          <w:sz w:val="14"/>
          <w:szCs w:val="14"/>
          <w:color w:val="auto"/>
        </w:rPr>
        <w:t>” means (a) a Lender, (b) an Affiliate of a Lender, (c) an Approved Fund, and</w:t>
      </w:r>
    </w:p>
    <w:p>
      <w:pPr>
        <w:spacing w:after="0" w:line="17" w:lineRule="exact"/>
        <w:rPr>
          <w:sz w:val="20"/>
          <w:szCs w:val="20"/>
          <w:color w:val="auto"/>
        </w:rPr>
      </w:pPr>
    </w:p>
    <w:p>
      <w:pPr>
        <w:jc w:val="both"/>
        <w:ind w:left="140" w:firstLine="2"/>
        <w:spacing w:after="0" w:line="298" w:lineRule="auto"/>
        <w:tabs>
          <w:tab w:leader="none" w:pos="349"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any other Person (other than a natural person) approved by Agent; </w:t>
      </w:r>
      <w:r>
        <w:rPr>
          <w:rFonts w:ascii="Arial" w:cs="Arial" w:eastAsia="Arial" w:hAnsi="Arial"/>
          <w:sz w:val="12"/>
          <w:szCs w:val="12"/>
          <w:i w:val="1"/>
          <w:iCs w:val="1"/>
          <w:color w:val="auto"/>
        </w:rPr>
        <w:t>provided, however</w:t>
      </w:r>
      <w:r>
        <w:rPr>
          <w:rFonts w:ascii="Arial" w:cs="Arial" w:eastAsia="Arial" w:hAnsi="Arial"/>
          <w:sz w:val="12"/>
          <w:szCs w:val="12"/>
          <w:color w:val="auto"/>
        </w:rPr>
        <w:t>, that notwithstanding the foregoing, (x) “</w:t>
      </w:r>
      <w:r>
        <w:rPr>
          <w:rFonts w:ascii="Arial" w:cs="Arial" w:eastAsia="Arial" w:hAnsi="Arial"/>
          <w:sz w:val="12"/>
          <w:szCs w:val="12"/>
          <w:b w:val="1"/>
          <w:bCs w:val="1"/>
          <w:color w:val="auto"/>
        </w:rPr>
        <w:t>Eligible Assignee</w:t>
      </w:r>
      <w:r>
        <w:rPr>
          <w:rFonts w:ascii="Arial" w:cs="Arial" w:eastAsia="Arial" w:hAnsi="Arial"/>
          <w:sz w:val="12"/>
          <w:szCs w:val="12"/>
          <w:color w:val="auto"/>
        </w:rPr>
        <w:t>” shall not include (i) any Borrower or any of a Borrower’s Affiliates or (ii) unless an Event of Default has occurred and is continuing, (A) any hedge fund or private equity fund that is primarily and directly engaged in the business of purchasing distressed debt or (B) any direct competitor of Credit Parties, in each case, as determined by Agent in its reasonable discretion, and (y) no proposed assignee intending to assume any unfunded portion of the Term Loan Commitment shall be an Eligible Assignee unless such proposed assignee either already holds a portion of such Term Loan Commitment, or has been approved as an Eligible Assignee by Agent.</w:t>
      </w:r>
    </w:p>
    <w:p>
      <w:pPr>
        <w:spacing w:after="0" w:line="101" w:lineRule="exact"/>
        <w:rPr>
          <w:sz w:val="20"/>
          <w:szCs w:val="20"/>
          <w:color w:val="auto"/>
        </w:rPr>
      </w:pPr>
    </w:p>
    <w:p>
      <w:pPr>
        <w:jc w:val="both"/>
        <w:ind w:left="140" w:right="20" w:firstLine="837"/>
        <w:spacing w:after="0" w:line="24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Federal Funds Rate</w:t>
      </w:r>
      <w:r>
        <w:rPr>
          <w:rFonts w:ascii="Arial" w:cs="Arial" w:eastAsia="Arial" w:hAnsi="Arial"/>
          <w:sz w:val="14"/>
          <w:szCs w:val="14"/>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4"/>
          <w:szCs w:val="14"/>
          <w:i w:val="1"/>
          <w:iCs w:val="1"/>
          <w:color w:val="auto"/>
        </w:rPr>
        <w:t>provided, however</w:t>
      </w:r>
      <w:r>
        <w:rPr>
          <w:rFonts w:ascii="Arial" w:cs="Arial" w:eastAsia="Arial" w:hAnsi="Arial"/>
          <w:sz w:val="14"/>
          <w:szCs w:val="14"/>
          <w:color w:val="auto"/>
        </w:rPr>
        <w:t>, that (a) if such day is not a Business Day, the Federal Funds Rate for such day shall be such rate on such transactions on the next preceding Business Day, and</w:t>
      </w:r>
    </w:p>
    <w:p>
      <w:pPr>
        <w:spacing w:after="0" w:line="2" w:lineRule="exact"/>
        <w:rPr>
          <w:sz w:val="20"/>
          <w:szCs w:val="20"/>
          <w:color w:val="auto"/>
        </w:rPr>
      </w:pPr>
    </w:p>
    <w:p>
      <w:pPr>
        <w:ind w:left="140" w:firstLine="2"/>
        <w:spacing w:after="0" w:line="250" w:lineRule="auto"/>
        <w:tabs>
          <w:tab w:leader="none" w:pos="579" w:val="left"/>
        </w:tabs>
        <w:numPr>
          <w:ilvl w:val="0"/>
          <w:numId w:val="67"/>
        </w:numPr>
        <w:rPr>
          <w:rFonts w:ascii="Arial" w:cs="Arial" w:eastAsia="Arial" w:hAnsi="Arial"/>
          <w:sz w:val="14"/>
          <w:szCs w:val="14"/>
          <w:color w:val="auto"/>
        </w:rPr>
      </w:pPr>
      <w:r>
        <w:rPr>
          <w:rFonts w:ascii="Arial" w:cs="Arial" w:eastAsia="Arial" w:hAnsi="Arial"/>
          <w:sz w:val="14"/>
          <w:szCs w:val="14"/>
          <w:color w:val="auto"/>
        </w:rPr>
        <w:t>if no such rate is so published on such next preceding Business Day, the Federal Funds Rate for such day shall be the average rate quoted to Agent on such day on such transactions as determined by Agent.</w:t>
      </w:r>
    </w:p>
    <w:p>
      <w:pPr>
        <w:spacing w:after="0" w:line="126"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ARTICLE 12 - MISCELLANEOUS</w:t>
      </w:r>
    </w:p>
    <w:p>
      <w:pPr>
        <w:spacing w:after="0" w:line="154" w:lineRule="exact"/>
        <w:rPr>
          <w:sz w:val="20"/>
          <w:szCs w:val="20"/>
          <w:color w:val="auto"/>
        </w:rPr>
      </w:pPr>
    </w:p>
    <w:p>
      <w:pPr>
        <w:jc w:val="both"/>
        <w:ind w:left="140" w:firstLine="836"/>
        <w:spacing w:after="0" w:line="252" w:lineRule="auto"/>
        <w:rPr>
          <w:sz w:val="20"/>
          <w:szCs w:val="20"/>
          <w:color w:val="auto"/>
        </w:rPr>
      </w:pPr>
      <w:r>
        <w:rPr>
          <w:rFonts w:ascii="Arial" w:cs="Arial" w:eastAsia="Arial" w:hAnsi="Arial"/>
          <w:sz w:val="14"/>
          <w:szCs w:val="14"/>
          <w:b w:val="1"/>
          <w:bCs w:val="1"/>
          <w:color w:val="auto"/>
        </w:rPr>
        <w:t xml:space="preserve">Section 12.1 </w:t>
      </w:r>
      <w:r>
        <w:rPr>
          <w:rFonts w:ascii="Arial" w:cs="Arial" w:eastAsia="Arial" w:hAnsi="Arial"/>
          <w:sz w:val="14"/>
          <w:szCs w:val="14"/>
          <w:u w:val="single" w:color="auto"/>
          <w:color w:val="auto"/>
        </w:rPr>
        <w:t>Survival</w:t>
      </w:r>
      <w:r>
        <w:rPr>
          <w:rFonts w:ascii="Arial" w:cs="Arial" w:eastAsia="Arial" w:hAnsi="Arial"/>
          <w:sz w:val="14"/>
          <w:szCs w:val="14"/>
          <w:color w:val="auto"/>
        </w:rPr>
        <w:t>. All agreements, representations and warranties made herein and in every other Financing Document shall survive the execution and delivery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other Financing Documents and the other Operative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26" w:lineRule="exact"/>
        <w:rPr>
          <w:sz w:val="20"/>
          <w:szCs w:val="20"/>
          <w:color w:val="auto"/>
        </w:rPr>
      </w:pPr>
    </w:p>
    <w:p>
      <w:pPr>
        <w:jc w:val="both"/>
        <w:ind w:left="140" w:right="20" w:firstLine="837"/>
        <w:spacing w:after="0" w:line="274" w:lineRule="auto"/>
        <w:rPr>
          <w:sz w:val="20"/>
          <w:szCs w:val="20"/>
          <w:color w:val="auto"/>
        </w:rPr>
      </w:pPr>
      <w:r>
        <w:rPr>
          <w:rFonts w:ascii="Arial" w:cs="Arial" w:eastAsia="Arial" w:hAnsi="Arial"/>
          <w:sz w:val="14"/>
          <w:szCs w:val="14"/>
          <w:b w:val="1"/>
          <w:bCs w:val="1"/>
          <w:color w:val="auto"/>
        </w:rPr>
        <w:t xml:space="preserve">Section 12.2 </w:t>
      </w:r>
      <w:r>
        <w:rPr>
          <w:rFonts w:ascii="Arial" w:cs="Arial" w:eastAsia="Arial" w:hAnsi="Arial"/>
          <w:sz w:val="14"/>
          <w:szCs w:val="14"/>
          <w:u w:val="single" w:color="auto"/>
          <w:color w:val="auto"/>
        </w:rPr>
        <w:t>No Waivers</w:t>
      </w:r>
      <w:r>
        <w:rPr>
          <w:rFonts w:ascii="Arial" w:cs="Arial" w:eastAsia="Arial" w:hAnsi="Arial"/>
          <w:sz w:val="14"/>
          <w:szCs w:val="14"/>
          <w:color w:val="auto"/>
        </w:rPr>
        <w:t>. No failure or delay by Agent or any Lender in exercising any right, power or privilege under any Financing Document shall operate as a waiver thereof nor</w:t>
      </w:r>
      <w:r>
        <w:rPr>
          <w:rFonts w:ascii="Arial" w:cs="Arial" w:eastAsia="Arial" w:hAnsi="Arial"/>
          <w:sz w:val="14"/>
          <w:szCs w:val="14"/>
          <w:b w:val="1"/>
          <w:bCs w:val="1"/>
          <w:color w:val="auto"/>
        </w:rPr>
        <w:t xml:space="preserve"> </w:t>
      </w:r>
      <w:r>
        <w:rPr>
          <w:rFonts w:ascii="Arial" w:cs="Arial" w:eastAsia="Arial" w:hAnsi="Arial"/>
          <w:sz w:val="14"/>
          <w:szCs w:val="14"/>
          <w:color w:val="auto"/>
        </w:rPr>
        <w:t>shall any single</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81</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43" w:name="page144"/>
    <w:bookmarkEnd w:id="143"/>
    <w:p>
      <w:pPr>
        <w:jc w:val="both"/>
        <w:ind w:left="140"/>
        <w:spacing w:after="0" w:line="250" w:lineRule="auto"/>
        <w:rPr>
          <w:sz w:val="20"/>
          <w:szCs w:val="20"/>
          <w:color w:val="auto"/>
        </w:rPr>
      </w:pPr>
      <w:r>
        <w:rPr>
          <w:rFonts w:ascii="Arial" w:cs="Arial" w:eastAsia="Arial" w:hAnsi="Arial"/>
          <w:sz w:val="14"/>
          <w:szCs w:val="14"/>
          <w:color w:val="auto"/>
        </w:rPr>
        <w:t>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12.3</w:t>
            </w:r>
          </w:p>
        </w:tc>
        <w:tc>
          <w:tcPr>
            <w:tcW w:w="76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Notices.</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318"/>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ind w:left="700"/>
              <w:spacing w:after="0"/>
              <w:rPr>
                <w:sz w:val="20"/>
                <w:szCs w:val="20"/>
                <w:color w:val="auto"/>
              </w:rPr>
            </w:pPr>
            <w:r>
              <w:rPr>
                <w:rFonts w:ascii="Arial" w:cs="Arial" w:eastAsia="Arial" w:hAnsi="Arial"/>
                <w:sz w:val="14"/>
                <w:szCs w:val="14"/>
                <w:color w:val="auto"/>
                <w:w w:val="96"/>
              </w:rPr>
              <w:t>All notices, requests and other communications to any party hereunder shall be in writing (including prepaid overnight courier, facsimile</w:t>
            </w:r>
          </w:p>
        </w:tc>
      </w:tr>
    </w:tbl>
    <w:p>
      <w:pPr>
        <w:spacing w:after="0" w:line="1" w:lineRule="exact"/>
        <w:rPr>
          <w:sz w:val="20"/>
          <w:szCs w:val="20"/>
          <w:color w:val="auto"/>
        </w:rPr>
      </w:pPr>
    </w:p>
    <w:p>
      <w:pPr>
        <w:sectPr>
          <w:pgSz w:w="11900" w:h="16838" w:orient="portrait"/>
          <w:cols w:equalWidth="0" w:num="1">
            <w:col w:w="11340"/>
          </w:cols>
          <w:pgMar w:left="240" w:top="165" w:right="319" w:bottom="1440" w:gutter="0" w:footer="0" w:header="0"/>
        </w:sectPr>
      </w:pPr>
    </w:p>
    <w:p>
      <w:pPr>
        <w:jc w:val="both"/>
        <w:ind w:left="1660" w:right="120"/>
        <w:spacing w:after="0" w:line="289" w:lineRule="auto"/>
        <w:rPr>
          <w:sz w:val="20"/>
          <w:szCs w:val="20"/>
          <w:color w:val="auto"/>
        </w:rPr>
      </w:pPr>
      <w:r>
        <w:rPr>
          <w:rFonts w:ascii="Arial" w:cs="Arial" w:eastAsia="Arial" w:hAnsi="Arial"/>
          <w:sz w:val="12"/>
          <w:szCs w:val="12"/>
          <w:color w:val="auto"/>
        </w:rPr>
        <w:t xml:space="preserve">transmission or similar writing) and shall be given to such party at its address, facsimile number or e-mail address set forth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notices, requests or other communications shall be permitted by electronic means only in accordance with the provisions of Section 12.3(b) and (c). Each such notice, request or other communication shall be effective (i) if given by facsimile, when such notice is transmitted to the facsimile number specified by this Section and the sender receives a confirmation of transmission from the sending facsimile machine, or (ii) if given by mail, prepaid overnight courier or any other means, when received or when receipt is refused at the applicable address specified by this Section 12.3(a).</w:t>
      </w:r>
    </w:p>
    <w:p>
      <w:pPr>
        <w:sectPr>
          <w:pgSz w:w="11900" w:h="16838" w:orient="portrait"/>
          <w:cols w:equalWidth="0" w:num="1">
            <w:col w:w="11340"/>
          </w:cols>
          <w:pgMar w:left="240" w:top="165" w:right="319" w:bottom="1440" w:gutter="0" w:footer="0" w:header="0"/>
          <w:type w:val="continuous"/>
        </w:sectPr>
      </w:pPr>
    </w:p>
    <w:p>
      <w:pPr>
        <w:spacing w:after="0" w:line="10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both"/>
        <w:ind w:right="120" w:firstLine="1429"/>
        <w:spacing w:after="0" w:line="248" w:lineRule="auto"/>
        <w:rPr>
          <w:sz w:val="20"/>
          <w:szCs w:val="20"/>
          <w:color w:val="auto"/>
        </w:rPr>
      </w:pPr>
      <w:r>
        <w:rPr>
          <w:rFonts w:ascii="Arial" w:cs="Arial" w:eastAsia="Arial" w:hAnsi="Arial"/>
          <w:sz w:val="14"/>
          <w:szCs w:val="14"/>
          <w:color w:val="auto"/>
        </w:rPr>
        <w:t xml:space="preserve">Notices and other communications to the parties hereto may be delivered or furnished by electronic communication (including e-mail and Internet or intranet websites) pursuant to procedures approved from time to time by Agent,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foregoing shall not apply to notices sent directly to any Lender if such Lender has notified Agent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approval of such procedures may be limited to particular notices or communications.</w:t>
      </w:r>
    </w:p>
    <w:p>
      <w:pPr>
        <w:spacing w:after="0" w:line="132"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jc w:val="both"/>
        <w:ind w:right="120" w:firstLine="1429"/>
        <w:spacing w:after="0" w:line="247" w:lineRule="auto"/>
        <w:rPr>
          <w:sz w:val="20"/>
          <w:szCs w:val="20"/>
          <w:color w:val="auto"/>
        </w:rPr>
      </w:pPr>
      <w:r>
        <w:rPr>
          <w:rFonts w:ascii="Arial" w:cs="Arial" w:eastAsia="Arial" w:hAnsi="Arial"/>
          <w:sz w:val="14"/>
          <w:szCs w:val="14"/>
          <w:color w:val="auto"/>
        </w:rPr>
        <w:t xml:space="preserve">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any such notice or other communication is not sent or posted during normal business hours, such notice or communication shall be deemed to have been sent at the opening of business on the next Business Day.</w:t>
      </w:r>
    </w:p>
    <w:p>
      <w:pPr>
        <w:spacing w:after="0" w:line="128"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ind w:left="140" w:right="20" w:firstLine="836"/>
        <w:spacing w:after="0" w:line="313" w:lineRule="auto"/>
        <w:rPr>
          <w:sz w:val="20"/>
          <w:szCs w:val="20"/>
          <w:color w:val="auto"/>
        </w:rPr>
      </w:pPr>
      <w:r>
        <w:rPr>
          <w:rFonts w:ascii="Arial" w:cs="Arial" w:eastAsia="Arial" w:hAnsi="Arial"/>
          <w:sz w:val="13"/>
          <w:szCs w:val="13"/>
          <w:b w:val="1"/>
          <w:bCs w:val="1"/>
          <w:color w:val="auto"/>
        </w:rPr>
        <w:t xml:space="preserve">Section 12.4 </w:t>
      </w:r>
      <w:r>
        <w:rPr>
          <w:rFonts w:ascii="Arial" w:cs="Arial" w:eastAsia="Arial" w:hAnsi="Arial"/>
          <w:sz w:val="13"/>
          <w:szCs w:val="13"/>
          <w:u w:val="single" w:color="auto"/>
          <w:color w:val="auto"/>
        </w:rPr>
        <w:t>Severability</w:t>
      </w:r>
      <w:r>
        <w:rPr>
          <w:rFonts w:ascii="Arial" w:cs="Arial" w:eastAsia="Arial" w:hAnsi="Arial"/>
          <w:sz w:val="13"/>
          <w:szCs w:val="13"/>
          <w:color w:val="auto"/>
        </w:rPr>
        <w:t>. In case any provision of or obligation under this Agreement or any other Financing Document shall be invalid, illegal or unenforceable in any jurisdiction,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validity, legality and enforceability of the remaining provisions or obligations, or of such provision or obligation in any other jurisdiction, shall not in any way be affected or impaired thereby.</w:t>
      </w:r>
    </w:p>
    <w:p>
      <w:pPr>
        <w:spacing w:after="0" w:line="87" w:lineRule="exact"/>
        <w:rPr>
          <w:sz w:val="20"/>
          <w:szCs w:val="20"/>
          <w:color w:val="auto"/>
        </w:rPr>
      </w:pPr>
    </w:p>
    <w:p>
      <w:pPr>
        <w:ind w:left="140" w:firstLine="837"/>
        <w:spacing w:after="0" w:line="274" w:lineRule="auto"/>
        <w:rPr>
          <w:sz w:val="20"/>
          <w:szCs w:val="20"/>
          <w:color w:val="auto"/>
        </w:rPr>
      </w:pPr>
      <w:r>
        <w:rPr>
          <w:rFonts w:ascii="Arial" w:cs="Arial" w:eastAsia="Arial" w:hAnsi="Arial"/>
          <w:sz w:val="14"/>
          <w:szCs w:val="14"/>
          <w:b w:val="1"/>
          <w:bCs w:val="1"/>
          <w:color w:val="auto"/>
        </w:rPr>
        <w:t xml:space="preserve">Section 12.5 </w:t>
      </w:r>
      <w:r>
        <w:rPr>
          <w:rFonts w:ascii="Arial" w:cs="Arial" w:eastAsia="Arial" w:hAnsi="Arial"/>
          <w:sz w:val="14"/>
          <w:szCs w:val="14"/>
          <w:u w:val="single" w:color="auto"/>
          <w:color w:val="auto"/>
        </w:rPr>
        <w:t>Headings</w:t>
      </w:r>
      <w:r>
        <w:rPr>
          <w:rFonts w:ascii="Arial" w:cs="Arial" w:eastAsia="Arial" w:hAnsi="Arial"/>
          <w:sz w:val="14"/>
          <w:szCs w:val="14"/>
          <w:color w:val="auto"/>
        </w:rPr>
        <w:t>. Headings and captions used in the Financing Documents (including the Exhibits, Schedules and Annexes hereto and thereto) are included for convenience of</w:t>
      </w:r>
      <w:r>
        <w:rPr>
          <w:rFonts w:ascii="Arial" w:cs="Arial" w:eastAsia="Arial" w:hAnsi="Arial"/>
          <w:sz w:val="14"/>
          <w:szCs w:val="14"/>
          <w:b w:val="1"/>
          <w:bCs w:val="1"/>
          <w:color w:val="auto"/>
        </w:rPr>
        <w:t xml:space="preserve"> </w:t>
      </w:r>
      <w:r>
        <w:rPr>
          <w:rFonts w:ascii="Arial" w:cs="Arial" w:eastAsia="Arial" w:hAnsi="Arial"/>
          <w:sz w:val="14"/>
          <w:szCs w:val="14"/>
          <w:color w:val="auto"/>
        </w:rPr>
        <w:t>reference only and shall not be given any substantive effect.</w:t>
      </w:r>
    </w:p>
    <w:p>
      <w:pPr>
        <w:spacing w:after="0" w:line="27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82</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44" w:name="page145"/>
    <w:bookmarkEnd w:id="144"/>
    <w:tbl>
      <w:tblPr>
        <w:tblLayout w:type="fixed"/>
        <w:tblInd w:w="220" w:type="dxa"/>
        <w:tblCellMar>
          <w:top w:w="0" w:type="dxa"/>
          <w:left w:w="0" w:type="dxa"/>
          <w:bottom w:w="0" w:type="dxa"/>
          <w:right w:w="0" w:type="dxa"/>
        </w:tblCellMar>
      </w:tblPr>
      <w:tr>
        <w:trPr>
          <w:trHeight w:val="161"/>
        </w:trPr>
        <w:tc>
          <w:tcPr>
            <w:tcW w:w="2240" w:type="dxa"/>
            <w:vAlign w:val="bottom"/>
          </w:tcPr>
          <w:p>
            <w:pPr>
              <w:ind w:left="780"/>
              <w:spacing w:after="0"/>
              <w:rPr>
                <w:sz w:val="20"/>
                <w:szCs w:val="20"/>
                <w:color w:val="auto"/>
              </w:rPr>
            </w:pPr>
            <w:r>
              <w:rPr>
                <w:rFonts w:ascii="Arial" w:cs="Arial" w:eastAsia="Arial" w:hAnsi="Arial"/>
                <w:sz w:val="14"/>
                <w:szCs w:val="14"/>
                <w:b w:val="1"/>
                <w:bCs w:val="1"/>
                <w:color w:val="auto"/>
              </w:rPr>
              <w:t>Section 12.6</w:t>
            </w:r>
          </w:p>
        </w:tc>
        <w:tc>
          <w:tcPr>
            <w:tcW w:w="70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Arial" w:cs="Arial" w:eastAsia="Arial" w:hAnsi="Arial"/>
                <w:sz w:val="14"/>
                <w:szCs w:val="14"/>
                <w:color w:val="auto"/>
              </w:rPr>
              <w:t>Confidentiality.</w:t>
            </w:r>
          </w:p>
        </w:tc>
      </w:tr>
      <w:tr>
        <w:trPr>
          <w:trHeight w:val="20"/>
        </w:trPr>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318"/>
        </w:trPr>
        <w:tc>
          <w:tcPr>
            <w:tcW w:w="2240" w:type="dxa"/>
            <w:vAlign w:val="bottom"/>
          </w:tcPr>
          <w:p>
            <w:pPr>
              <w:ind w:left="1740"/>
              <w:spacing w:after="0"/>
              <w:rPr>
                <w:sz w:val="20"/>
                <w:szCs w:val="20"/>
                <w:color w:val="auto"/>
              </w:rPr>
            </w:pPr>
            <w:r>
              <w:rPr>
                <w:rFonts w:ascii="Arial" w:cs="Arial" w:eastAsia="Arial" w:hAnsi="Arial"/>
                <w:sz w:val="14"/>
                <w:szCs w:val="14"/>
                <w:color w:val="auto"/>
              </w:rPr>
              <w:t>(a)</w:t>
            </w:r>
          </w:p>
        </w:tc>
        <w:tc>
          <w:tcPr>
            <w:tcW w:w="8760" w:type="dxa"/>
            <w:vAlign w:val="bottom"/>
            <w:gridSpan w:val="3"/>
          </w:tcPr>
          <w:p>
            <w:pPr>
              <w:ind w:left="360"/>
              <w:spacing w:after="0"/>
              <w:rPr>
                <w:sz w:val="20"/>
                <w:szCs w:val="20"/>
                <w:color w:val="auto"/>
              </w:rPr>
            </w:pPr>
            <w:r>
              <w:rPr>
                <w:rFonts w:ascii="Arial" w:cs="Arial" w:eastAsia="Arial" w:hAnsi="Arial"/>
                <w:sz w:val="14"/>
                <w:szCs w:val="14"/>
                <w:color w:val="auto"/>
              </w:rPr>
              <w:t>[Reserved].</w:t>
            </w:r>
          </w:p>
        </w:tc>
      </w:tr>
      <w:tr>
        <w:trPr>
          <w:trHeight w:val="311"/>
        </w:trPr>
        <w:tc>
          <w:tcPr>
            <w:tcW w:w="2240" w:type="dxa"/>
            <w:vAlign w:val="bottom"/>
          </w:tcPr>
          <w:p>
            <w:pPr>
              <w:spacing w:after="0"/>
              <w:rPr>
                <w:sz w:val="20"/>
                <w:szCs w:val="20"/>
                <w:color w:val="auto"/>
              </w:rPr>
            </w:pPr>
            <w:r>
              <w:rPr>
                <w:rFonts w:ascii="Arial" w:cs="Arial" w:eastAsia="Arial" w:hAnsi="Arial"/>
                <w:sz w:val="14"/>
                <w:szCs w:val="14"/>
                <w:color w:val="auto"/>
              </w:rPr>
              <w:t>(b)</w:t>
            </w:r>
          </w:p>
        </w:tc>
        <w:tc>
          <w:tcPr>
            <w:tcW w:w="8760" w:type="dxa"/>
            <w:vAlign w:val="bottom"/>
            <w:gridSpan w:val="3"/>
          </w:tcPr>
          <w:p>
            <w:pPr>
              <w:ind w:left="640"/>
              <w:spacing w:after="0"/>
              <w:rPr>
                <w:sz w:val="20"/>
                <w:szCs w:val="20"/>
                <w:color w:val="auto"/>
              </w:rPr>
            </w:pPr>
            <w:r>
              <w:rPr>
                <w:rFonts w:ascii="Arial" w:cs="Arial" w:eastAsia="Arial" w:hAnsi="Arial"/>
                <w:sz w:val="14"/>
                <w:szCs w:val="14"/>
                <w:color w:val="auto"/>
                <w:w w:val="89"/>
              </w:rPr>
              <w:t>Agent and each Lender shall hold all non-public information regarding the Credit Parties and their respective businesses and obtained by Agent or</w:t>
            </w:r>
          </w:p>
        </w:tc>
      </w:tr>
    </w:tbl>
    <w:p>
      <w:pPr>
        <w:jc w:val="both"/>
        <w:ind w:left="1660" w:right="120"/>
        <w:spacing w:after="0" w:line="286" w:lineRule="auto"/>
        <w:rPr>
          <w:sz w:val="20"/>
          <w:szCs w:val="20"/>
          <w:color w:val="auto"/>
        </w:rPr>
      </w:pPr>
      <w:r>
        <w:rPr>
          <w:rFonts w:ascii="Arial" w:cs="Arial" w:eastAsia="Arial" w:hAnsi="Arial"/>
          <w:sz w:val="12"/>
          <w:szCs w:val="12"/>
          <w:color w:val="auto"/>
        </w:rPr>
        <w:t xml:space="preserve">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such Persons are bound by obligations of confidentiality, (iii) as required by Law, subpoena, judicial order or similar order and in connection with any litigation,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Arial" w:cs="Arial" w:eastAsia="Arial" w:hAnsi="Arial"/>
          <w:sz w:val="12"/>
          <w:szCs w:val="12"/>
          <w:b w:val="1"/>
          <w:bCs w:val="1"/>
          <w:color w:val="auto"/>
        </w:rPr>
        <w:t>Securitization</w:t>
      </w:r>
      <w:r>
        <w:rPr>
          <w:rFonts w:ascii="Arial" w:cs="Arial" w:eastAsia="Arial" w:hAnsi="Arial"/>
          <w:sz w:val="12"/>
          <w:szCs w:val="12"/>
          <w:color w:val="auto"/>
        </w:rPr>
        <w:t xml:space="preserve">” shall mean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Agent does not have actual knowledge that such Person is prohibited from disclosing such information. The obligations of Agent and Lenders under this Section 12.6 shall supersede and replace the obligations of Agent and Lenders under any confidentiality agreement in respect of this financing executed and delivered by Agent or any Lender prior to the date hereof.</w:t>
      </w:r>
    </w:p>
    <w:p>
      <w:pPr>
        <w:spacing w:after="0" w:line="109" w:lineRule="exact"/>
        <w:rPr>
          <w:sz w:val="20"/>
          <w:szCs w:val="20"/>
          <w:color w:val="auto"/>
        </w:rPr>
      </w:pPr>
    </w:p>
    <w:p>
      <w:pPr>
        <w:jc w:val="both"/>
        <w:ind w:left="140" w:firstLine="837"/>
        <w:spacing w:after="0" w:line="301" w:lineRule="auto"/>
        <w:rPr>
          <w:sz w:val="20"/>
          <w:szCs w:val="20"/>
          <w:color w:val="auto"/>
        </w:rPr>
      </w:pPr>
      <w:r>
        <w:rPr>
          <w:rFonts w:ascii="Arial" w:cs="Arial" w:eastAsia="Arial" w:hAnsi="Arial"/>
          <w:sz w:val="12"/>
          <w:szCs w:val="12"/>
          <w:b w:val="1"/>
          <w:bCs w:val="1"/>
          <w:color w:val="auto"/>
        </w:rPr>
        <w:t xml:space="preserve">Section 12.7 </w:t>
      </w:r>
      <w:r>
        <w:rPr>
          <w:rFonts w:ascii="Arial" w:cs="Arial" w:eastAsia="Arial" w:hAnsi="Arial"/>
          <w:sz w:val="12"/>
          <w:szCs w:val="12"/>
          <w:u w:val="single" w:color="auto"/>
          <w:color w:val="auto"/>
        </w:rPr>
        <w:t>Waiver of Consequential and Other Damages</w:t>
      </w:r>
      <w:r>
        <w:rPr>
          <w:rFonts w:ascii="Arial" w:cs="Arial" w:eastAsia="Arial" w:hAnsi="Arial"/>
          <w:sz w:val="12"/>
          <w:szCs w:val="12"/>
          <w:color w:val="auto"/>
        </w:rPr>
        <w:t>. To the fullest extent permitted by applicable law, no Borrower shall assert, and each Borrower hereby waives, any claim</w:t>
      </w:r>
      <w:r>
        <w:rPr>
          <w:rFonts w:ascii="Arial" w:cs="Arial" w:eastAsia="Arial" w:hAnsi="Arial"/>
          <w:sz w:val="12"/>
          <w:szCs w:val="12"/>
          <w:b w:val="1"/>
          <w:bCs w:val="1"/>
          <w:color w:val="auto"/>
        </w:rPr>
        <w:t xml:space="preserve"> </w:t>
      </w:r>
      <w:r>
        <w:rPr>
          <w:rFonts w:ascii="Arial" w:cs="Arial" w:eastAsia="Arial" w:hAnsi="Arial"/>
          <w:sz w:val="12"/>
          <w:szCs w:val="12"/>
          <w:color w:val="auto"/>
        </w:rPr>
        <w:t>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80" w:type="dxa"/>
            <w:vAlign w:val="bottom"/>
          </w:tcPr>
          <w:p>
            <w:pPr>
              <w:ind w:left="780"/>
              <w:spacing w:after="0"/>
              <w:rPr>
                <w:sz w:val="20"/>
                <w:szCs w:val="20"/>
                <w:color w:val="auto"/>
              </w:rPr>
            </w:pPr>
            <w:r>
              <w:rPr>
                <w:rFonts w:ascii="Arial" w:cs="Arial" w:eastAsia="Arial" w:hAnsi="Arial"/>
                <w:sz w:val="14"/>
                <w:szCs w:val="14"/>
                <w:b w:val="1"/>
                <w:bCs w:val="1"/>
                <w:color w:val="auto"/>
              </w:rPr>
              <w:t>Section 12.8</w:t>
            </w:r>
          </w:p>
        </w:tc>
        <w:tc>
          <w:tcPr>
            <w:tcW w:w="76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GOVERNING LAW; SUBMISSION TO JURISDICTION.</w:t>
            </w:r>
          </w:p>
        </w:tc>
      </w:tr>
      <w:tr>
        <w:trPr>
          <w:trHeight w:val="20"/>
        </w:trPr>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14"/>
        </w:trPr>
        <w:tc>
          <w:tcPr>
            <w:tcW w:w="2180" w:type="dxa"/>
            <w:vAlign w:val="bottom"/>
          </w:tcPr>
          <w:p>
            <w:pPr>
              <w:spacing w:after="0"/>
              <w:rPr>
                <w:sz w:val="20"/>
                <w:szCs w:val="20"/>
                <w:color w:val="auto"/>
              </w:rPr>
            </w:pPr>
            <w:r>
              <w:rPr>
                <w:rFonts w:ascii="Arial" w:cs="Arial" w:eastAsia="Arial" w:hAnsi="Arial"/>
                <w:sz w:val="14"/>
                <w:szCs w:val="14"/>
                <w:color w:val="auto"/>
              </w:rPr>
              <w:t>(a)</w:t>
            </w:r>
          </w:p>
        </w:tc>
        <w:tc>
          <w:tcPr>
            <w:tcW w:w="8800" w:type="dxa"/>
            <w:vAlign w:val="bottom"/>
            <w:gridSpan w:val="3"/>
          </w:tcPr>
          <w:p>
            <w:pPr>
              <w:ind w:left="700"/>
              <w:spacing w:after="0"/>
              <w:rPr>
                <w:sz w:val="20"/>
                <w:szCs w:val="20"/>
                <w:color w:val="auto"/>
              </w:rPr>
            </w:pPr>
            <w:r>
              <w:rPr>
                <w:rFonts w:ascii="Arial" w:cs="Arial" w:eastAsia="Arial" w:hAnsi="Arial"/>
                <w:sz w:val="14"/>
                <w:szCs w:val="14"/>
                <w:color w:val="auto"/>
              </w:rPr>
              <w:t>THIS AGREEMENT, EACH NOTE AND EACH OTHER FINANCING DOCUMENT, AND ALL DISPUTES AND OTHER MATTERS</w:t>
            </w: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800" w:type="dxa"/>
            <w:vAlign w:val="bottom"/>
          </w:tcPr>
          <w:p>
            <w:pPr>
              <w:spacing w:after="0"/>
              <w:rPr>
                <w:sz w:val="13"/>
                <w:szCs w:val="13"/>
                <w:color w:val="auto"/>
              </w:rPr>
            </w:pPr>
          </w:p>
        </w:tc>
        <w:tc>
          <w:tcPr>
            <w:tcW w:w="10200" w:type="dxa"/>
            <w:vAlign w:val="bottom"/>
          </w:tcPr>
          <w:p>
            <w:pPr>
              <w:ind w:left="640"/>
              <w:spacing w:after="0" w:line="151" w:lineRule="exact"/>
              <w:rPr>
                <w:sz w:val="20"/>
                <w:szCs w:val="20"/>
                <w:color w:val="auto"/>
              </w:rPr>
            </w:pPr>
            <w:r>
              <w:rPr>
                <w:rFonts w:ascii="Arial" w:cs="Arial" w:eastAsia="Arial" w:hAnsi="Arial"/>
                <w:sz w:val="14"/>
                <w:szCs w:val="14"/>
                <w:color w:val="auto"/>
                <w:w w:val="98"/>
              </w:rPr>
              <w:t>RELATING HERETO OR THERETO OR ARISING THEREFROM (WHETHER SOUNDING IN CONTRACT LAW, TORT LAW OR OTHERWISE), SHALL BE</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w w:val="94"/>
              </w:rPr>
              <w:t>GOVERNED BY, AND SHALL BE CONSTRUED AND ENFORCED IN ACCORDANCE WITH, THE LAWS OF THE STATE OF NEW YORK, WITHOUT REGARD</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10200" w:type="dxa"/>
            <w:vAlign w:val="bottom"/>
          </w:tcPr>
          <w:p>
            <w:pPr>
              <w:ind w:left="640"/>
              <w:spacing w:after="0"/>
              <w:rPr>
                <w:sz w:val="20"/>
                <w:szCs w:val="20"/>
                <w:color w:val="auto"/>
              </w:rPr>
            </w:pPr>
            <w:r>
              <w:rPr>
                <w:rFonts w:ascii="Arial" w:cs="Arial" w:eastAsia="Arial" w:hAnsi="Arial"/>
                <w:sz w:val="14"/>
                <w:szCs w:val="14"/>
                <w:color w:val="auto"/>
              </w:rPr>
              <w:t>TO CONFLICTS OF LAWS PRINCIPLES.</w:t>
            </w:r>
          </w:p>
        </w:tc>
        <w:tc>
          <w:tcPr>
            <w:tcW w:w="0" w:type="dxa"/>
            <w:vAlign w:val="bottom"/>
          </w:tcPr>
          <w:p>
            <w:pPr>
              <w:spacing w:after="0"/>
              <w:rPr>
                <w:sz w:val="1"/>
                <w:szCs w:val="1"/>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4"/>
                <w:szCs w:val="14"/>
                <w:color w:val="auto"/>
              </w:rPr>
              <w:t>(b)</w:t>
            </w:r>
          </w:p>
        </w:tc>
        <w:tc>
          <w:tcPr>
            <w:tcW w:w="10200" w:type="dxa"/>
            <w:vAlign w:val="bottom"/>
          </w:tcPr>
          <w:p>
            <w:pPr>
              <w:ind w:left="2060"/>
              <w:spacing w:after="0"/>
              <w:rPr>
                <w:sz w:val="20"/>
                <w:szCs w:val="20"/>
                <w:color w:val="auto"/>
              </w:rPr>
            </w:pPr>
            <w:r>
              <w:rPr>
                <w:rFonts w:ascii="Arial" w:cs="Arial" w:eastAsia="Arial" w:hAnsi="Arial"/>
                <w:sz w:val="14"/>
                <w:szCs w:val="14"/>
                <w:color w:val="auto"/>
                <w:w w:val="95"/>
              </w:rPr>
              <w:t>EACH BORROWER HEREBY CONSENTS TO THE JURISDICTION OF ANY STATE OR FEDERAL COURT LOCATED IN THE STATE</w:t>
            </w:r>
          </w:p>
        </w:tc>
        <w:tc>
          <w:tcPr>
            <w:tcW w:w="0" w:type="dxa"/>
            <w:vAlign w:val="bottom"/>
          </w:tcPr>
          <w:p>
            <w:pPr>
              <w:spacing w:after="0"/>
              <w:rPr>
                <w:sz w:val="1"/>
                <w:szCs w:val="1"/>
                <w:color w:val="auto"/>
              </w:rPr>
            </w:pPr>
          </w:p>
        </w:tc>
      </w:tr>
      <w:tr>
        <w:trPr>
          <w:trHeight w:val="179"/>
        </w:trPr>
        <w:tc>
          <w:tcPr>
            <w:tcW w:w="800" w:type="dxa"/>
            <w:vAlign w:val="bottom"/>
            <w:vMerge w:val="restart"/>
          </w:tcPr>
          <w:p>
            <w:pPr>
              <w:spacing w:after="0"/>
              <w:rPr>
                <w:sz w:val="20"/>
                <w:szCs w:val="20"/>
                <w:color w:val="auto"/>
              </w:rPr>
            </w:pPr>
            <w:r>
              <w:rPr>
                <w:rFonts w:ascii="Arial" w:cs="Arial" w:eastAsia="Arial" w:hAnsi="Arial"/>
                <w:sz w:val="14"/>
                <w:szCs w:val="14"/>
                <w:color w:val="auto"/>
              </w:rPr>
              <w:t>(a)</w:t>
            </w:r>
          </w:p>
        </w:tc>
        <w:tc>
          <w:tcPr>
            <w:tcW w:w="10200" w:type="dxa"/>
            <w:vAlign w:val="bottom"/>
          </w:tcPr>
          <w:p>
            <w:pPr>
              <w:ind w:left="640"/>
              <w:spacing w:after="0"/>
              <w:rPr>
                <w:sz w:val="20"/>
                <w:szCs w:val="20"/>
                <w:color w:val="auto"/>
              </w:rPr>
            </w:pPr>
            <w:r>
              <w:rPr>
                <w:rFonts w:ascii="Arial" w:cs="Arial" w:eastAsia="Arial" w:hAnsi="Arial"/>
                <w:sz w:val="14"/>
                <w:szCs w:val="14"/>
                <w:color w:val="auto"/>
              </w:rPr>
              <w:t>OF NEW YORK IN THE CITY OF</w:t>
            </w:r>
          </w:p>
        </w:tc>
        <w:tc>
          <w:tcPr>
            <w:tcW w:w="0" w:type="dxa"/>
            <w:vAlign w:val="bottom"/>
          </w:tcPr>
          <w:p>
            <w:pPr>
              <w:spacing w:after="0"/>
              <w:rPr>
                <w:sz w:val="1"/>
                <w:szCs w:val="1"/>
                <w:color w:val="auto"/>
              </w:rPr>
            </w:pPr>
          </w:p>
        </w:tc>
      </w:tr>
      <w:tr>
        <w:trPr>
          <w:trHeight w:val="162"/>
        </w:trPr>
        <w:tc>
          <w:tcPr>
            <w:tcW w:w="800" w:type="dxa"/>
            <w:vAlign w:val="bottom"/>
            <w:vMerge w:val="continue"/>
          </w:tcPr>
          <w:p>
            <w:pPr>
              <w:spacing w:after="0"/>
              <w:rPr>
                <w:sz w:val="14"/>
                <w:szCs w:val="14"/>
                <w:color w:val="auto"/>
              </w:rPr>
            </w:pPr>
          </w:p>
        </w:tc>
        <w:tc>
          <w:tcPr>
            <w:tcW w:w="10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0" w:type="dxa"/>
            <w:vAlign w:val="bottom"/>
          </w:tcPr>
          <w:p>
            <w:pPr>
              <w:spacing w:after="0"/>
              <w:rPr>
                <w:sz w:val="24"/>
                <w:szCs w:val="24"/>
                <w:color w:val="auto"/>
              </w:rPr>
            </w:pPr>
          </w:p>
        </w:tc>
        <w:tc>
          <w:tcPr>
            <w:tcW w:w="10200" w:type="dxa"/>
            <w:vAlign w:val="bottom"/>
          </w:tcPr>
          <w:p>
            <w:pPr>
              <w:ind w:left="9300"/>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bl>
    <w:p>
      <w:pPr>
        <w:spacing w:after="0" w:line="219" w:lineRule="auto"/>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50" w:right="319" w:bottom="1440" w:gutter="0" w:footer="0" w:header="0"/>
        </w:sectPr>
      </w:pPr>
    </w:p>
    <w:bookmarkStart w:id="145" w:name="page146"/>
    <w:bookmarkEnd w:id="145"/>
    <w:p>
      <w:pPr>
        <w:jc w:val="both"/>
        <w:ind w:left="140"/>
        <w:spacing w:after="0" w:line="247" w:lineRule="auto"/>
        <w:rPr>
          <w:sz w:val="20"/>
          <w:szCs w:val="20"/>
          <w:color w:val="auto"/>
        </w:rPr>
      </w:pPr>
      <w:r>
        <w:rPr>
          <w:rFonts w:ascii="Arial" w:cs="Arial" w:eastAsia="Arial" w:hAnsi="Arial"/>
          <w:sz w:val="14"/>
          <w:szCs w:val="14"/>
          <w:color w:val="auto"/>
        </w:rPr>
        <w:t>NEW YORK, BOROUGH OF MANHATTAN, AND IRREVOCABLY AGREES THAT, SUBJECT TO AGENT’S ELECTION, ALL ACTIONS OR PROCEEDINGS ARISING OUT OF OR RELATING TO THIS AGREEMENT OR THE OTHER FINANCING DOCUMENTS SHALL BE LITIGATED IN 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ectPr>
          <w:pgSz w:w="11900" w:h="16838" w:orient="portrait"/>
          <w:cols w:equalWidth="0" w:num="1">
            <w:col w:w="11340"/>
          </w:cols>
          <w:pgMar w:left="240" w:top="165" w:right="319" w:bottom="1440" w:gutter="0" w:footer="0" w:header="0"/>
        </w:sectPr>
      </w:pPr>
    </w:p>
    <w:p>
      <w:pPr>
        <w:spacing w:after="0" w:line="132"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both"/>
        <w:ind w:right="120" w:firstLine="1429"/>
        <w:spacing w:after="0" w:line="255" w:lineRule="auto"/>
        <w:rPr>
          <w:sz w:val="20"/>
          <w:szCs w:val="20"/>
          <w:color w:val="auto"/>
        </w:rPr>
      </w:pPr>
      <w:r>
        <w:rPr>
          <w:rFonts w:ascii="Arial" w:cs="Arial" w:eastAsia="Arial" w:hAnsi="Arial"/>
          <w:sz w:val="14"/>
          <w:szCs w:val="14"/>
          <w:color w:val="auto"/>
        </w:rPr>
        <w:t>Each Borrower, Agent and each Lender agree that each Loan (including those made on the Closing Date) shall be deemed to be made in, and the transactions contemplated hereunder and in any other Financing Document shall be deemed to have been performed in, the State of Maryland. Nothing in this Section 12.8(c) shall amend or modify Sections 12.8(a) or (b) in any respect.</w:t>
      </w:r>
    </w:p>
    <w:p>
      <w:pPr>
        <w:spacing w:after="0" w:line="122"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jc w:val="both"/>
        <w:ind w:left="140" w:firstLine="837"/>
        <w:spacing w:after="0" w:line="247" w:lineRule="auto"/>
        <w:rPr>
          <w:sz w:val="20"/>
          <w:szCs w:val="20"/>
          <w:color w:val="auto"/>
        </w:rPr>
      </w:pPr>
      <w:r>
        <w:rPr>
          <w:rFonts w:ascii="Arial" w:cs="Arial" w:eastAsia="Arial" w:hAnsi="Arial"/>
          <w:sz w:val="14"/>
          <w:szCs w:val="14"/>
          <w:b w:val="1"/>
          <w:bCs w:val="1"/>
          <w:color w:val="auto"/>
        </w:rPr>
        <w:t xml:space="preserve">Section 12.9 </w:t>
      </w:r>
      <w:r>
        <w:rPr>
          <w:rFonts w:ascii="Arial" w:cs="Arial" w:eastAsia="Arial" w:hAnsi="Arial"/>
          <w:sz w:val="14"/>
          <w:szCs w:val="14"/>
          <w:b w:val="1"/>
          <w:bCs w:val="1"/>
          <w:u w:val="single" w:color="auto"/>
          <w:color w:val="auto"/>
        </w:rPr>
        <w:t>WAIVER OF JURY TRIAL</w:t>
      </w:r>
      <w:r>
        <w:rPr>
          <w:rFonts w:ascii="Arial" w:cs="Arial" w:eastAsia="Arial" w:hAnsi="Arial"/>
          <w:sz w:val="14"/>
          <w:szCs w:val="14"/>
          <w:color w:val="auto"/>
        </w:rPr>
        <w:t>.</w:t>
      </w:r>
      <w:r>
        <w:rPr>
          <w:rFonts w:ascii="Arial" w:cs="Arial" w:eastAsia="Arial" w:hAnsi="Arial"/>
          <w:sz w:val="14"/>
          <w:szCs w:val="14"/>
          <w:b w:val="1"/>
          <w:bCs w:val="1"/>
          <w:color w:val="auto"/>
        </w:rPr>
        <w:t xml:space="preserve"> EACH BORROWER,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880" w:type="dxa"/>
            <w:vAlign w:val="bottom"/>
          </w:tcPr>
          <w:p>
            <w:pPr>
              <w:ind w:left="780"/>
              <w:spacing w:after="0"/>
              <w:rPr>
                <w:sz w:val="20"/>
                <w:szCs w:val="20"/>
                <w:color w:val="auto"/>
              </w:rPr>
            </w:pPr>
            <w:r>
              <w:rPr>
                <w:rFonts w:ascii="Arial" w:cs="Arial" w:eastAsia="Arial" w:hAnsi="Arial"/>
                <w:sz w:val="14"/>
                <w:szCs w:val="14"/>
                <w:b w:val="1"/>
                <w:bCs w:val="1"/>
                <w:color w:val="auto"/>
              </w:rPr>
              <w:t>Section 12.10</w:t>
            </w:r>
          </w:p>
        </w:tc>
        <w:tc>
          <w:tcPr>
            <w:tcW w:w="140" w:type="dxa"/>
            <w:vAlign w:val="bottom"/>
          </w:tcPr>
          <w:p>
            <w:pPr>
              <w:spacing w:after="0"/>
              <w:rPr>
                <w:sz w:val="14"/>
                <w:szCs w:val="14"/>
                <w:color w:val="auto"/>
              </w:rPr>
            </w:pPr>
          </w:p>
        </w:tc>
        <w:tc>
          <w:tcPr>
            <w:tcW w:w="7980" w:type="dxa"/>
            <w:vAlign w:val="bottom"/>
            <w:gridSpan w:val="4"/>
          </w:tcPr>
          <w:p>
            <w:pPr>
              <w:jc w:val="right"/>
              <w:ind w:right="6420"/>
              <w:spacing w:after="0"/>
              <w:rPr>
                <w:sz w:val="20"/>
                <w:szCs w:val="20"/>
                <w:color w:val="auto"/>
              </w:rPr>
            </w:pPr>
            <w:r>
              <w:rPr>
                <w:rFonts w:ascii="Arial" w:cs="Arial" w:eastAsia="Arial" w:hAnsi="Arial"/>
                <w:sz w:val="14"/>
                <w:szCs w:val="14"/>
                <w:color w:val="auto"/>
                <w:w w:val="90"/>
              </w:rPr>
              <w:t>Publication; Advertisement.</w:t>
            </w:r>
          </w:p>
        </w:tc>
      </w:tr>
      <w:tr>
        <w:trPr>
          <w:trHeight w:val="20"/>
        </w:trPr>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85"/>
        </w:trPr>
        <w:tc>
          <w:tcPr>
            <w:tcW w:w="2880" w:type="dxa"/>
            <w:vAlign w:val="bottom"/>
          </w:tcPr>
          <w:p>
            <w:pPr>
              <w:spacing w:after="0"/>
              <w:rPr>
                <w:sz w:val="20"/>
                <w:szCs w:val="20"/>
                <w:color w:val="auto"/>
              </w:rPr>
            </w:pPr>
            <w:r>
              <w:rPr>
                <w:rFonts w:ascii="Arial" w:cs="Arial" w:eastAsia="Arial" w:hAnsi="Arial"/>
                <w:sz w:val="14"/>
                <w:szCs w:val="14"/>
                <w:color w:val="auto"/>
              </w:rPr>
              <w:t>(a)</w:t>
            </w:r>
          </w:p>
        </w:tc>
        <w:tc>
          <w:tcPr>
            <w:tcW w:w="8120" w:type="dxa"/>
            <w:vAlign w:val="bottom"/>
            <w:gridSpan w:val="5"/>
          </w:tcPr>
          <w:p>
            <w:pPr>
              <w:jc w:val="right"/>
              <w:spacing w:after="0"/>
              <w:rPr>
                <w:sz w:val="20"/>
                <w:szCs w:val="20"/>
                <w:color w:val="auto"/>
              </w:rPr>
            </w:pPr>
            <w:r>
              <w:rPr>
                <w:rFonts w:ascii="Arial" w:cs="Arial" w:eastAsia="Arial" w:hAnsi="Arial"/>
                <w:sz w:val="14"/>
                <w:szCs w:val="14"/>
                <w:color w:val="auto"/>
                <w:w w:val="92"/>
              </w:rPr>
              <w:t>Publication. No Credit Party will directly or indirectly publish, disclose or otherwise use in any advertising material, promotional material, press</w:t>
            </w:r>
          </w:p>
        </w:tc>
      </w:tr>
      <w:tr>
        <w:trPr>
          <w:trHeight w:val="20"/>
        </w:trPr>
        <w:tc>
          <w:tcPr>
            <w:tcW w:w="28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2"/>
          </w:tcPr>
          <w:p>
            <w:pPr>
              <w:spacing w:after="0" w:line="20" w:lineRule="exact"/>
              <w:rPr>
                <w:sz w:val="1"/>
                <w:szCs w:val="1"/>
                <w:color w:val="auto"/>
              </w:rPr>
            </w:pPr>
          </w:p>
        </w:tc>
      </w:tr>
      <w:tr>
        <w:trPr>
          <w:trHeight w:val="158"/>
        </w:trPr>
        <w:tc>
          <w:tcPr>
            <w:tcW w:w="11000" w:type="dxa"/>
            <w:vAlign w:val="bottom"/>
            <w:gridSpan w:val="6"/>
          </w:tcPr>
          <w:p>
            <w:pPr>
              <w:jc w:val="right"/>
              <w:ind w:right="20"/>
              <w:spacing w:after="0" w:line="159" w:lineRule="exact"/>
              <w:rPr>
                <w:sz w:val="20"/>
                <w:szCs w:val="20"/>
                <w:color w:val="auto"/>
              </w:rPr>
            </w:pPr>
            <w:r>
              <w:rPr>
                <w:rFonts w:ascii="Arial" w:cs="Arial" w:eastAsia="Arial" w:hAnsi="Arial"/>
                <w:sz w:val="14"/>
                <w:szCs w:val="14"/>
                <w:color w:val="auto"/>
              </w:rPr>
              <w:t>release or interview, any reference to the name, logo or any trademark of MCF or any of its Affiliates or any reference to this Agreement or the financing evidenced hereby, in</w:t>
            </w:r>
          </w:p>
        </w:tc>
      </w:tr>
      <w:tr>
        <w:trPr>
          <w:trHeight w:val="162"/>
        </w:trPr>
        <w:tc>
          <w:tcPr>
            <w:tcW w:w="11000" w:type="dxa"/>
            <w:vAlign w:val="bottom"/>
            <w:gridSpan w:val="6"/>
          </w:tcPr>
          <w:p>
            <w:pPr>
              <w:jc w:val="right"/>
              <w:ind w:right="20"/>
              <w:spacing w:after="0"/>
              <w:rPr>
                <w:sz w:val="20"/>
                <w:szCs w:val="20"/>
                <w:color w:val="auto"/>
              </w:rPr>
            </w:pPr>
            <w:r>
              <w:rPr>
                <w:rFonts w:ascii="Arial" w:cs="Arial" w:eastAsia="Arial" w:hAnsi="Arial"/>
                <w:sz w:val="14"/>
                <w:szCs w:val="14"/>
                <w:color w:val="auto"/>
              </w:rPr>
              <w:t>any case except (i) as required by Law, subpoena or judicial or similar order, in which case the applicable Credit Party shall, to the extent legally permitted to do so, give</w:t>
            </w:r>
          </w:p>
        </w:tc>
      </w:tr>
      <w:tr>
        <w:trPr>
          <w:trHeight w:val="179"/>
        </w:trPr>
        <w:tc>
          <w:tcPr>
            <w:tcW w:w="11000" w:type="dxa"/>
            <w:vAlign w:val="bottom"/>
            <w:gridSpan w:val="6"/>
          </w:tcPr>
          <w:p>
            <w:pPr>
              <w:jc w:val="right"/>
              <w:ind w:right="3720"/>
              <w:spacing w:after="0"/>
              <w:rPr>
                <w:sz w:val="20"/>
                <w:szCs w:val="20"/>
                <w:color w:val="auto"/>
              </w:rPr>
            </w:pPr>
            <w:r>
              <w:rPr>
                <w:rFonts w:ascii="Arial" w:cs="Arial" w:eastAsia="Arial" w:hAnsi="Arial"/>
                <w:sz w:val="14"/>
                <w:szCs w:val="14"/>
                <w:color w:val="auto"/>
              </w:rPr>
              <w:t>Agent prior written notice of such publication or other disclosure, or (ii) with MCF’s prior written consent.</w:t>
            </w:r>
          </w:p>
        </w:tc>
      </w:tr>
      <w:tr>
        <w:trPr>
          <w:trHeight w:val="283"/>
        </w:trPr>
        <w:tc>
          <w:tcPr>
            <w:tcW w:w="2880" w:type="dxa"/>
            <w:vAlign w:val="bottom"/>
          </w:tcPr>
          <w:p>
            <w:pPr>
              <w:spacing w:after="0"/>
              <w:rPr>
                <w:sz w:val="20"/>
                <w:szCs w:val="20"/>
                <w:color w:val="auto"/>
              </w:rPr>
            </w:pPr>
            <w:r>
              <w:rPr>
                <w:rFonts w:ascii="Arial" w:cs="Arial" w:eastAsia="Arial" w:hAnsi="Arial"/>
                <w:sz w:val="14"/>
                <w:szCs w:val="14"/>
                <w:color w:val="auto"/>
              </w:rPr>
              <w:t>(b)</w:t>
            </w:r>
          </w:p>
        </w:tc>
        <w:tc>
          <w:tcPr>
            <w:tcW w:w="8120" w:type="dxa"/>
            <w:vAlign w:val="bottom"/>
            <w:gridSpan w:val="5"/>
          </w:tcPr>
          <w:p>
            <w:pPr>
              <w:jc w:val="right"/>
              <w:spacing w:after="0"/>
              <w:rPr>
                <w:sz w:val="20"/>
                <w:szCs w:val="20"/>
                <w:color w:val="auto"/>
              </w:rPr>
            </w:pPr>
            <w:r>
              <w:rPr>
                <w:rFonts w:ascii="Arial" w:cs="Arial" w:eastAsia="Arial" w:hAnsi="Arial"/>
                <w:sz w:val="14"/>
                <w:szCs w:val="14"/>
                <w:color w:val="auto"/>
                <w:w w:val="90"/>
              </w:rPr>
              <w:t>Advertisement. Each Lender and each Credit Party hereby authorizes MCF to publish the name of such Lender and Credit Party, the existence of</w:t>
            </w:r>
          </w:p>
        </w:tc>
      </w:tr>
      <w:tr>
        <w:trPr>
          <w:trHeight w:val="20"/>
        </w:trPr>
        <w:tc>
          <w:tcPr>
            <w:tcW w:w="2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7" w:lineRule="exact"/>
        <w:rPr>
          <w:sz w:val="20"/>
          <w:szCs w:val="20"/>
          <w:color w:val="auto"/>
        </w:rPr>
      </w:pPr>
    </w:p>
    <w:p>
      <w:pPr>
        <w:jc w:val="both"/>
        <w:ind w:left="1660" w:right="120"/>
        <w:spacing w:after="0" w:line="245" w:lineRule="auto"/>
        <w:rPr>
          <w:sz w:val="20"/>
          <w:szCs w:val="20"/>
          <w:color w:val="auto"/>
        </w:rPr>
      </w:pPr>
      <w:r>
        <w:rPr>
          <w:rFonts w:ascii="Arial" w:cs="Arial" w:eastAsia="Arial" w:hAnsi="Arial"/>
          <w:sz w:val="14"/>
          <w:szCs w:val="14"/>
          <w:color w:val="auto"/>
        </w:rPr>
        <w:t>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84</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46" w:name="page147"/>
    <w:bookmarkEnd w:id="146"/>
    <w:p>
      <w:pPr>
        <w:ind w:left="260"/>
        <w:spacing w:after="0" w:line="268" w:lineRule="auto"/>
        <w:rPr>
          <w:sz w:val="20"/>
          <w:szCs w:val="20"/>
          <w:color w:val="auto"/>
        </w:rPr>
      </w:pPr>
      <w:r>
        <w:rPr>
          <w:rFonts w:ascii="Arial" w:cs="Arial" w:eastAsia="Arial" w:hAnsi="Arial"/>
          <w:sz w:val="14"/>
          <w:szCs w:val="14"/>
          <w:color w:val="auto"/>
        </w:rPr>
        <w:t>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114" w:lineRule="exact"/>
        <w:rPr>
          <w:sz w:val="20"/>
          <w:szCs w:val="20"/>
          <w:color w:val="auto"/>
        </w:rPr>
      </w:pPr>
    </w:p>
    <w:p>
      <w:pPr>
        <w:jc w:val="both"/>
        <w:ind w:left="140" w:firstLine="837"/>
        <w:spacing w:after="0" w:line="252" w:lineRule="auto"/>
        <w:rPr>
          <w:sz w:val="20"/>
          <w:szCs w:val="20"/>
          <w:color w:val="auto"/>
        </w:rPr>
      </w:pPr>
      <w:r>
        <w:rPr>
          <w:rFonts w:ascii="Arial" w:cs="Arial" w:eastAsia="Arial" w:hAnsi="Arial"/>
          <w:sz w:val="14"/>
          <w:szCs w:val="14"/>
          <w:b w:val="1"/>
          <w:bCs w:val="1"/>
          <w:color w:val="auto"/>
        </w:rPr>
        <w:t xml:space="preserve">Section 12.11 </w:t>
      </w:r>
      <w:r>
        <w:rPr>
          <w:rFonts w:ascii="Arial" w:cs="Arial" w:eastAsia="Arial" w:hAnsi="Arial"/>
          <w:sz w:val="14"/>
          <w:szCs w:val="14"/>
          <w:u w:val="single" w:color="auto"/>
          <w:color w:val="auto"/>
        </w:rPr>
        <w:t>Counterparts; Integration</w:t>
      </w:r>
      <w:r>
        <w:rPr>
          <w:rFonts w:ascii="Arial" w:cs="Arial" w:eastAsia="Arial" w:hAnsi="Arial"/>
          <w:sz w:val="14"/>
          <w:szCs w:val="14"/>
          <w:color w:val="auto"/>
        </w:rPr>
        <w:t>. This Agreement and the other Financing Documents may be signed in any number of counterparts, each of which shall be an original,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effect as if the signatures thereto and hereto were upon the same instrument. Signatures by facsimile or by electronic mail delivery of an electronic version of any executed signature page shall bind the parties hereto.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26"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12.12 </w:t>
      </w:r>
      <w:r>
        <w:rPr>
          <w:rFonts w:ascii="Arial" w:cs="Arial" w:eastAsia="Arial" w:hAnsi="Arial"/>
          <w:sz w:val="14"/>
          <w:szCs w:val="14"/>
          <w:u w:val="single" w:color="auto"/>
          <w:color w:val="auto"/>
        </w:rPr>
        <w:t>No Strict Construction</w:t>
      </w:r>
      <w:r>
        <w:rPr>
          <w:rFonts w:ascii="Arial" w:cs="Arial" w:eastAsia="Arial" w:hAnsi="Arial"/>
          <w:sz w:val="14"/>
          <w:szCs w:val="14"/>
          <w:color w:val="auto"/>
        </w:rPr>
        <w:t>. The parties hereto have participated jointly in the negotiation and drafting of this Agreement. In the event an ambiguity or question of intent or</w:t>
      </w:r>
      <w:r>
        <w:rPr>
          <w:rFonts w:ascii="Arial" w:cs="Arial" w:eastAsia="Arial" w:hAnsi="Arial"/>
          <w:sz w:val="14"/>
          <w:szCs w:val="14"/>
          <w:b w:val="1"/>
          <w:bCs w:val="1"/>
          <w:color w:val="auto"/>
        </w:rPr>
        <w:t xml:space="preserve"> </w:t>
      </w:r>
      <w:r>
        <w:rPr>
          <w:rFonts w:ascii="Arial" w:cs="Arial" w:eastAsia="Arial" w:hAnsi="Arial"/>
          <w:sz w:val="14"/>
          <w:szCs w:val="14"/>
          <w:color w:val="auto"/>
        </w:rPr>
        <w:t>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20" w:lineRule="exact"/>
        <w:rPr>
          <w:sz w:val="20"/>
          <w:szCs w:val="20"/>
          <w:color w:val="auto"/>
        </w:rPr>
      </w:pPr>
    </w:p>
    <w:p>
      <w:pPr>
        <w:jc w:val="both"/>
        <w:ind w:left="140" w:right="20" w:firstLine="837"/>
        <w:spacing w:after="0" w:line="313" w:lineRule="auto"/>
        <w:rPr>
          <w:sz w:val="20"/>
          <w:szCs w:val="20"/>
          <w:color w:val="auto"/>
        </w:rPr>
      </w:pPr>
      <w:r>
        <w:rPr>
          <w:rFonts w:ascii="Arial" w:cs="Arial" w:eastAsia="Arial" w:hAnsi="Arial"/>
          <w:sz w:val="13"/>
          <w:szCs w:val="13"/>
          <w:b w:val="1"/>
          <w:bCs w:val="1"/>
          <w:color w:val="auto"/>
        </w:rPr>
        <w:t xml:space="preserve">Section 12.13 </w:t>
      </w:r>
      <w:r>
        <w:rPr>
          <w:rFonts w:ascii="Arial" w:cs="Arial" w:eastAsia="Arial" w:hAnsi="Arial"/>
          <w:sz w:val="13"/>
          <w:szCs w:val="13"/>
          <w:u w:val="single" w:color="auto"/>
          <w:color w:val="auto"/>
        </w:rPr>
        <w:t>Lender Approvals</w:t>
      </w:r>
      <w:r>
        <w:rPr>
          <w:rFonts w:ascii="Arial" w:cs="Arial" w:eastAsia="Arial" w:hAnsi="Arial"/>
          <w:sz w:val="13"/>
          <w:szCs w:val="13"/>
          <w:color w:val="auto"/>
        </w:rPr>
        <w:t>. Unless expressly provided herein to the contrary, any approval, consent, waiver or satisfaction of Agent or Lenders with respect to any matter that is</w:t>
      </w:r>
      <w:r>
        <w:rPr>
          <w:rFonts w:ascii="Arial" w:cs="Arial" w:eastAsia="Arial" w:hAnsi="Arial"/>
          <w:sz w:val="13"/>
          <w:szCs w:val="13"/>
          <w:b w:val="1"/>
          <w:bCs w:val="1"/>
          <w:color w:val="auto"/>
        </w:rPr>
        <w:t xml:space="preserve"> </w:t>
      </w:r>
      <w:r>
        <w:rPr>
          <w:rFonts w:ascii="Arial" w:cs="Arial" w:eastAsia="Arial" w:hAnsi="Arial"/>
          <w:sz w:val="13"/>
          <w:szCs w:val="13"/>
          <w:color w:val="auto"/>
        </w:rPr>
        <w:t>the subject of this Agreement, the other Financing Documents may be granted or withheld by Agent and Lenders in their sole and absolute discretion and credit judgment.</w:t>
      </w:r>
    </w:p>
    <w:p>
      <w:pPr>
        <w:spacing w:after="0" w:line="7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20" w:type="dxa"/>
            <w:vAlign w:val="bottom"/>
          </w:tcPr>
          <w:p>
            <w:pPr>
              <w:ind w:left="780"/>
              <w:spacing w:after="0"/>
              <w:rPr>
                <w:sz w:val="20"/>
                <w:szCs w:val="20"/>
                <w:color w:val="auto"/>
              </w:rPr>
            </w:pPr>
            <w:r>
              <w:rPr>
                <w:rFonts w:ascii="Arial" w:cs="Arial" w:eastAsia="Arial" w:hAnsi="Arial"/>
                <w:sz w:val="14"/>
                <w:szCs w:val="14"/>
                <w:b w:val="1"/>
                <w:bCs w:val="1"/>
                <w:color w:val="auto"/>
              </w:rPr>
              <w:t>Section 12.14</w:t>
            </w:r>
          </w:p>
        </w:tc>
        <w:tc>
          <w:tcPr>
            <w:tcW w:w="80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Expenses; Indemnity</w:t>
            </w:r>
          </w:p>
        </w:tc>
        <w:tc>
          <w:tcPr>
            <w:tcW w:w="6800" w:type="dxa"/>
            <w:vAlign w:val="bottom"/>
          </w:tcPr>
          <w:p>
            <w:pPr>
              <w:spacing w:after="0"/>
              <w:rPr>
                <w:sz w:val="14"/>
                <w:szCs w:val="14"/>
                <w:color w:val="auto"/>
              </w:rPr>
            </w:pPr>
          </w:p>
        </w:tc>
      </w:tr>
      <w:tr>
        <w:trPr>
          <w:trHeight w:val="314"/>
        </w:trPr>
        <w:tc>
          <w:tcPr>
            <w:tcW w:w="2220" w:type="dxa"/>
            <w:vAlign w:val="bottom"/>
          </w:tcPr>
          <w:p>
            <w:pPr>
              <w:spacing w:after="0"/>
              <w:rPr>
                <w:sz w:val="20"/>
                <w:szCs w:val="20"/>
                <w:color w:val="auto"/>
              </w:rPr>
            </w:pPr>
            <w:r>
              <w:rPr>
                <w:rFonts w:ascii="Arial" w:cs="Arial" w:eastAsia="Arial" w:hAnsi="Arial"/>
                <w:sz w:val="14"/>
                <w:szCs w:val="14"/>
                <w:color w:val="auto"/>
              </w:rPr>
              <w:t>(a)</w:t>
            </w:r>
          </w:p>
        </w:tc>
        <w:tc>
          <w:tcPr>
            <w:tcW w:w="8780" w:type="dxa"/>
            <w:vAlign w:val="bottom"/>
            <w:gridSpan w:val="3"/>
          </w:tcPr>
          <w:p>
            <w:pPr>
              <w:ind w:left="660"/>
              <w:spacing w:after="0"/>
              <w:rPr>
                <w:sz w:val="20"/>
                <w:szCs w:val="20"/>
                <w:color w:val="auto"/>
              </w:rPr>
            </w:pPr>
            <w:r>
              <w:rPr>
                <w:rFonts w:ascii="Arial" w:cs="Arial" w:eastAsia="Arial" w:hAnsi="Arial"/>
                <w:sz w:val="14"/>
                <w:szCs w:val="14"/>
                <w:color w:val="auto"/>
                <w:w w:val="89"/>
              </w:rPr>
              <w:t>Borrowers hereby agree to promptly pay (i) all reasonable costs and expenses of Agent (including, without limitation, the fees, costs and expenses</w:t>
            </w:r>
          </w:p>
        </w:tc>
      </w:tr>
    </w:tbl>
    <w:p>
      <w:pPr>
        <w:jc w:val="both"/>
        <w:ind w:left="1660" w:right="120"/>
        <w:spacing w:after="0" w:line="282" w:lineRule="auto"/>
        <w:rPr>
          <w:sz w:val="20"/>
          <w:szCs w:val="20"/>
          <w:color w:val="auto"/>
        </w:rPr>
      </w:pPr>
      <w:r>
        <w:rPr>
          <w:rFonts w:ascii="Arial" w:cs="Arial" w:eastAsia="Arial" w:hAnsi="Arial"/>
          <w:sz w:val="12"/>
          <w:szCs w:val="12"/>
          <w:color w:val="auto"/>
        </w:rPr>
        <w:t>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costs and expenses of Agent in connection with the creation, perfection and maintenance of Liens pursuant to the Financing Documents;</w:t>
      </w:r>
    </w:p>
    <w:p>
      <w:pPr>
        <w:ind w:left="700" w:hanging="456"/>
        <w:spacing w:after="0" w:line="229" w:lineRule="auto"/>
        <w:tabs>
          <w:tab w:leader="none" w:pos="7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without limitation of the preceding clause (i), all costs and expenses of Agent in connection with</w:t>
      </w:r>
    </w:p>
    <w:p>
      <w:pPr>
        <w:ind w:left="480" w:hanging="228"/>
        <w:spacing w:after="0"/>
        <w:tabs>
          <w:tab w:leader="none" w:pos="4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protecting, storing, insuring, handling, maintaining or selling any Collateral, (B) any litigation, dispute, suit or proceeding relating to any Financing Document, and (C) any workout, collection,</w:t>
      </w:r>
    </w:p>
    <w:p>
      <w:pPr>
        <w:spacing w:after="0" w:line="13" w:lineRule="exact"/>
        <w:rPr>
          <w:sz w:val="20"/>
          <w:szCs w:val="20"/>
          <w:color w:val="auto"/>
        </w:rPr>
      </w:pPr>
    </w:p>
    <w:p>
      <w:pPr>
        <w:jc w:val="both"/>
        <w:ind w:left="260"/>
        <w:spacing w:after="0" w:line="244" w:lineRule="auto"/>
        <w:rPr>
          <w:sz w:val="20"/>
          <w:szCs w:val="20"/>
          <w:color w:val="auto"/>
        </w:rPr>
      </w:pPr>
      <w:r>
        <w:rPr>
          <w:rFonts w:ascii="Arial" w:cs="Arial" w:eastAsia="Arial" w:hAnsi="Arial"/>
          <w:sz w:val="14"/>
          <w:szCs w:val="14"/>
          <w:color w:val="auto"/>
        </w:rPr>
        <w:t>bankruptcy, insolvency and other enforcement proceedings under any and all of the Financing Documents; (iv) without limitation of the preceding clause (i), all reasonable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and in connection with any workout, collection, bankruptcy, insolvency and other enforcement proceedings under any and all Financing Documents, whether or not Agent or Lenders are a party thereto. If Agent or any Lender uses in-house counsel for any of these purposes, Borrowers further agree that the Obligations include</w:t>
      </w:r>
    </w:p>
    <w:p>
      <w:pPr>
        <w:spacing w:after="0" w:line="296"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85</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47" w:name="page148"/>
    <w:bookmarkEnd w:id="147"/>
    <w:p>
      <w:pPr>
        <w:ind w:left="260"/>
        <w:spacing w:after="0"/>
        <w:rPr>
          <w:sz w:val="20"/>
          <w:szCs w:val="20"/>
          <w:color w:val="auto"/>
        </w:rPr>
      </w:pPr>
      <w:r>
        <w:rPr>
          <w:rFonts w:ascii="Arial" w:cs="Arial" w:eastAsia="Arial" w:hAnsi="Arial"/>
          <w:sz w:val="13"/>
          <w:szCs w:val="13"/>
          <w:color w:val="auto"/>
        </w:rPr>
        <w:t>reasonable charges for such work commensurate with the fees that would otherwise be charged by outside legal counsel selected by Agent or such Lender for the work performed.</w:t>
      </w:r>
    </w:p>
    <w:p>
      <w:pPr>
        <w:spacing w:after="0" w:line="166" w:lineRule="exact"/>
        <w:rPr>
          <w:sz w:val="20"/>
          <w:szCs w:val="20"/>
          <w:color w:val="auto"/>
        </w:rPr>
      </w:pPr>
    </w:p>
    <w:p>
      <w:pPr>
        <w:ind w:left="220"/>
        <w:spacing w:after="0"/>
        <w:tabs>
          <w:tab w:leader="none" w:pos="3080"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Each Borrower hereby agrees to indemnify, pay and hold harmless Agent and Lenders and the officers, directors, employees, trustees, agents,</w:t>
      </w:r>
    </w:p>
    <w:p>
      <w:pPr>
        <w:spacing w:after="0" w:line="25"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investment advisors and investment managers, collateral managers, servicers, and counsel of Agent and Lenders (collectively called the “</w:t>
      </w:r>
      <w:r>
        <w:rPr>
          <w:rFonts w:ascii="Arial" w:cs="Arial" w:eastAsia="Arial" w:hAnsi="Arial"/>
          <w:sz w:val="12"/>
          <w:szCs w:val="12"/>
          <w:b w:val="1"/>
          <w:bCs w:val="1"/>
          <w:color w:val="auto"/>
        </w:rPr>
        <w:t>Indemnitees</w:t>
      </w:r>
      <w:r>
        <w:rPr>
          <w:rFonts w:ascii="Arial" w:cs="Arial" w:eastAsia="Arial" w:hAnsi="Arial"/>
          <w:sz w:val="12"/>
          <w:szCs w:val="12"/>
          <w:color w:val="auto"/>
        </w:rPr>
        <w:t>”) from and against any</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and all liabilities, obligations, losses, damages, penalties, actions, judgments, suits, claims, costs, expenses and disbursements of any kind or nature whatsoever (including the</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fees and disbursements of counsel for such Indemnitee) in connection with any investigative, response, remedial, administrative or judicial matter or proceeding, whether or</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not such Indemnitee shall be designated a party thereto and including any such proceeding initiated by or on behalf of a Credit Party, and the reasonable expenses of</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investigation by engineers, environmental consultants and similar technical personnel and any commission, fee or compensation claimed by any broker (other than any</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broker retained by Agent or Lenders) asserting any right to payment for the transactions contemplated hereby, which may be imposed on, incurred by or asserted against such</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Indemnitee as a result of or in connection with the transactions contemplated hereby or by the other Operative Documents (including (i)(A) as a direct or indirect result of the</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presence on or under, or escape, seepage, leakage, spillage, discharge, emission or release from, any property now or previously owned, leased or operated by Borrower, any</w:t>
      </w:r>
    </w:p>
    <w:p>
      <w:pPr>
        <w:spacing w:after="0" w:line="24"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Subsidiary or any other Person of any Hazardous Materials, (B) arising out of or relating to the offsite disposal of any materials generated or present on any such property, or</w:t>
      </w:r>
    </w:p>
    <w:p>
      <w:pPr>
        <w:spacing w:after="0" w:line="24" w:lineRule="exact"/>
        <w:rPr>
          <w:sz w:val="20"/>
          <w:szCs w:val="20"/>
          <w:color w:val="auto"/>
        </w:rPr>
      </w:pPr>
    </w:p>
    <w:p>
      <w:pPr>
        <w:ind w:left="1660" w:right="120" w:firstLine="6"/>
        <w:spacing w:after="0" w:line="260" w:lineRule="auto"/>
        <w:tabs>
          <w:tab w:leader="none" w:pos="188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Borrower or any Subsidiary, and</w:t>
      </w:r>
    </w:p>
    <w:p>
      <w:pPr>
        <w:jc w:val="both"/>
        <w:ind w:left="260" w:hanging="8"/>
        <w:spacing w:after="0" w:line="269" w:lineRule="auto"/>
        <w:tabs>
          <w:tab w:leader="none" w:pos="764" w:val="left"/>
        </w:tabs>
        <w:numPr>
          <w:ilvl w:val="0"/>
          <w:numId w:val="70"/>
        </w:numPr>
        <w:rPr>
          <w:rFonts w:ascii="Arial" w:cs="Arial" w:eastAsia="Arial" w:hAnsi="Arial"/>
          <w:sz w:val="13"/>
          <w:szCs w:val="13"/>
          <w:color w:val="auto"/>
        </w:rPr>
      </w:pPr>
      <w:r>
        <w:rPr>
          <w:rFonts w:ascii="Arial" w:cs="Arial" w:eastAsia="Arial" w:hAnsi="Arial"/>
          <w:sz w:val="13"/>
          <w:szCs w:val="13"/>
          <w:color w:val="auto"/>
        </w:rPr>
        <w:t>proposed and actual extensions of credit under this Agreement) and the use or intended use of the proceeds of the Loans,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w:t>
      </w:r>
    </w:p>
    <w:p>
      <w:pPr>
        <w:spacing w:after="0" w:line="120" w:lineRule="exact"/>
        <w:rPr>
          <w:sz w:val="20"/>
          <w:szCs w:val="20"/>
          <w:color w:val="auto"/>
        </w:rPr>
      </w:pPr>
    </w:p>
    <w:p>
      <w:pPr>
        <w:jc w:val="both"/>
        <w:ind w:left="1660" w:right="120" w:hanging="1436"/>
        <w:spacing w:after="0" w:line="247" w:lineRule="auto"/>
        <w:tabs>
          <w:tab w:leader="none" w:pos="16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color w:val="auto"/>
        </w:rPr>
        <w:t>Notwithstanding any contrary provision in this Agreement, the obligations of Borrowers under this Section 12.14 shall survive the payment in full of the Obligations and the termination of this Agreement. NO INDEMNITEE SHALL BE RESPONSIBLE OR LIABLE TO THE BORROWERS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28" w:lineRule="exact"/>
        <w:rPr>
          <w:sz w:val="20"/>
          <w:szCs w:val="20"/>
          <w:color w:val="auto"/>
        </w:rPr>
      </w:pPr>
    </w:p>
    <w:p>
      <w:pPr>
        <w:ind w:left="1000"/>
        <w:spacing w:after="0"/>
        <w:tabs>
          <w:tab w:leader="none" w:pos="3220" w:val="left"/>
        </w:tabs>
        <w:rPr>
          <w:sz w:val="20"/>
          <w:szCs w:val="20"/>
          <w:color w:val="auto"/>
        </w:rPr>
      </w:pPr>
      <w:r>
        <w:rPr>
          <w:rFonts w:ascii="Arial" w:cs="Arial" w:eastAsia="Arial" w:hAnsi="Arial"/>
          <w:sz w:val="14"/>
          <w:szCs w:val="14"/>
          <w:b w:val="1"/>
          <w:bCs w:val="1"/>
          <w:color w:val="auto"/>
        </w:rPr>
        <w:t>Section 12.15</w:t>
      </w:r>
      <w:r>
        <w:rPr>
          <w:sz w:val="20"/>
          <w:szCs w:val="20"/>
          <w:color w:val="auto"/>
        </w:rPr>
        <w:tab/>
      </w: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45" w:lineRule="exact"/>
        <w:rPr>
          <w:sz w:val="20"/>
          <w:szCs w:val="20"/>
          <w:color w:val="auto"/>
        </w:rPr>
      </w:pPr>
    </w:p>
    <w:p>
      <w:pPr>
        <w:jc w:val="both"/>
        <w:ind w:left="140" w:right="20" w:firstLine="837"/>
        <w:spacing w:after="0" w:line="278" w:lineRule="auto"/>
        <w:rPr>
          <w:sz w:val="20"/>
          <w:szCs w:val="20"/>
          <w:color w:val="auto"/>
        </w:rPr>
      </w:pPr>
      <w:r>
        <w:rPr>
          <w:rFonts w:ascii="Arial" w:cs="Arial" w:eastAsia="Arial" w:hAnsi="Arial"/>
          <w:sz w:val="13"/>
          <w:szCs w:val="13"/>
          <w:b w:val="1"/>
          <w:bCs w:val="1"/>
          <w:color w:val="auto"/>
        </w:rPr>
        <w:t xml:space="preserve">Section 12.16 </w:t>
      </w:r>
      <w:r>
        <w:rPr>
          <w:rFonts w:ascii="Arial" w:cs="Arial" w:eastAsia="Arial" w:hAnsi="Arial"/>
          <w:sz w:val="13"/>
          <w:szCs w:val="13"/>
          <w:u w:val="single" w:color="auto"/>
          <w:color w:val="auto"/>
        </w:rPr>
        <w:t>Reinstatement</w:t>
      </w:r>
      <w:r>
        <w:rPr>
          <w:rFonts w:ascii="Arial" w:cs="Arial" w:eastAsia="Arial" w:hAnsi="Arial"/>
          <w:sz w:val="13"/>
          <w:szCs w:val="13"/>
          <w:color w:val="auto"/>
        </w:rPr>
        <w:t>. This Agreement shall remain in full force and effect and continue to be effective should any petition or other proceeding be filed by or against any Credit</w:t>
      </w:r>
      <w:r>
        <w:rPr>
          <w:rFonts w:ascii="Arial" w:cs="Arial" w:eastAsia="Arial" w:hAnsi="Arial"/>
          <w:sz w:val="13"/>
          <w:szCs w:val="13"/>
          <w:b w:val="1"/>
          <w:bCs w:val="1"/>
          <w:color w:val="auto"/>
        </w:rPr>
        <w:t xml:space="preserve"> </w:t>
      </w:r>
      <w:r>
        <w:rPr>
          <w:rFonts w:ascii="Arial" w:cs="Arial" w:eastAsia="Arial" w:hAnsi="Arial"/>
          <w:sz w:val="13"/>
          <w:szCs w:val="13"/>
          <w:color w:val="auto"/>
        </w:rPr>
        <w:t>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w:t>
      </w:r>
    </w:p>
    <w:p>
      <w:pPr>
        <w:spacing w:after="0" w:line="333" w:lineRule="exact"/>
        <w:rPr>
          <w:sz w:val="20"/>
          <w:szCs w:val="20"/>
          <w:color w:val="auto"/>
        </w:rPr>
      </w:pPr>
    </w:p>
    <w:p>
      <w:pPr>
        <w:ind w:left="10320"/>
        <w:spacing w:after="0"/>
        <w:rPr>
          <w:sz w:val="20"/>
          <w:szCs w:val="20"/>
          <w:color w:val="auto"/>
        </w:rPr>
      </w:pPr>
      <w:r>
        <w:rPr>
          <w:rFonts w:ascii="Arial" w:cs="Arial" w:eastAsia="Arial" w:hAnsi="Arial"/>
          <w:sz w:val="14"/>
          <w:szCs w:val="14"/>
          <w:color w:val="auto"/>
        </w:rPr>
        <w:t>86</w:t>
      </w: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48" w:name="page149"/>
    <w:bookmarkEnd w:id="148"/>
    <w:p>
      <w:pPr>
        <w:jc w:val="both"/>
        <w:ind w:left="140"/>
        <w:spacing w:after="0" w:line="353" w:lineRule="auto"/>
        <w:rPr>
          <w:sz w:val="20"/>
          <w:szCs w:val="20"/>
          <w:color w:val="auto"/>
        </w:rPr>
      </w:pPr>
      <w:r>
        <w:rPr>
          <w:rFonts w:ascii="Arial" w:cs="Arial" w:eastAsia="Arial" w:hAnsi="Arial"/>
          <w:sz w:val="12"/>
          <w:szCs w:val="12"/>
          <w:color w:val="auto"/>
        </w:rPr>
        <w:t>or returned by any obligee of the Obligations, whether as a fraudulent preference reviewable transaction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67" w:lineRule="exact"/>
        <w:rPr>
          <w:sz w:val="20"/>
          <w:szCs w:val="20"/>
          <w:color w:val="auto"/>
        </w:rPr>
      </w:pPr>
    </w:p>
    <w:p>
      <w:pPr>
        <w:jc w:val="both"/>
        <w:ind w:left="140" w:firstLine="837"/>
        <w:spacing w:after="0" w:line="274" w:lineRule="auto"/>
        <w:rPr>
          <w:sz w:val="20"/>
          <w:szCs w:val="20"/>
          <w:color w:val="auto"/>
        </w:rPr>
      </w:pPr>
      <w:r>
        <w:rPr>
          <w:rFonts w:ascii="Arial" w:cs="Arial" w:eastAsia="Arial" w:hAnsi="Arial"/>
          <w:sz w:val="14"/>
          <w:szCs w:val="14"/>
          <w:b w:val="1"/>
          <w:bCs w:val="1"/>
          <w:color w:val="auto"/>
        </w:rPr>
        <w:t xml:space="preserve">Section 12.17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be binding upon and inure to the benefit of Borrowers and Agent and each Lender and their respective successors and</w:t>
      </w:r>
      <w:r>
        <w:rPr>
          <w:rFonts w:ascii="Arial" w:cs="Arial" w:eastAsia="Arial" w:hAnsi="Arial"/>
          <w:sz w:val="14"/>
          <w:szCs w:val="14"/>
          <w:b w:val="1"/>
          <w:bCs w:val="1"/>
          <w:color w:val="auto"/>
        </w:rPr>
        <w:t xml:space="preserve"> </w:t>
      </w:r>
      <w:r>
        <w:rPr>
          <w:rFonts w:ascii="Arial" w:cs="Arial" w:eastAsia="Arial" w:hAnsi="Arial"/>
          <w:sz w:val="14"/>
          <w:szCs w:val="14"/>
          <w:color w:val="auto"/>
        </w:rPr>
        <w:t>permitted assigns.</w:t>
      </w:r>
    </w:p>
    <w:p>
      <w:pPr>
        <w:spacing w:after="0" w:line="110" w:lineRule="exact"/>
        <w:rPr>
          <w:sz w:val="20"/>
          <w:szCs w:val="20"/>
          <w:color w:val="auto"/>
        </w:rPr>
      </w:pPr>
    </w:p>
    <w:p>
      <w:pPr>
        <w:jc w:val="both"/>
        <w:ind w:left="140" w:firstLine="837"/>
        <w:spacing w:after="0" w:line="258" w:lineRule="auto"/>
        <w:rPr>
          <w:sz w:val="20"/>
          <w:szCs w:val="20"/>
          <w:color w:val="auto"/>
        </w:rPr>
      </w:pPr>
      <w:r>
        <w:rPr>
          <w:rFonts w:ascii="Arial" w:cs="Arial" w:eastAsia="Arial" w:hAnsi="Arial"/>
          <w:sz w:val="14"/>
          <w:szCs w:val="14"/>
          <w:b w:val="1"/>
          <w:bCs w:val="1"/>
          <w:color w:val="auto"/>
        </w:rPr>
        <w:t xml:space="preserve">Section 12.18 </w:t>
      </w:r>
      <w:r>
        <w:rPr>
          <w:rFonts w:ascii="Arial" w:cs="Arial" w:eastAsia="Arial" w:hAnsi="Arial"/>
          <w:sz w:val="14"/>
          <w:szCs w:val="14"/>
          <w:u w:val="single" w:color="auto"/>
          <w:color w:val="auto"/>
        </w:rPr>
        <w:t>USA PATRIOT Act Notification</w:t>
      </w:r>
      <w:r>
        <w:rPr>
          <w:rFonts w:ascii="Arial" w:cs="Arial" w:eastAsia="Arial" w:hAnsi="Arial"/>
          <w:sz w:val="14"/>
          <w:szCs w:val="14"/>
          <w:color w:val="auto"/>
        </w:rPr>
        <w:t>. Agent (for itself and not on behalf of any Lender) and each Lender hereby notifies Borrowers that pursuant to the requirements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USA PATRIOT Act, it is required to obtain, verify and record certain information and documentation that identifies Borrowers, which information includes the name and address of Borrower and such other information that will allow Agent or such Lender, as applicable, to identify Borrowers in accordance with the USA PATRIOT Act.</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20" w:type="dxa"/>
            <w:vAlign w:val="bottom"/>
          </w:tcPr>
          <w:p>
            <w:pPr>
              <w:ind w:left="780"/>
              <w:spacing w:after="0"/>
              <w:rPr>
                <w:sz w:val="20"/>
                <w:szCs w:val="20"/>
                <w:color w:val="auto"/>
              </w:rPr>
            </w:pPr>
            <w:r>
              <w:rPr>
                <w:rFonts w:ascii="Arial" w:cs="Arial" w:eastAsia="Arial" w:hAnsi="Arial"/>
                <w:sz w:val="14"/>
                <w:szCs w:val="14"/>
                <w:b w:val="1"/>
                <w:bCs w:val="1"/>
                <w:color w:val="auto"/>
              </w:rPr>
              <w:t>Section 12.19</w:t>
            </w:r>
          </w:p>
        </w:tc>
        <w:tc>
          <w:tcPr>
            <w:tcW w:w="800" w:type="dxa"/>
            <w:vAlign w:val="bottom"/>
          </w:tcPr>
          <w:p>
            <w:pPr>
              <w:spacing w:after="0"/>
              <w:rPr>
                <w:sz w:val="14"/>
                <w:szCs w:val="14"/>
                <w:color w:val="auto"/>
              </w:rPr>
            </w:pPr>
          </w:p>
        </w:tc>
        <w:tc>
          <w:tcPr>
            <w:tcW w:w="7980" w:type="dxa"/>
            <w:vAlign w:val="bottom"/>
            <w:gridSpan w:val="2"/>
          </w:tcPr>
          <w:p>
            <w:pPr>
              <w:jc w:val="right"/>
              <w:ind w:right="4720"/>
              <w:spacing w:after="0"/>
              <w:rPr>
                <w:sz w:val="20"/>
                <w:szCs w:val="20"/>
                <w:color w:val="auto"/>
              </w:rPr>
            </w:pPr>
            <w:r>
              <w:rPr>
                <w:rFonts w:ascii="Arial" w:cs="Arial" w:eastAsia="Arial" w:hAnsi="Arial"/>
                <w:sz w:val="14"/>
                <w:szCs w:val="14"/>
                <w:color w:val="auto"/>
                <w:w w:val="88"/>
              </w:rPr>
              <w:t>Existing Agreements Superseded; Exhibits and Schedules.</w:t>
            </w:r>
          </w:p>
        </w:tc>
      </w:tr>
      <w:tr>
        <w:trPr>
          <w:trHeight w:val="20"/>
        </w:trPr>
        <w:tc>
          <w:tcPr>
            <w:tcW w:w="2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302"/>
        </w:trPr>
        <w:tc>
          <w:tcPr>
            <w:tcW w:w="2220" w:type="dxa"/>
            <w:vAlign w:val="bottom"/>
          </w:tcPr>
          <w:p>
            <w:pPr>
              <w:spacing w:after="0"/>
              <w:rPr>
                <w:sz w:val="20"/>
                <w:szCs w:val="20"/>
                <w:color w:val="auto"/>
              </w:rPr>
            </w:pPr>
            <w:r>
              <w:rPr>
                <w:rFonts w:ascii="Arial" w:cs="Arial" w:eastAsia="Arial" w:hAnsi="Arial"/>
                <w:sz w:val="14"/>
                <w:szCs w:val="14"/>
                <w:color w:val="auto"/>
              </w:rPr>
              <w:t>(a)</w:t>
            </w:r>
          </w:p>
        </w:tc>
        <w:tc>
          <w:tcPr>
            <w:tcW w:w="8780" w:type="dxa"/>
            <w:vAlign w:val="bottom"/>
            <w:gridSpan w:val="3"/>
          </w:tcPr>
          <w:p>
            <w:pPr>
              <w:jc w:val="right"/>
              <w:spacing w:after="0"/>
              <w:rPr>
                <w:sz w:val="20"/>
                <w:szCs w:val="20"/>
                <w:color w:val="auto"/>
              </w:rPr>
            </w:pPr>
            <w:r>
              <w:rPr>
                <w:rFonts w:ascii="Arial" w:cs="Arial" w:eastAsia="Arial" w:hAnsi="Arial"/>
                <w:sz w:val="14"/>
                <w:szCs w:val="14"/>
                <w:color w:val="auto"/>
                <w:w w:val="96"/>
              </w:rPr>
              <w:t>The Original Credit Agreement, including the schedules thereto, is superseded by this Agreement, including the schedules hereto, which has been</w:t>
            </w:r>
          </w:p>
        </w:tc>
      </w:tr>
      <w:tr>
        <w:trPr>
          <w:trHeight w:val="179"/>
        </w:trPr>
        <w:tc>
          <w:tcPr>
            <w:tcW w:w="11000" w:type="dxa"/>
            <w:vAlign w:val="bottom"/>
            <w:gridSpan w:val="4"/>
          </w:tcPr>
          <w:p>
            <w:pPr>
              <w:jc w:val="right"/>
              <w:spacing w:after="0"/>
              <w:rPr>
                <w:sz w:val="20"/>
                <w:szCs w:val="20"/>
                <w:color w:val="auto"/>
              </w:rPr>
            </w:pPr>
            <w:r>
              <w:rPr>
                <w:rFonts w:ascii="Arial" w:cs="Arial" w:eastAsia="Arial" w:hAnsi="Arial"/>
                <w:sz w:val="14"/>
                <w:szCs w:val="14"/>
                <w:color w:val="auto"/>
              </w:rPr>
              <w:t>executed in amendment, restatement and modification of, but not in novation or extinguishment of, the obligations under the Original Credit Agreement. It is the express</w:t>
            </w:r>
          </w:p>
        </w:tc>
      </w:tr>
    </w:tbl>
    <w:p>
      <w:pPr>
        <w:spacing w:after="0" w:line="1" w:lineRule="exact"/>
        <w:rPr>
          <w:sz w:val="20"/>
          <w:szCs w:val="20"/>
          <w:color w:val="auto"/>
        </w:rPr>
      </w:pPr>
    </w:p>
    <w:p>
      <w:pPr>
        <w:sectPr>
          <w:pgSz w:w="11900" w:h="16838" w:orient="portrait"/>
          <w:cols w:equalWidth="0" w:num="1">
            <w:col w:w="11340"/>
          </w:cols>
          <w:pgMar w:left="240" w:top="165" w:right="319" w:bottom="1440" w:gutter="0" w:footer="0" w:header="0"/>
        </w:sectPr>
      </w:pPr>
    </w:p>
    <w:p>
      <w:pPr>
        <w:jc w:val="both"/>
        <w:ind w:left="1660" w:right="140"/>
        <w:spacing w:after="0" w:line="270" w:lineRule="auto"/>
        <w:rPr>
          <w:sz w:val="20"/>
          <w:szCs w:val="20"/>
          <w:color w:val="auto"/>
        </w:rPr>
      </w:pPr>
      <w:r>
        <w:rPr>
          <w:rFonts w:ascii="Arial" w:cs="Arial" w:eastAsia="Arial" w:hAnsi="Arial"/>
          <w:sz w:val="13"/>
          <w:szCs w:val="13"/>
          <w:color w:val="auto"/>
        </w:rPr>
        <w:t>intention of the parties hereto to reaffirm the indebtedness created under the Original Credit Agreement, as amended and restated hereby, which is secured by the Collateral. Any and all outstanding amounts under the Original Credit Agreement including, but not limited to principal, accrued interest, fees (except as otherwise provided herein) and other charges, as of the Closing Date shall be carried over and deemed outstanding under this Agreement.</w:t>
      </w:r>
    </w:p>
    <w:p>
      <w:pPr>
        <w:sectPr>
          <w:pgSz w:w="11900" w:h="16838" w:orient="portrait"/>
          <w:cols w:equalWidth="0" w:num="1">
            <w:col w:w="11340"/>
          </w:cols>
          <w:pgMar w:left="240" w:top="165" w:right="319" w:bottom="1440" w:gutter="0" w:footer="0" w:header="0"/>
          <w:type w:val="continuous"/>
        </w:sectPr>
      </w:pPr>
    </w:p>
    <w:p>
      <w:pPr>
        <w:spacing w:after="0" w:line="119" w:lineRule="exact"/>
        <w:rPr>
          <w:sz w:val="20"/>
          <w:szCs w:val="20"/>
          <w:color w:val="auto"/>
        </w:rPr>
      </w:pPr>
    </w:p>
    <w:p>
      <w:pPr>
        <w:ind w:left="22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Each Borrower reaffirms its obligations under each Financing Document to which it is a party, including but not limited to the Security Documents</w:t>
      </w:r>
    </w:p>
    <w:p>
      <w:pPr>
        <w:spacing w:after="0" w:line="40" w:lineRule="exact"/>
        <w:rPr>
          <w:sz w:val="20"/>
          <w:szCs w:val="20"/>
          <w:color w:val="auto"/>
        </w:rPr>
      </w:pPr>
    </w:p>
    <w:p>
      <w:pPr>
        <w:sectPr>
          <w:pgSz w:w="11900" w:h="16838" w:orient="portrait"/>
          <w:cols w:equalWidth="0" w:num="2">
            <w:col w:w="2380" w:space="720"/>
            <w:col w:w="8240"/>
          </w:cols>
          <w:pgMar w:left="240" w:top="165" w:right="319" w:bottom="1440" w:gutter="0" w:footer="0" w:header="0"/>
          <w:type w:val="continuous"/>
        </w:sectPr>
      </w:pPr>
    </w:p>
    <w:p>
      <w:pPr>
        <w:ind w:left="1660"/>
        <w:spacing w:after="0"/>
        <w:rPr>
          <w:sz w:val="20"/>
          <w:szCs w:val="20"/>
          <w:color w:val="auto"/>
        </w:rPr>
      </w:pPr>
      <w:r>
        <w:rPr>
          <w:rFonts w:ascii="Arial" w:cs="Arial" w:eastAsia="Arial" w:hAnsi="Arial"/>
          <w:sz w:val="10"/>
          <w:szCs w:val="10"/>
          <w:color w:val="auto"/>
        </w:rPr>
        <w:t>and the schedules thereto.</w:t>
      </w:r>
    </w:p>
    <w:p>
      <w:pPr>
        <w:sectPr>
          <w:pgSz w:w="11900" w:h="16838" w:orient="portrait"/>
          <w:cols w:equalWidth="0" w:num="1">
            <w:col w:w="11340"/>
          </w:cols>
          <w:pgMar w:left="240" w:top="165" w:right="319" w:bottom="1440" w:gutter="0" w:footer="0" w:header="0"/>
          <w:type w:val="continuous"/>
        </w:sectPr>
      </w:pPr>
    </w:p>
    <w:p>
      <w:pPr>
        <w:spacing w:after="0" w:line="184"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120" w:firstLine="1429"/>
        <w:spacing w:after="0" w:line="266" w:lineRule="auto"/>
        <w:rPr>
          <w:sz w:val="20"/>
          <w:szCs w:val="20"/>
          <w:color w:val="auto"/>
        </w:rPr>
      </w:pPr>
      <w:r>
        <w:rPr>
          <w:rFonts w:ascii="Arial" w:cs="Arial" w:eastAsia="Arial" w:hAnsi="Arial"/>
          <w:sz w:val="13"/>
          <w:szCs w:val="13"/>
          <w:color w:val="auto"/>
        </w:rPr>
        <w:t>Each Borrower acknowledges and confirms that (i) the Liens and security interests granted pursuant to the Financing Documents secure the indebtedness, liabilities and obligations of the Borrowers to Agent and the Lenders under the Original Credit Agreement, as amended and restated hereby, and that the term “Obligations” as used in the Financing Documents (or any other term used therein to describe or refer to the indebtedness, liabilities and obligations of the Borrowers to Agent and the Lenders) includes, without limitation, the indebtedness, liabilities and obligations of the Borrowers under this Agreement and the Notes to be delivered hereunder, if any, and under the Original Credit Agreement, as amended and restated hereby, as the same further may be amended, restated, supplemented and/or modified from time to time, and (ii) the grants of Liens under and pursuant to the Financing Documents shall continue unaltered, and each other Financing Document shall continue in full force and effect in accordance with its terms unless otherwise amended by the parties thereto, and the parties hereto hereby ratify and confirm the terms thereof as being in full force and effect and unaltered by this Agreement and all references in the any of the Financing Documents to the “Credit Agreement” shall be deemed to refer to this Amended and Restated Credit Agreement.</w:t>
      </w:r>
    </w:p>
    <w:p>
      <w:pPr>
        <w:spacing w:after="0" w:line="200" w:lineRule="exact"/>
        <w:rPr>
          <w:sz w:val="20"/>
          <w:szCs w:val="20"/>
          <w:color w:val="auto"/>
        </w:rPr>
      </w:pPr>
    </w:p>
    <w:p>
      <w:pPr>
        <w:sectPr>
          <w:pgSz w:w="11900" w:h="16838" w:orient="portrait"/>
          <w:cols w:equalWidth="0" w:num="2">
            <w:col w:w="940" w:space="720"/>
            <w:col w:w="9680"/>
          </w:cols>
          <w:pgMar w:left="240" w:top="165" w:right="319" w:bottom="1440" w:gutter="0" w:footer="0" w:header="0"/>
          <w:type w:val="continuous"/>
        </w:sectPr>
      </w:pPr>
    </w:p>
    <w:p>
      <w:pPr>
        <w:spacing w:after="0" w:line="90" w:lineRule="exact"/>
        <w:rPr>
          <w:sz w:val="20"/>
          <w:szCs w:val="20"/>
          <w:color w:val="auto"/>
        </w:rPr>
      </w:pPr>
    </w:p>
    <w:p>
      <w:pPr>
        <w:ind w:left="2600"/>
        <w:spacing w:after="0"/>
        <w:rPr>
          <w:sz w:val="20"/>
          <w:szCs w:val="20"/>
          <w:color w:val="auto"/>
        </w:rPr>
      </w:pPr>
      <w:r>
        <w:rPr>
          <w:rFonts w:ascii="Arial" w:cs="Arial" w:eastAsia="Arial" w:hAnsi="Arial"/>
          <w:sz w:val="13"/>
          <w:szCs w:val="13"/>
          <w:b w:val="1"/>
          <w:bCs w:val="1"/>
          <w:color w:val="auto"/>
        </w:rPr>
        <w:t>[SIGNATURES APPEAR ON FOLLOWING PAGE(S)]</w:t>
      </w:r>
    </w:p>
    <w:p>
      <w:pPr>
        <w:sectPr>
          <w:pgSz w:w="11900" w:h="16838" w:orient="portrait"/>
          <w:cols w:equalWidth="0" w:num="1">
            <w:col w:w="11340"/>
          </w:cols>
          <w:pgMar w:left="240" w:top="165" w:right="319" w:bottom="1440" w:gutter="0" w:footer="0" w:header="0"/>
          <w:type w:val="continuous"/>
        </w:sectPr>
      </w:pPr>
    </w:p>
    <w:p>
      <w:pPr>
        <w:spacing w:after="0" w:line="332" w:lineRule="exact"/>
        <w:rPr>
          <w:sz w:val="20"/>
          <w:szCs w:val="20"/>
          <w:color w:val="auto"/>
        </w:rPr>
      </w:pPr>
    </w:p>
    <w:p>
      <w:pPr>
        <w:ind w:left="10320"/>
        <w:spacing w:after="0"/>
        <w:rPr>
          <w:sz w:val="20"/>
          <w:szCs w:val="20"/>
          <w:color w:val="auto"/>
        </w:rPr>
      </w:pPr>
      <w:r>
        <w:rPr>
          <w:rFonts w:ascii="Arial" w:cs="Arial" w:eastAsia="Arial" w:hAnsi="Arial"/>
          <w:sz w:val="12"/>
          <w:szCs w:val="12"/>
          <w:color w:val="auto"/>
        </w:rPr>
        <w:t>87</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8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426720</wp:posOffset>
            </wp:positionV>
            <wp:extent cx="732409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49" w:name="page150"/>
    <w:bookmarkEnd w:id="149"/>
    <w:p>
      <w:pPr>
        <w:ind w:firstLine="858"/>
        <w:spacing w:after="0" w:line="285" w:lineRule="auto"/>
        <w:rPr>
          <w:sz w:val="20"/>
          <w:szCs w:val="20"/>
          <w:color w:val="auto"/>
        </w:rPr>
      </w:pPr>
      <w:r>
        <w:rPr>
          <w:rFonts w:ascii="Arial" w:cs="Arial" w:eastAsia="Arial" w:hAnsi="Arial"/>
          <w:sz w:val="13"/>
          <w:szCs w:val="13"/>
          <w:b w:val="1"/>
          <w:bCs w:val="1"/>
          <w:color w:val="282828"/>
        </w:rPr>
        <w:t xml:space="preserve">IN WITNESS WHEREOF, </w:t>
      </w:r>
      <w:r>
        <w:rPr>
          <w:rFonts w:ascii="Arial" w:cs="Arial" w:eastAsia="Arial" w:hAnsi="Arial"/>
          <w:sz w:val="13"/>
          <w:szCs w:val="13"/>
          <w:color w:val="282828"/>
        </w:rPr>
        <w:t>intending to be legally bound, and intending that this Agreement constitute an agreement executed under seal, each of the parties have caused this Agreement to be</w:t>
      </w:r>
      <w:r>
        <w:rPr>
          <w:rFonts w:ascii="Arial" w:cs="Arial" w:eastAsia="Arial" w:hAnsi="Arial"/>
          <w:sz w:val="13"/>
          <w:szCs w:val="13"/>
          <w:b w:val="1"/>
          <w:bCs w:val="1"/>
          <w:color w:val="282828"/>
        </w:rPr>
        <w:t xml:space="preserve"> </w:t>
      </w:r>
      <w:r>
        <w:rPr>
          <w:rFonts w:ascii="Arial" w:cs="Arial" w:eastAsia="Arial" w:hAnsi="Arial"/>
          <w:sz w:val="13"/>
          <w:szCs w:val="13"/>
          <w:color w:val="282828"/>
        </w:rPr>
        <w:t>executed under seal the day and year first above mentioned.</w:t>
      </w:r>
    </w:p>
    <w:p>
      <w:pPr>
        <w:spacing w:after="0" w:line="116" w:lineRule="exact"/>
        <w:rPr>
          <w:sz w:val="20"/>
          <w:szCs w:val="20"/>
          <w:color w:val="auto"/>
        </w:rPr>
      </w:pPr>
    </w:p>
    <w:p>
      <w:pPr>
        <w:spacing w:after="0"/>
        <w:tabs>
          <w:tab w:leader="none" w:pos="4480" w:val="left"/>
        </w:tabs>
        <w:rPr>
          <w:sz w:val="20"/>
          <w:szCs w:val="20"/>
          <w:color w:val="auto"/>
        </w:rPr>
      </w:pPr>
      <w:r>
        <w:rPr>
          <w:rFonts w:ascii="Arial" w:cs="Arial" w:eastAsia="Arial" w:hAnsi="Arial"/>
          <w:sz w:val="14"/>
          <w:szCs w:val="14"/>
          <w:b w:val="1"/>
          <w:bCs w:val="1"/>
          <w:color w:val="auto"/>
        </w:rPr>
        <w:t>BORROWER REPRESENTATIVE:</w:t>
      </w:r>
      <w:r>
        <w:rPr>
          <w:sz w:val="20"/>
          <w:szCs w:val="20"/>
          <w:color w:val="auto"/>
        </w:rPr>
        <w:tab/>
      </w:r>
      <w:r>
        <w:rPr>
          <w:rFonts w:ascii="Arial" w:cs="Arial" w:eastAsia="Arial" w:hAnsi="Arial"/>
          <w:sz w:val="14"/>
          <w:szCs w:val="14"/>
          <w:b w:val="1"/>
          <w:bCs w:val="1"/>
          <w:color w:val="auto"/>
        </w:rPr>
        <w:t>APTEVO THERAPEUTICS INC.</w:t>
      </w:r>
    </w:p>
    <w:p>
      <w:pPr>
        <w:spacing w:after="0" w:line="397"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Treasurer</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Address:</w:t>
      </w: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2401 4</w:t>
      </w:r>
      <w:r>
        <w:rPr>
          <w:rFonts w:ascii="Arial" w:cs="Arial" w:eastAsia="Arial" w:hAnsi="Arial"/>
          <w:sz w:val="11"/>
          <w:szCs w:val="11"/>
          <w:color w:val="auto"/>
        </w:rPr>
        <w:t>th</w:t>
      </w:r>
      <w:r>
        <w:rPr>
          <w:rFonts w:ascii="Arial" w:cs="Arial" w:eastAsia="Arial" w:hAnsi="Arial"/>
          <w:sz w:val="14"/>
          <w:szCs w:val="14"/>
          <w:color w:val="auto"/>
        </w:rPr>
        <w:t xml:space="preserve"> Avenue, Suite 1050</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Seattle, WA 98121</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General Counsel</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206.838.0503</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E-Mail: jlamothe@apvo.com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1"/>
          <w:szCs w:val="11"/>
          <w:color w:val="383838"/>
        </w:rPr>
        <w:t xml:space="preserve">MidCap </w:t>
      </w:r>
      <w:r>
        <w:rPr>
          <w:rFonts w:ascii="Arial" w:cs="Arial" w:eastAsia="Arial" w:hAnsi="Arial"/>
          <w:sz w:val="10"/>
          <w:szCs w:val="10"/>
          <w:i w:val="1"/>
          <w:iCs w:val="1"/>
          <w:color w:val="A1A1A1"/>
        </w:rPr>
        <w:t>I</w:t>
      </w:r>
      <w:r>
        <w:rPr>
          <w:rFonts w:ascii="Arial" w:cs="Arial" w:eastAsia="Arial" w:hAnsi="Arial"/>
          <w:sz w:val="11"/>
          <w:szCs w:val="11"/>
          <w:color w:val="383838"/>
        </w:rPr>
        <w:t xml:space="preserve"> Aptevo Therapeutics </w:t>
      </w:r>
      <w:r>
        <w:rPr>
          <w:rFonts w:ascii="Arial" w:cs="Arial" w:eastAsia="Arial" w:hAnsi="Arial"/>
          <w:sz w:val="11"/>
          <w:szCs w:val="11"/>
          <w:color w:val="A1A1A1"/>
        </w:rPr>
        <w:t>/</w:t>
      </w:r>
      <w:r>
        <w:rPr>
          <w:rFonts w:ascii="Arial" w:cs="Arial" w:eastAsia="Arial" w:hAnsi="Arial"/>
          <w:sz w:val="11"/>
          <w:szCs w:val="11"/>
          <w:color w:val="383838"/>
        </w:rPr>
        <w:t xml:space="preserve"> Amended and Restated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264160</wp:posOffset>
            </wp:positionV>
            <wp:extent cx="732409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160"/>
          </w:cols>
          <w:pgMar w:left="220" w:top="120" w:right="519" w:bottom="1440" w:gutter="0" w:footer="0" w:header="0"/>
        </w:sectPr>
      </w:pPr>
    </w:p>
    <w:bookmarkStart w:id="150" w:name="page151"/>
    <w:bookmarkEnd w:id="150"/>
    <w:p>
      <w:pPr>
        <w:spacing w:after="0"/>
        <w:tabs>
          <w:tab w:leader="none" w:pos="4480" w:val="left"/>
        </w:tabs>
        <w:rPr>
          <w:sz w:val="20"/>
          <w:szCs w:val="20"/>
          <w:color w:val="auto"/>
        </w:rPr>
      </w:pPr>
      <w:r>
        <w:rPr>
          <w:rFonts w:ascii="Arial" w:cs="Arial" w:eastAsia="Arial" w:hAnsi="Arial"/>
          <w:sz w:val="14"/>
          <w:szCs w:val="14"/>
          <w:b w:val="1"/>
          <w:bCs w:val="1"/>
          <w:color w:val="auto"/>
        </w:rPr>
        <w:t>BORROWERS</w:t>
      </w:r>
      <w:r>
        <w:rPr>
          <w:sz w:val="20"/>
          <w:szCs w:val="20"/>
          <w:color w:val="auto"/>
        </w:rPr>
        <w:tab/>
      </w:r>
      <w:r>
        <w:rPr>
          <w:rFonts w:ascii="Arial" w:cs="Arial" w:eastAsia="Arial" w:hAnsi="Arial"/>
          <w:sz w:val="14"/>
          <w:szCs w:val="14"/>
          <w:b w:val="1"/>
          <w:bCs w:val="1"/>
          <w:color w:val="auto"/>
        </w:rPr>
        <w:t>APTEVO THERAPEUTICS INC.</w:t>
      </w:r>
    </w:p>
    <w:p>
      <w:pPr>
        <w:spacing w:after="0" w:line="396"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Treasurer</w:t>
      </w:r>
    </w:p>
    <w:p>
      <w:pPr>
        <w:spacing w:after="0" w:line="21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APTEVO BIOTHERAPEUTICS LLC</w:t>
      </w:r>
    </w:p>
    <w:p>
      <w:pPr>
        <w:spacing w:after="0" w:line="397"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Treasurer</w:t>
      </w:r>
    </w:p>
    <w:p>
      <w:pPr>
        <w:spacing w:after="0" w:line="214" w:lineRule="exact"/>
        <w:rPr>
          <w:sz w:val="20"/>
          <w:szCs w:val="20"/>
          <w:color w:val="auto"/>
        </w:rPr>
      </w:pPr>
    </w:p>
    <w:p>
      <w:pPr>
        <w:jc w:val="right"/>
        <w:ind w:right="2559"/>
        <w:spacing w:after="0"/>
        <w:rPr>
          <w:sz w:val="20"/>
          <w:szCs w:val="20"/>
          <w:color w:val="auto"/>
        </w:rPr>
      </w:pPr>
      <w:r>
        <w:rPr>
          <w:rFonts w:ascii="Arial" w:cs="Arial" w:eastAsia="Arial" w:hAnsi="Arial"/>
          <w:sz w:val="14"/>
          <w:szCs w:val="14"/>
          <w:b w:val="1"/>
          <w:bCs w:val="1"/>
          <w:color w:val="auto"/>
        </w:rPr>
        <w:t>APTEVO RESEARCH AND DEVELOPMENT LLC</w:t>
      </w:r>
    </w:p>
    <w:p>
      <w:pPr>
        <w:spacing w:after="0" w:line="397"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383838"/>
        </w:rPr>
        <w:t xml:space="preserve">MidCap </w:t>
      </w:r>
      <w:r>
        <w:rPr>
          <w:rFonts w:ascii="Arial" w:cs="Arial" w:eastAsia="Arial" w:hAnsi="Arial"/>
          <w:sz w:val="11"/>
          <w:szCs w:val="11"/>
          <w:color w:val="A1A1A1"/>
        </w:rPr>
        <w:t>/</w:t>
      </w:r>
      <w:r>
        <w:rPr>
          <w:rFonts w:ascii="Arial" w:cs="Arial" w:eastAsia="Arial" w:hAnsi="Arial"/>
          <w:sz w:val="11"/>
          <w:szCs w:val="11"/>
          <w:color w:val="383838"/>
        </w:rPr>
        <w:t xml:space="preserve"> Aptevo Therapeut ics </w:t>
      </w:r>
      <w:r>
        <w:rPr>
          <w:rFonts w:ascii="Arial" w:cs="Arial" w:eastAsia="Arial" w:hAnsi="Arial"/>
          <w:sz w:val="11"/>
          <w:szCs w:val="11"/>
          <w:color w:val="A1A1A1"/>
        </w:rPr>
        <w:t>/</w:t>
      </w:r>
      <w:r>
        <w:rPr>
          <w:rFonts w:ascii="Arial" w:cs="Arial" w:eastAsia="Arial" w:hAnsi="Arial"/>
          <w:sz w:val="11"/>
          <w:szCs w:val="11"/>
          <w:color w:val="383838"/>
        </w:rPr>
        <w:t xml:space="preserve"> Amended and Restated Credit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264160</wp:posOffset>
            </wp:positionV>
            <wp:extent cx="732409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24"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color w:val="auto"/>
        </w:rPr>
        <w:t>AGENT:</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MIDCAP FINANCIAL TRUST</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 Apollo Capital Management, L.P.,</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its investment manager</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 Apollo Capital Management GP, LLC,</w:t>
      </w:r>
    </w:p>
    <w:p>
      <w:pPr>
        <w:spacing w:after="0" w:line="13"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its general partner</w:t>
      </w:r>
    </w:p>
    <w:p>
      <w:pPr>
        <w:spacing w:after="0" w:line="314"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/s/Maurice Amsellem</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Maurice Amsellem</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Authorized Signatory</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Address</w:t>
      </w:r>
      <w:r>
        <w:rPr>
          <w:rFonts w:ascii="Arial" w:cs="Arial" w:eastAsia="Arial" w:hAnsi="Arial"/>
          <w:sz w:val="14"/>
          <w:szCs w:val="14"/>
          <w:color w:val="auto"/>
        </w:rPr>
        <w: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c/o MidCap Financial Services, LLC, as servicer</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Account Manager for Aptevo transaction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notices@midcapfinancial.com</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with a copy to:</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c/o MidCap Financial Services, LLC, as servicer</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General Counsel</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legalnotices@midcapfinancial.com</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Payment Account Designation:</w:t>
      </w: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SunTrust Bank, N.A.</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ABA #: 061000104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Account Name: MidCap Financial Trust – Collections</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Account #: 1000113400435</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Attention: Aptevo Therapeutics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9"/>
          <w:szCs w:val="9"/>
          <w:color w:val="464646"/>
        </w:rPr>
        <w:t>Mi</w:t>
      </w:r>
      <w:r>
        <w:rPr>
          <w:rFonts w:ascii="Arial" w:cs="Arial" w:eastAsia="Arial" w:hAnsi="Arial"/>
          <w:sz w:val="9"/>
          <w:szCs w:val="9"/>
          <w:color w:val="626262"/>
        </w:rPr>
        <w:t>dCap</w:t>
      </w:r>
      <w:r>
        <w:rPr>
          <w:rFonts w:ascii="Arial" w:cs="Arial" w:eastAsia="Arial" w:hAnsi="Arial"/>
          <w:sz w:val="9"/>
          <w:szCs w:val="9"/>
          <w:color w:val="464646"/>
        </w:rPr>
        <w:t xml:space="preserve"> </w:t>
      </w:r>
      <w:r>
        <w:rPr>
          <w:rFonts w:ascii="Arial" w:cs="Arial" w:eastAsia="Arial" w:hAnsi="Arial"/>
          <w:sz w:val="9"/>
          <w:szCs w:val="9"/>
          <w:color w:val="A3A3A3"/>
        </w:rPr>
        <w:t>/</w:t>
      </w:r>
      <w:r>
        <w:rPr>
          <w:rFonts w:ascii="Arial" w:cs="Arial" w:eastAsia="Arial" w:hAnsi="Arial"/>
          <w:sz w:val="9"/>
          <w:szCs w:val="9"/>
          <w:color w:val="464646"/>
        </w:rPr>
        <w:t xml:space="preserve"> </w:t>
      </w:r>
      <w:r>
        <w:rPr>
          <w:rFonts w:ascii="Arial" w:cs="Arial" w:eastAsia="Arial" w:hAnsi="Arial"/>
          <w:sz w:val="9"/>
          <w:szCs w:val="9"/>
          <w:color w:val="626262"/>
        </w:rPr>
        <w:t>Ap</w:t>
      </w:r>
      <w:r>
        <w:rPr>
          <w:rFonts w:ascii="Arial" w:cs="Arial" w:eastAsia="Arial" w:hAnsi="Arial"/>
          <w:sz w:val="9"/>
          <w:szCs w:val="9"/>
          <w:color w:val="464646"/>
        </w:rPr>
        <w:t>t</w:t>
      </w:r>
      <w:r>
        <w:rPr>
          <w:rFonts w:ascii="Arial" w:cs="Arial" w:eastAsia="Arial" w:hAnsi="Arial"/>
          <w:sz w:val="9"/>
          <w:szCs w:val="9"/>
          <w:color w:val="626262"/>
        </w:rPr>
        <w:t>e</w:t>
      </w:r>
      <w:r>
        <w:rPr>
          <w:rFonts w:ascii="Arial" w:cs="Arial" w:eastAsia="Arial" w:hAnsi="Arial"/>
          <w:sz w:val="9"/>
          <w:szCs w:val="9"/>
          <w:color w:val="7B7B7B"/>
        </w:rPr>
        <w:t>v</w:t>
      </w:r>
      <w:r>
        <w:rPr>
          <w:rFonts w:ascii="Arial" w:cs="Arial" w:eastAsia="Arial" w:hAnsi="Arial"/>
          <w:sz w:val="9"/>
          <w:szCs w:val="9"/>
          <w:color w:val="626262"/>
        </w:rPr>
        <w:t>o</w:t>
      </w:r>
      <w:r>
        <w:rPr>
          <w:rFonts w:ascii="Arial" w:cs="Arial" w:eastAsia="Arial" w:hAnsi="Arial"/>
          <w:sz w:val="9"/>
          <w:szCs w:val="9"/>
          <w:color w:val="464646"/>
        </w:rPr>
        <w:t xml:space="preserve"> T h</w:t>
      </w:r>
      <w:r>
        <w:rPr>
          <w:rFonts w:ascii="Arial" w:cs="Arial" w:eastAsia="Arial" w:hAnsi="Arial"/>
          <w:sz w:val="9"/>
          <w:szCs w:val="9"/>
          <w:color w:val="626262"/>
        </w:rPr>
        <w:t>e</w:t>
      </w:r>
      <w:r>
        <w:rPr>
          <w:rFonts w:ascii="Arial" w:cs="Arial" w:eastAsia="Arial" w:hAnsi="Arial"/>
          <w:sz w:val="9"/>
          <w:szCs w:val="9"/>
          <w:color w:val="464646"/>
        </w:rPr>
        <w:t>rap</w:t>
      </w:r>
      <w:r>
        <w:rPr>
          <w:rFonts w:ascii="Arial" w:cs="Arial" w:eastAsia="Arial" w:hAnsi="Arial"/>
          <w:sz w:val="9"/>
          <w:szCs w:val="9"/>
          <w:color w:val="626262"/>
        </w:rPr>
        <w:t>eu</w:t>
      </w:r>
      <w:r>
        <w:rPr>
          <w:rFonts w:ascii="Arial" w:cs="Arial" w:eastAsia="Arial" w:hAnsi="Arial"/>
          <w:sz w:val="9"/>
          <w:szCs w:val="9"/>
          <w:color w:val="313131"/>
        </w:rPr>
        <w:t>t</w:t>
      </w:r>
      <w:r>
        <w:rPr>
          <w:rFonts w:ascii="Arial" w:cs="Arial" w:eastAsia="Arial" w:hAnsi="Arial"/>
          <w:sz w:val="9"/>
          <w:szCs w:val="9"/>
          <w:color w:val="626262"/>
        </w:rPr>
        <w:t>ic</w:t>
      </w:r>
      <w:r>
        <w:rPr>
          <w:rFonts w:ascii="Arial" w:cs="Arial" w:eastAsia="Arial" w:hAnsi="Arial"/>
          <w:sz w:val="9"/>
          <w:szCs w:val="9"/>
          <w:color w:val="7B7B7B"/>
        </w:rPr>
        <w:t>s</w:t>
      </w:r>
      <w:r>
        <w:rPr>
          <w:rFonts w:ascii="Arial" w:cs="Arial" w:eastAsia="Arial" w:hAnsi="Arial"/>
          <w:sz w:val="9"/>
          <w:szCs w:val="9"/>
          <w:color w:val="464646"/>
        </w:rPr>
        <w:t xml:space="preserve"> </w:t>
      </w:r>
      <w:r>
        <w:rPr>
          <w:rFonts w:ascii="Arial" w:cs="Arial" w:eastAsia="Arial" w:hAnsi="Arial"/>
          <w:sz w:val="9"/>
          <w:szCs w:val="9"/>
          <w:color w:val="A3A3A3"/>
        </w:rPr>
        <w:t>/</w:t>
      </w:r>
      <w:r>
        <w:rPr>
          <w:rFonts w:ascii="Arial" w:cs="Arial" w:eastAsia="Arial" w:hAnsi="Arial"/>
          <w:sz w:val="9"/>
          <w:szCs w:val="9"/>
          <w:color w:val="464646"/>
        </w:rPr>
        <w:t xml:space="preserve"> </w:t>
      </w:r>
      <w:r>
        <w:rPr>
          <w:rFonts w:ascii="Arial" w:cs="Arial" w:eastAsia="Arial" w:hAnsi="Arial"/>
          <w:sz w:val="9"/>
          <w:szCs w:val="9"/>
          <w:color w:val="626262"/>
        </w:rPr>
        <w:t>A</w:t>
      </w:r>
      <w:r>
        <w:rPr>
          <w:rFonts w:ascii="Arial" w:cs="Arial" w:eastAsia="Arial" w:hAnsi="Arial"/>
          <w:sz w:val="9"/>
          <w:szCs w:val="9"/>
          <w:color w:val="464646"/>
        </w:rPr>
        <w:t>m</w:t>
      </w:r>
      <w:r>
        <w:rPr>
          <w:rFonts w:ascii="Arial" w:cs="Arial" w:eastAsia="Arial" w:hAnsi="Arial"/>
          <w:sz w:val="9"/>
          <w:szCs w:val="9"/>
          <w:color w:val="7B7B7B"/>
        </w:rPr>
        <w:t>e</w:t>
      </w:r>
      <w:r>
        <w:rPr>
          <w:rFonts w:ascii="Arial" w:cs="Arial" w:eastAsia="Arial" w:hAnsi="Arial"/>
          <w:sz w:val="9"/>
          <w:szCs w:val="9"/>
          <w:color w:val="626262"/>
        </w:rPr>
        <w:t>nd</w:t>
      </w:r>
      <w:r>
        <w:rPr>
          <w:rFonts w:ascii="Arial" w:cs="Arial" w:eastAsia="Arial" w:hAnsi="Arial"/>
          <w:sz w:val="9"/>
          <w:szCs w:val="9"/>
          <w:color w:val="7B7B7B"/>
        </w:rPr>
        <w:t>e</w:t>
      </w:r>
      <w:r>
        <w:rPr>
          <w:rFonts w:ascii="Arial" w:cs="Arial" w:eastAsia="Arial" w:hAnsi="Arial"/>
          <w:sz w:val="9"/>
          <w:szCs w:val="9"/>
          <w:color w:val="626262"/>
        </w:rPr>
        <w:t>d and</w:t>
      </w:r>
      <w:r>
        <w:rPr>
          <w:rFonts w:ascii="Arial" w:cs="Arial" w:eastAsia="Arial" w:hAnsi="Arial"/>
          <w:sz w:val="9"/>
          <w:szCs w:val="9"/>
          <w:color w:val="464646"/>
        </w:rPr>
        <w:t xml:space="preserve"> R</w:t>
      </w:r>
      <w:r>
        <w:rPr>
          <w:rFonts w:ascii="Arial" w:cs="Arial" w:eastAsia="Arial" w:hAnsi="Arial"/>
          <w:sz w:val="9"/>
          <w:szCs w:val="9"/>
          <w:color w:val="626262"/>
        </w:rPr>
        <w:t>e</w:t>
      </w:r>
      <w:r>
        <w:rPr>
          <w:rFonts w:ascii="Arial" w:cs="Arial" w:eastAsia="Arial" w:hAnsi="Arial"/>
          <w:sz w:val="9"/>
          <w:szCs w:val="9"/>
          <w:color w:val="7B7B7B"/>
        </w:rPr>
        <w:t>s</w:t>
      </w:r>
      <w:r>
        <w:rPr>
          <w:rFonts w:ascii="Arial" w:cs="Arial" w:eastAsia="Arial" w:hAnsi="Arial"/>
          <w:sz w:val="9"/>
          <w:szCs w:val="9"/>
          <w:color w:val="1F1F1F"/>
        </w:rPr>
        <w:t>t</w:t>
      </w:r>
      <w:r>
        <w:rPr>
          <w:rFonts w:ascii="Arial" w:cs="Arial" w:eastAsia="Arial" w:hAnsi="Arial"/>
          <w:sz w:val="9"/>
          <w:szCs w:val="9"/>
          <w:color w:val="626262"/>
        </w:rPr>
        <w:t>a</w:t>
      </w:r>
      <w:r>
        <w:rPr>
          <w:rFonts w:ascii="Arial" w:cs="Arial" w:eastAsia="Arial" w:hAnsi="Arial"/>
          <w:sz w:val="9"/>
          <w:szCs w:val="9"/>
          <w:color w:val="1F1F1F"/>
        </w:rPr>
        <w:t>t</w:t>
      </w:r>
      <w:r>
        <w:rPr>
          <w:rFonts w:ascii="Arial" w:cs="Arial" w:eastAsia="Arial" w:hAnsi="Arial"/>
          <w:sz w:val="9"/>
          <w:szCs w:val="9"/>
          <w:color w:val="626262"/>
        </w:rPr>
        <w:t>ed Credi</w:t>
      </w:r>
      <w:r>
        <w:rPr>
          <w:rFonts w:ascii="Arial" w:cs="Arial" w:eastAsia="Arial" w:hAnsi="Arial"/>
          <w:sz w:val="9"/>
          <w:szCs w:val="9"/>
          <w:color w:val="464646"/>
        </w:rPr>
        <w:t xml:space="preserve"> t </w:t>
      </w:r>
      <w:r>
        <w:rPr>
          <w:rFonts w:ascii="Arial" w:cs="Arial" w:eastAsia="Arial" w:hAnsi="Arial"/>
          <w:sz w:val="9"/>
          <w:szCs w:val="9"/>
          <w:color w:val="626262"/>
        </w:rPr>
        <w:t>and Secu ri</w:t>
      </w:r>
      <w:r>
        <w:rPr>
          <w:rFonts w:ascii="Arial" w:cs="Arial" w:eastAsia="Arial" w:hAnsi="Arial"/>
          <w:sz w:val="9"/>
          <w:szCs w:val="9"/>
          <w:color w:val="464646"/>
        </w:rPr>
        <w:t>t</w:t>
      </w:r>
      <w:r>
        <w:rPr>
          <w:rFonts w:ascii="Arial" w:cs="Arial" w:eastAsia="Arial" w:hAnsi="Arial"/>
          <w:sz w:val="9"/>
          <w:szCs w:val="9"/>
          <w:color w:val="7B7B7B"/>
        </w:rPr>
        <w:t>y</w:t>
      </w:r>
      <w:r>
        <w:rPr>
          <w:rFonts w:ascii="Arial" w:cs="Arial" w:eastAsia="Arial" w:hAnsi="Arial"/>
          <w:sz w:val="9"/>
          <w:szCs w:val="9"/>
          <w:color w:val="464646"/>
        </w:rPr>
        <w:t xml:space="preserve"> </w:t>
      </w:r>
      <w:r>
        <w:rPr>
          <w:rFonts w:ascii="Arial" w:cs="Arial" w:eastAsia="Arial" w:hAnsi="Arial"/>
          <w:sz w:val="9"/>
          <w:szCs w:val="9"/>
          <w:color w:val="626262"/>
        </w:rPr>
        <w:t>A</w:t>
      </w:r>
      <w:r>
        <w:rPr>
          <w:rFonts w:ascii="Arial" w:cs="Arial" w:eastAsia="Arial" w:hAnsi="Arial"/>
          <w:sz w:val="9"/>
          <w:szCs w:val="9"/>
          <w:color w:val="7B7B7B"/>
        </w:rPr>
        <w:t>g</w:t>
      </w:r>
      <w:r>
        <w:rPr>
          <w:rFonts w:ascii="Arial" w:cs="Arial" w:eastAsia="Arial" w:hAnsi="Arial"/>
          <w:sz w:val="9"/>
          <w:szCs w:val="9"/>
          <w:color w:val="626262"/>
        </w:rPr>
        <w:t>reeme</w:t>
      </w:r>
      <w:r>
        <w:rPr>
          <w:rFonts w:ascii="Arial" w:cs="Arial" w:eastAsia="Arial" w:hAnsi="Arial"/>
          <w:sz w:val="9"/>
          <w:szCs w:val="9"/>
          <w:color w:val="464646"/>
        </w:rPr>
        <w:t xml:space="preserve"> 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255905</wp:posOffset>
            </wp:positionV>
            <wp:extent cx="732409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24" w:right="1440" w:bottom="1440" w:gutter="0" w:footer="0" w:header="0"/>
        </w:sectPr>
      </w:pPr>
    </w:p>
    <w:bookmarkStart w:id="152" w:name="page153"/>
    <w:bookmarkEnd w:id="152"/>
    <w:p>
      <w:pPr>
        <w:spacing w:after="0"/>
        <w:tabs>
          <w:tab w:leader="none" w:pos="4480" w:val="left"/>
        </w:tabs>
        <w:rPr>
          <w:sz w:val="20"/>
          <w:szCs w:val="20"/>
          <w:color w:val="auto"/>
        </w:rPr>
      </w:pPr>
      <w:r>
        <w:rPr>
          <w:rFonts w:ascii="Arial" w:cs="Arial" w:eastAsia="Arial" w:hAnsi="Arial"/>
          <w:sz w:val="14"/>
          <w:szCs w:val="14"/>
          <w:b w:val="1"/>
          <w:bCs w:val="1"/>
          <w:color w:val="auto"/>
        </w:rPr>
        <w:t>LENDER:</w:t>
      </w:r>
      <w:r>
        <w:rPr>
          <w:sz w:val="20"/>
          <w:szCs w:val="20"/>
          <w:color w:val="auto"/>
        </w:rPr>
        <w:tab/>
      </w:r>
      <w:r>
        <w:rPr>
          <w:rFonts w:ascii="Arial" w:cs="Arial" w:eastAsia="Arial" w:hAnsi="Arial"/>
          <w:sz w:val="14"/>
          <w:szCs w:val="14"/>
          <w:b w:val="1"/>
          <w:bCs w:val="1"/>
          <w:color w:val="auto"/>
        </w:rPr>
        <w:t>APOLLO INVESTMENT CORPORATION</w:t>
      </w:r>
    </w:p>
    <w:p>
      <w:pPr>
        <w:spacing w:after="0" w:line="167"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By: Apollo Investment Management, L.P., as Advisor</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By: ACC Management, LLC, as its General Partner</w:t>
      </w:r>
    </w:p>
    <w:p>
      <w:pPr>
        <w:spacing w:after="0" w:line="242"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color w:val="auto"/>
        </w:rPr>
        <w:t>/s/ Tanner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-8890</wp:posOffset>
            </wp:positionV>
            <wp:extent cx="64579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5795" cy="635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4"/>
          <w:szCs w:val="14"/>
          <w:color w:val="auto"/>
        </w:rPr>
        <w:t>Name: Tanner Powell</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Authorized Signatory</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Address</w:t>
      </w:r>
      <w:r>
        <w:rPr>
          <w:rFonts w:ascii="Arial" w:cs="Arial" w:eastAsia="Arial" w:hAnsi="Arial"/>
          <w:sz w:val="14"/>
          <w:szCs w:val="14"/>
          <w:color w:val="auto"/>
        </w:rPr>
        <w: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Apollo Investment Corporation</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9 West 57th Street, 37th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New York, New York 10019</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Howard Widra</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E-mail: hwidra@apolloLP.com</w:t>
      </w:r>
    </w:p>
    <w:p>
      <w:pPr>
        <w:spacing w:after="0" w:line="218"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with a copy to:</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Apollo Investment Corporation</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730 Fifth Avenue, 11th Floor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New York, New York 10019</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Sheriff Ibrahim, Jonathan Krain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602-680-4108</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E-mail: RealEstateOps@apolloLP.com,</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16026804108@tls.ldsprod.com</w:t>
      </w:r>
    </w:p>
    <w:p>
      <w:pPr>
        <w:spacing w:after="0" w:line="375" w:lineRule="exact"/>
        <w:rPr>
          <w:sz w:val="20"/>
          <w:szCs w:val="20"/>
          <w:color w:val="auto"/>
        </w:rPr>
      </w:pPr>
    </w:p>
    <w:p>
      <w:pPr>
        <w:spacing w:after="0"/>
        <w:rPr>
          <w:sz w:val="20"/>
          <w:szCs w:val="20"/>
          <w:color w:val="auto"/>
        </w:rPr>
      </w:pPr>
      <w:r>
        <w:rPr>
          <w:rFonts w:ascii="Arial" w:cs="Arial" w:eastAsia="Arial" w:hAnsi="Arial"/>
          <w:sz w:val="10"/>
          <w:szCs w:val="10"/>
          <w:color w:val="5B5B5B"/>
        </w:rPr>
        <w:t xml:space="preserve">M1dCap </w:t>
      </w:r>
      <w:r>
        <w:rPr>
          <w:rFonts w:ascii="Arial" w:cs="Arial" w:eastAsia="Arial" w:hAnsi="Arial"/>
          <w:sz w:val="10"/>
          <w:szCs w:val="10"/>
          <w:i w:val="1"/>
          <w:iCs w:val="1"/>
          <w:color w:val="5B5B5B"/>
        </w:rPr>
        <w:t>I</w:t>
      </w:r>
      <w:r>
        <w:rPr>
          <w:rFonts w:ascii="Arial" w:cs="Arial" w:eastAsia="Arial" w:hAnsi="Arial"/>
          <w:sz w:val="10"/>
          <w:szCs w:val="10"/>
          <w:color w:val="5B5B5B"/>
        </w:rPr>
        <w:t xml:space="preserve"> Aptcvo ThaapcUllc::i / Amended and Rcs1a1cd Crcdi1 nnd Sccurily Agrccmcnl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265430</wp:posOffset>
            </wp:positionV>
            <wp:extent cx="732409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24"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4"/>
          <w:szCs w:val="14"/>
          <w:b w:val="1"/>
          <w:bCs w:val="1"/>
          <w:color w:val="auto"/>
        </w:rPr>
        <w:t>ELM 2016-1 TRUST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LENDER:</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By: MidCap Financial Services Capital Management, LLC, as Servicer</w:t>
      </w:r>
    </w:p>
    <w:p>
      <w:pPr>
        <w:spacing w:after="0" w:line="187"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By</w:t>
      </w:r>
      <w:r>
        <w:rPr>
          <w:rFonts w:ascii="Arial" w:cs="Arial" w:eastAsia="Arial" w:hAnsi="Arial"/>
          <w:sz w:val="14"/>
          <w:szCs w:val="14"/>
          <w:i w:val="1"/>
          <w:iCs w:val="1"/>
          <w:color w:val="auto"/>
        </w:rPr>
        <w:t>:_</w:t>
      </w:r>
      <w:r>
        <w:rPr>
          <w:rFonts w:ascii="Arial" w:cs="Arial" w:eastAsia="Arial" w:hAnsi="Arial"/>
          <w:sz w:val="14"/>
          <w:szCs w:val="14"/>
          <w:i w:val="1"/>
          <w:iCs w:val="1"/>
          <w:u w:val="single" w:color="auto"/>
          <w:color w:val="auto"/>
        </w:rPr>
        <w:t>/s/John O’Dea</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John O’Dea</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Authorized Signatory</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Address</w:t>
      </w:r>
      <w:r>
        <w:rPr>
          <w:rFonts w:ascii="Arial" w:cs="Arial" w:eastAsia="Arial" w:hAnsi="Arial"/>
          <w:sz w:val="14"/>
          <w:szCs w:val="14"/>
          <w:color w:val="auto"/>
        </w:rPr>
        <w: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c/o MidCap Financial Services, LLC, as servicer</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Account Manager for Aptevo transaction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notices@midcapfinancial.com</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with a copy to:</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c/o MidCap Financial Services, LLC, as servicer</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General Counsel</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legalnotices@midcapfinancial.com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0"/>
          <w:szCs w:val="10"/>
          <w:color w:val="5B5B5B"/>
        </w:rPr>
        <w:t xml:space="preserve">M1dCap </w:t>
      </w:r>
      <w:r>
        <w:rPr>
          <w:rFonts w:ascii="Arial" w:cs="Arial" w:eastAsia="Arial" w:hAnsi="Arial"/>
          <w:sz w:val="10"/>
          <w:szCs w:val="10"/>
          <w:i w:val="1"/>
          <w:iCs w:val="1"/>
          <w:color w:val="5B5B5B"/>
        </w:rPr>
        <w:t>I</w:t>
      </w:r>
      <w:r>
        <w:rPr>
          <w:rFonts w:ascii="Arial" w:cs="Arial" w:eastAsia="Arial" w:hAnsi="Arial"/>
          <w:sz w:val="10"/>
          <w:szCs w:val="10"/>
          <w:color w:val="5B5B5B"/>
        </w:rPr>
        <w:t xml:space="preserve"> Aptcvo ThaapcUllc::i / Amended and Rcs1a1cd Crcdi1 nnd Sccurily Agrccmcnl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265430</wp:posOffset>
            </wp:positionV>
            <wp:extent cx="732409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24" w:right="1440" w:bottom="1440" w:gutter="0" w:footer="0" w:header="0"/>
        </w:sectPr>
      </w:pPr>
    </w:p>
    <w:bookmarkStart w:id="154" w:name="page155"/>
    <w:bookmarkEnd w:id="154"/>
    <w:p>
      <w:pPr>
        <w:ind w:left="4500"/>
        <w:spacing w:after="0"/>
        <w:rPr>
          <w:sz w:val="20"/>
          <w:szCs w:val="20"/>
          <w:color w:val="auto"/>
        </w:rPr>
      </w:pPr>
      <w:r>
        <w:rPr>
          <w:rFonts w:ascii="Arial" w:cs="Arial" w:eastAsia="Arial" w:hAnsi="Arial"/>
          <w:sz w:val="14"/>
          <w:szCs w:val="14"/>
          <w:b w:val="1"/>
          <w:bCs w:val="1"/>
          <w:color w:val="auto"/>
        </w:rPr>
        <w:t>FLEXPOINT MCLS SPV LLC</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LENDER:</w:t>
      </w:r>
    </w:p>
    <w:p>
      <w:pPr>
        <w:spacing w:after="0" w:line="152"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Daniel Edelman</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Name: Daniel Edelman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Title: Vice President</w:t>
      </w: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4"/>
          <w:szCs w:val="14"/>
          <w:u w:val="single" w:color="auto"/>
          <w:color w:val="auto"/>
        </w:rPr>
        <w:t>Address</w:t>
      </w:r>
      <w:r>
        <w:rPr>
          <w:rFonts w:ascii="Arial" w:cs="Arial" w:eastAsia="Arial" w:hAnsi="Arial"/>
          <w:sz w:val="14"/>
          <w:szCs w:val="14"/>
          <w:color w:val="auto"/>
        </w:rPr>
        <w: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Flexpoint MCLS SPV, LLC</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c/o MidCap Financial Services, LLC, as servicer</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Attn: Account Manager for Aptevo transaction</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notices@midcapfinancial.com</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with a copy to:</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Flexpoint MCLS SPV, LLC</w:t>
      </w:r>
    </w:p>
    <w:p>
      <w:pPr>
        <w:spacing w:after="0" w:line="13" w:lineRule="exact"/>
        <w:rPr>
          <w:sz w:val="20"/>
          <w:szCs w:val="20"/>
          <w:color w:val="auto"/>
        </w:rPr>
      </w:pPr>
    </w:p>
    <w:p>
      <w:pPr>
        <w:ind w:left="4500"/>
        <w:spacing w:after="0"/>
        <w:rPr>
          <w:sz w:val="20"/>
          <w:szCs w:val="20"/>
          <w:color w:val="auto"/>
        </w:rPr>
      </w:pPr>
      <w:r>
        <w:rPr>
          <w:rFonts w:ascii="Arial" w:cs="Arial" w:eastAsia="Arial" w:hAnsi="Arial"/>
          <w:sz w:val="12"/>
          <w:szCs w:val="12"/>
          <w:color w:val="auto"/>
        </w:rPr>
        <w:t>c/o MidCap Financial Services, LLC, as servicer</w:t>
      </w:r>
    </w:p>
    <w:p>
      <w:pPr>
        <w:spacing w:after="0" w:line="24"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7255 Woodmont Avenue, Suite 200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Bethesda, Maryland 20814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Attn: General Counsel</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Facsimile: 301-941-1450</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0000FF"/>
        </w:rPr>
        <w:t>legalnotices@midcapfinancial.com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00"/>
        <w:spacing w:after="0"/>
        <w:rPr>
          <w:sz w:val="20"/>
          <w:szCs w:val="20"/>
          <w:color w:val="auto"/>
        </w:rPr>
      </w:pPr>
      <w:r>
        <w:rPr>
          <w:rFonts w:ascii="Arial" w:cs="Arial" w:eastAsia="Arial" w:hAnsi="Arial"/>
          <w:sz w:val="10"/>
          <w:szCs w:val="10"/>
          <w:color w:val="181818"/>
        </w:rPr>
        <w:t xml:space="preserve">MidCap </w:t>
      </w:r>
      <w:r>
        <w:rPr>
          <w:rFonts w:ascii="Arial" w:cs="Arial" w:eastAsia="Arial" w:hAnsi="Arial"/>
          <w:sz w:val="10"/>
          <w:szCs w:val="10"/>
          <w:color w:val="2D2D2D"/>
        </w:rPr>
        <w:t>/</w:t>
      </w:r>
      <w:r>
        <w:rPr>
          <w:rFonts w:ascii="Arial" w:cs="Arial" w:eastAsia="Arial" w:hAnsi="Arial"/>
          <w:sz w:val="10"/>
          <w:szCs w:val="10"/>
          <w:color w:val="181818"/>
        </w:rPr>
        <w:t xml:space="preserve"> Aptevo Therapeutics/ Amended and Restated Credit </w:t>
      </w:r>
      <w:r>
        <w:rPr>
          <w:rFonts w:ascii="Arial" w:cs="Arial" w:eastAsia="Arial" w:hAnsi="Arial"/>
          <w:sz w:val="10"/>
          <w:szCs w:val="10"/>
          <w:color w:val="2D2D2D"/>
        </w:rPr>
        <w:t>and</w:t>
      </w:r>
      <w:r>
        <w:rPr>
          <w:rFonts w:ascii="Arial" w:cs="Arial" w:eastAsia="Arial" w:hAnsi="Arial"/>
          <w:sz w:val="10"/>
          <w:szCs w:val="10"/>
          <w:color w:val="181818"/>
        </w:rPr>
        <w:t xml:space="preserv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203835</wp:posOffset>
            </wp:positionV>
            <wp:extent cx="732409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24" w:right="1440" w:bottom="1440" w:gutter="0" w:footer="0" w:header="0"/>
        </w:sectPr>
      </w:pPr>
    </w:p>
    <w:bookmarkStart w:id="155" w:name="page156"/>
    <w:bookmarkEnd w:id="155"/>
    <w:tbl>
      <w:tblPr>
        <w:tblLayout w:type="fixed"/>
        <w:tblInd w:w="74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40" w:type="dxa"/>
            <w:vAlign w:val="bottom"/>
          </w:tcPr>
          <w:p>
            <w:pPr>
              <w:ind w:left="1500"/>
              <w:spacing w:after="0"/>
              <w:rPr>
                <w:sz w:val="20"/>
                <w:szCs w:val="20"/>
                <w:color w:val="auto"/>
              </w:rPr>
            </w:pPr>
            <w:r>
              <w:rPr>
                <w:rFonts w:ascii="Arial" w:cs="Arial" w:eastAsia="Arial" w:hAnsi="Arial"/>
                <w:sz w:val="14"/>
                <w:szCs w:val="14"/>
                <w:b w:val="1"/>
                <w:bCs w:val="1"/>
                <w:color w:val="auto"/>
              </w:rPr>
              <w:t>ANNEXES, EXHIBITS AND SCHEDULES</w:t>
            </w:r>
          </w:p>
        </w:tc>
      </w:tr>
      <w:tr>
        <w:trPr>
          <w:trHeight w:val="283"/>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ANNEXES</w:t>
            </w:r>
          </w:p>
        </w:tc>
        <w:tc>
          <w:tcPr>
            <w:tcW w:w="760" w:type="dxa"/>
            <w:vAlign w:val="bottom"/>
            <w:gridSpan w:val="2"/>
          </w:tcPr>
          <w:p>
            <w:pPr>
              <w:spacing w:after="0"/>
              <w:rPr>
                <w:sz w:val="24"/>
                <w:szCs w:val="24"/>
                <w:color w:val="auto"/>
              </w:rPr>
            </w:pPr>
          </w:p>
        </w:tc>
        <w:tc>
          <w:tcPr>
            <w:tcW w:w="5840" w:type="dxa"/>
            <w:vAlign w:val="bottom"/>
          </w:tcPr>
          <w:p>
            <w:pPr>
              <w:spacing w:after="0"/>
              <w:rPr>
                <w:sz w:val="24"/>
                <w:szCs w:val="24"/>
                <w:color w:val="auto"/>
              </w:rPr>
            </w:pPr>
          </w:p>
        </w:tc>
      </w:tr>
      <w:tr>
        <w:trPr>
          <w:trHeight w:val="327"/>
        </w:trPr>
        <w:tc>
          <w:tcPr>
            <w:tcW w:w="1440" w:type="dxa"/>
            <w:vAlign w:val="bottom"/>
            <w:gridSpan w:val="3"/>
          </w:tcPr>
          <w:p>
            <w:pPr>
              <w:spacing w:after="0"/>
              <w:rPr>
                <w:sz w:val="20"/>
                <w:szCs w:val="20"/>
                <w:color w:val="auto"/>
              </w:rPr>
            </w:pPr>
            <w:r>
              <w:rPr>
                <w:rFonts w:ascii="Arial" w:cs="Arial" w:eastAsia="Arial" w:hAnsi="Arial"/>
                <w:sz w:val="14"/>
                <w:szCs w:val="14"/>
                <w:color w:val="auto"/>
              </w:rPr>
              <w:t>Annex A</w:t>
            </w:r>
          </w:p>
        </w:tc>
        <w:tc>
          <w:tcPr>
            <w:tcW w:w="5840" w:type="dxa"/>
            <w:vAlign w:val="bottom"/>
          </w:tcPr>
          <w:p>
            <w:pPr>
              <w:ind w:left="880"/>
              <w:spacing w:after="0"/>
              <w:rPr>
                <w:sz w:val="20"/>
                <w:szCs w:val="20"/>
                <w:color w:val="auto"/>
              </w:rPr>
            </w:pPr>
            <w:r>
              <w:rPr>
                <w:rFonts w:ascii="Arial" w:cs="Arial" w:eastAsia="Arial" w:hAnsi="Arial"/>
                <w:sz w:val="14"/>
                <w:szCs w:val="14"/>
                <w:color w:val="auto"/>
              </w:rPr>
              <w:t>Commitment Annex</w:t>
            </w:r>
          </w:p>
        </w:tc>
      </w:tr>
      <w:tr>
        <w:trPr>
          <w:trHeight w:val="454"/>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5840" w:type="dxa"/>
            <w:vAlign w:val="bottom"/>
          </w:tcPr>
          <w:p>
            <w:pPr>
              <w:spacing w:after="0"/>
              <w:rPr>
                <w:sz w:val="24"/>
                <w:szCs w:val="24"/>
                <w:color w:val="auto"/>
              </w:rPr>
            </w:pPr>
          </w:p>
        </w:tc>
      </w:tr>
      <w:tr>
        <w:trPr>
          <w:trHeight w:val="282"/>
        </w:trPr>
        <w:tc>
          <w:tcPr>
            <w:tcW w:w="6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Exhibit A</w:t>
            </w:r>
          </w:p>
        </w:tc>
        <w:tc>
          <w:tcPr>
            <w:tcW w:w="760" w:type="dxa"/>
            <w:vAlign w:val="bottom"/>
            <w:gridSpan w:val="2"/>
          </w:tcPr>
          <w:p>
            <w:pPr>
              <w:spacing w:after="0"/>
              <w:rPr>
                <w:sz w:val="24"/>
                <w:szCs w:val="24"/>
                <w:color w:val="auto"/>
              </w:rPr>
            </w:pPr>
          </w:p>
        </w:tc>
        <w:tc>
          <w:tcPr>
            <w:tcW w:w="5840" w:type="dxa"/>
            <w:vAlign w:val="bottom"/>
          </w:tcPr>
          <w:p>
            <w:pPr>
              <w:ind w:left="900"/>
              <w:spacing w:after="0"/>
              <w:rPr>
                <w:sz w:val="20"/>
                <w:szCs w:val="20"/>
                <w:color w:val="auto"/>
              </w:rPr>
            </w:pPr>
            <w:r>
              <w:rPr>
                <w:rFonts w:ascii="Arial" w:cs="Arial" w:eastAsia="Arial" w:hAnsi="Arial"/>
                <w:sz w:val="14"/>
                <w:szCs w:val="14"/>
                <w:color w:val="auto"/>
              </w:rPr>
              <w:t>[Reserved]</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Exhibit B</w:t>
            </w:r>
          </w:p>
        </w:tc>
        <w:tc>
          <w:tcPr>
            <w:tcW w:w="5840" w:type="dxa"/>
            <w:vAlign w:val="bottom"/>
          </w:tcPr>
          <w:p>
            <w:pPr>
              <w:ind w:left="900"/>
              <w:spacing w:after="0" w:line="153" w:lineRule="exact"/>
              <w:rPr>
                <w:sz w:val="20"/>
                <w:szCs w:val="20"/>
                <w:color w:val="auto"/>
              </w:rPr>
            </w:pPr>
            <w:r>
              <w:rPr>
                <w:rFonts w:ascii="Arial" w:cs="Arial" w:eastAsia="Arial" w:hAnsi="Arial"/>
                <w:sz w:val="14"/>
                <w:szCs w:val="14"/>
                <w:color w:val="auto"/>
              </w:rPr>
              <w:t>Form of Compliance Certificate</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Exhibit C</w:t>
            </w:r>
          </w:p>
        </w:tc>
        <w:tc>
          <w:tcPr>
            <w:tcW w:w="5840" w:type="dxa"/>
            <w:vAlign w:val="bottom"/>
          </w:tcPr>
          <w:p>
            <w:pPr>
              <w:ind w:left="900"/>
              <w:spacing w:after="0"/>
              <w:rPr>
                <w:sz w:val="20"/>
                <w:szCs w:val="20"/>
                <w:color w:val="auto"/>
              </w:rPr>
            </w:pPr>
            <w:r>
              <w:rPr>
                <w:rFonts w:ascii="Arial" w:cs="Arial" w:eastAsia="Arial" w:hAnsi="Arial"/>
                <w:sz w:val="14"/>
                <w:szCs w:val="14"/>
                <w:color w:val="auto"/>
              </w:rPr>
              <w:t>[Reserved]</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Exhibit D</w:t>
            </w:r>
          </w:p>
        </w:tc>
        <w:tc>
          <w:tcPr>
            <w:tcW w:w="5840" w:type="dxa"/>
            <w:vAlign w:val="bottom"/>
          </w:tcPr>
          <w:p>
            <w:pPr>
              <w:ind w:left="900"/>
              <w:spacing w:after="0"/>
              <w:rPr>
                <w:sz w:val="20"/>
                <w:szCs w:val="20"/>
                <w:color w:val="auto"/>
              </w:rPr>
            </w:pPr>
            <w:r>
              <w:rPr>
                <w:rFonts w:ascii="Arial" w:cs="Arial" w:eastAsia="Arial" w:hAnsi="Arial"/>
                <w:sz w:val="14"/>
                <w:szCs w:val="14"/>
                <w:color w:val="auto"/>
              </w:rPr>
              <w:t>Form of Notice of Borrowing</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Exhibit E</w:t>
            </w:r>
          </w:p>
        </w:tc>
        <w:tc>
          <w:tcPr>
            <w:tcW w:w="5840" w:type="dxa"/>
            <w:vAlign w:val="bottom"/>
          </w:tcPr>
          <w:p>
            <w:pPr>
              <w:ind w:left="900"/>
              <w:spacing w:after="0" w:line="153" w:lineRule="exact"/>
              <w:rPr>
                <w:sz w:val="20"/>
                <w:szCs w:val="20"/>
                <w:color w:val="auto"/>
              </w:rPr>
            </w:pPr>
            <w:r>
              <w:rPr>
                <w:rFonts w:ascii="Arial" w:cs="Arial" w:eastAsia="Arial" w:hAnsi="Arial"/>
                <w:sz w:val="14"/>
                <w:szCs w:val="14"/>
                <w:color w:val="auto"/>
              </w:rPr>
              <w:t>Form of Payment Notification</w:t>
            </w:r>
          </w:p>
        </w:tc>
      </w:tr>
      <w:tr>
        <w:trPr>
          <w:trHeight w:val="179"/>
        </w:trPr>
        <w:tc>
          <w:tcPr>
            <w:tcW w:w="1440" w:type="dxa"/>
            <w:vAlign w:val="bottom"/>
            <w:gridSpan w:val="3"/>
          </w:tcPr>
          <w:p>
            <w:pPr>
              <w:spacing w:after="0"/>
              <w:rPr>
                <w:sz w:val="20"/>
                <w:szCs w:val="20"/>
                <w:color w:val="auto"/>
              </w:rPr>
            </w:pPr>
            <w:r>
              <w:rPr>
                <w:rFonts w:ascii="Arial" w:cs="Arial" w:eastAsia="Arial" w:hAnsi="Arial"/>
                <w:sz w:val="14"/>
                <w:szCs w:val="14"/>
                <w:color w:val="auto"/>
              </w:rPr>
              <w:t>Exhibit F</w:t>
            </w:r>
          </w:p>
        </w:tc>
        <w:tc>
          <w:tcPr>
            <w:tcW w:w="5840" w:type="dxa"/>
            <w:vAlign w:val="bottom"/>
          </w:tcPr>
          <w:p>
            <w:pPr>
              <w:ind w:left="880"/>
              <w:spacing w:after="0"/>
              <w:rPr>
                <w:sz w:val="20"/>
                <w:szCs w:val="20"/>
                <w:color w:val="auto"/>
              </w:rPr>
            </w:pPr>
            <w:r>
              <w:rPr>
                <w:rFonts w:ascii="Arial" w:cs="Arial" w:eastAsia="Arial" w:hAnsi="Arial"/>
                <w:sz w:val="14"/>
                <w:szCs w:val="14"/>
                <w:color w:val="auto"/>
              </w:rPr>
              <w:t>Form of Closing Checklist</w:t>
            </w:r>
          </w:p>
        </w:tc>
      </w:tr>
      <w:tr>
        <w:trPr>
          <w:trHeight w:val="445"/>
        </w:trPr>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SCHEDULES</w:t>
            </w:r>
          </w:p>
        </w:tc>
        <w:tc>
          <w:tcPr>
            <w:tcW w:w="58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9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2.1</w:t>
            </w:r>
          </w:p>
        </w:tc>
        <w:tc>
          <w:tcPr>
            <w:tcW w:w="5840" w:type="dxa"/>
            <w:vAlign w:val="bottom"/>
          </w:tcPr>
          <w:p>
            <w:pPr>
              <w:ind w:left="1080"/>
              <w:spacing w:after="0"/>
              <w:rPr>
                <w:sz w:val="20"/>
                <w:szCs w:val="20"/>
                <w:color w:val="auto"/>
              </w:rPr>
            </w:pPr>
            <w:r>
              <w:rPr>
                <w:rFonts w:ascii="Arial" w:cs="Arial" w:eastAsia="Arial" w:hAnsi="Arial"/>
                <w:sz w:val="14"/>
                <w:szCs w:val="14"/>
                <w:color w:val="auto"/>
              </w:rPr>
              <w:t>Scheduled Principal Payments for Term Loan</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3.1</w:t>
            </w:r>
          </w:p>
        </w:tc>
        <w:tc>
          <w:tcPr>
            <w:tcW w:w="5840" w:type="dxa"/>
            <w:vAlign w:val="bottom"/>
          </w:tcPr>
          <w:p>
            <w:pPr>
              <w:ind w:left="1080"/>
              <w:spacing w:after="0"/>
              <w:rPr>
                <w:sz w:val="20"/>
                <w:szCs w:val="20"/>
                <w:color w:val="auto"/>
              </w:rPr>
            </w:pPr>
            <w:r>
              <w:rPr>
                <w:rFonts w:ascii="Arial" w:cs="Arial" w:eastAsia="Arial" w:hAnsi="Arial"/>
                <w:sz w:val="14"/>
                <w:szCs w:val="14"/>
                <w:color w:val="auto"/>
                <w:w w:val="90"/>
              </w:rPr>
              <w:t>Existence, Organizational ID Numbers, Foreign Qualification, Prior Names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540"/>
              <w:spacing w:after="0"/>
              <w:rPr>
                <w:sz w:val="20"/>
                <w:szCs w:val="20"/>
                <w:color w:val="auto"/>
              </w:rPr>
            </w:pPr>
            <w:r>
              <w:rPr>
                <w:rFonts w:ascii="Arial" w:cs="Arial" w:eastAsia="Arial" w:hAnsi="Arial"/>
                <w:sz w:val="14"/>
                <w:szCs w:val="14"/>
                <w:color w:val="auto"/>
              </w:rPr>
              <w:t>Capitalization</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Schedule 3.6</w:t>
            </w:r>
          </w:p>
        </w:tc>
        <w:tc>
          <w:tcPr>
            <w:tcW w:w="5840" w:type="dxa"/>
            <w:vAlign w:val="bottom"/>
          </w:tcPr>
          <w:p>
            <w:pPr>
              <w:ind w:left="1080"/>
              <w:spacing w:after="0" w:line="153" w:lineRule="exact"/>
              <w:rPr>
                <w:sz w:val="20"/>
                <w:szCs w:val="20"/>
                <w:color w:val="auto"/>
              </w:rPr>
            </w:pPr>
            <w:r>
              <w:rPr>
                <w:rFonts w:ascii="Arial" w:cs="Arial" w:eastAsia="Arial" w:hAnsi="Arial"/>
                <w:sz w:val="14"/>
                <w:szCs w:val="14"/>
                <w:color w:val="auto"/>
              </w:rPr>
              <w:t>Litigation</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3.17</w:t>
            </w:r>
          </w:p>
        </w:tc>
        <w:tc>
          <w:tcPr>
            <w:tcW w:w="5840" w:type="dxa"/>
            <w:vAlign w:val="bottom"/>
          </w:tcPr>
          <w:p>
            <w:pPr>
              <w:ind w:left="1140"/>
              <w:spacing w:after="0"/>
              <w:rPr>
                <w:sz w:val="20"/>
                <w:szCs w:val="20"/>
                <w:color w:val="auto"/>
              </w:rPr>
            </w:pPr>
            <w:r>
              <w:rPr>
                <w:rFonts w:ascii="Arial" w:cs="Arial" w:eastAsia="Arial" w:hAnsi="Arial"/>
                <w:sz w:val="14"/>
                <w:szCs w:val="14"/>
                <w:color w:val="auto"/>
              </w:rPr>
              <w:t>Material Contracts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600"/>
              <w:spacing w:after="0"/>
              <w:rPr>
                <w:sz w:val="20"/>
                <w:szCs w:val="20"/>
                <w:color w:val="auto"/>
              </w:rPr>
            </w:pPr>
            <w:r>
              <w:rPr>
                <w:rFonts w:ascii="Arial" w:cs="Arial" w:eastAsia="Arial" w:hAnsi="Arial"/>
                <w:sz w:val="14"/>
                <w:szCs w:val="14"/>
                <w:color w:val="auto"/>
              </w:rPr>
              <w:t>Environmental Compliance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3.19</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600"/>
              <w:spacing w:after="0"/>
              <w:rPr>
                <w:sz w:val="20"/>
                <w:szCs w:val="20"/>
                <w:color w:val="auto"/>
              </w:rPr>
            </w:pPr>
            <w:r>
              <w:rPr>
                <w:rFonts w:ascii="Arial" w:cs="Arial" w:eastAsia="Arial" w:hAnsi="Arial"/>
                <w:sz w:val="14"/>
                <w:szCs w:val="14"/>
                <w:color w:val="auto"/>
              </w:rPr>
              <w:t>Intellectual Property</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4.9</w:t>
            </w:r>
          </w:p>
        </w:tc>
        <w:tc>
          <w:tcPr>
            <w:tcW w:w="5840" w:type="dxa"/>
            <w:vAlign w:val="bottom"/>
          </w:tcPr>
          <w:p>
            <w:pPr>
              <w:ind w:left="1080"/>
              <w:spacing w:after="0"/>
              <w:rPr>
                <w:sz w:val="20"/>
                <w:szCs w:val="20"/>
                <w:color w:val="auto"/>
              </w:rPr>
            </w:pPr>
            <w:r>
              <w:rPr>
                <w:rFonts w:ascii="Arial" w:cs="Arial" w:eastAsia="Arial" w:hAnsi="Arial"/>
                <w:sz w:val="14"/>
                <w:szCs w:val="14"/>
                <w:color w:val="auto"/>
              </w:rPr>
              <w:t>Litigation, Governmental Proceedings and Other Notice Events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540"/>
              <w:spacing w:after="0"/>
              <w:rPr>
                <w:sz w:val="20"/>
                <w:szCs w:val="20"/>
                <w:color w:val="auto"/>
              </w:rPr>
            </w:pPr>
            <w:r>
              <w:rPr>
                <w:rFonts w:ascii="Arial" w:cs="Arial" w:eastAsia="Arial" w:hAnsi="Arial"/>
                <w:sz w:val="14"/>
                <w:szCs w:val="14"/>
                <w:color w:val="auto"/>
              </w:rPr>
              <w:t>Debt; Contingent Obligations</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5.2</w:t>
            </w:r>
          </w:p>
        </w:tc>
        <w:tc>
          <w:tcPr>
            <w:tcW w:w="5840" w:type="dxa"/>
            <w:vAlign w:val="bottom"/>
          </w:tcPr>
          <w:p>
            <w:pPr>
              <w:ind w:left="1080"/>
              <w:spacing w:after="0"/>
              <w:rPr>
                <w:sz w:val="20"/>
                <w:szCs w:val="20"/>
                <w:color w:val="auto"/>
              </w:rPr>
            </w:pPr>
            <w:r>
              <w:rPr>
                <w:rFonts w:ascii="Arial" w:cs="Arial" w:eastAsia="Arial" w:hAnsi="Arial"/>
                <w:sz w:val="14"/>
                <w:szCs w:val="14"/>
                <w:color w:val="auto"/>
              </w:rPr>
              <w:t>Liens</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Schedule 5.7</w:t>
            </w:r>
          </w:p>
        </w:tc>
        <w:tc>
          <w:tcPr>
            <w:tcW w:w="5840" w:type="dxa"/>
            <w:vAlign w:val="bottom"/>
          </w:tcPr>
          <w:p>
            <w:pPr>
              <w:ind w:left="1080"/>
              <w:spacing w:after="0" w:line="153" w:lineRule="exact"/>
              <w:rPr>
                <w:sz w:val="20"/>
                <w:szCs w:val="20"/>
                <w:color w:val="auto"/>
              </w:rPr>
            </w:pPr>
            <w:r>
              <w:rPr>
                <w:rFonts w:ascii="Arial" w:cs="Arial" w:eastAsia="Arial" w:hAnsi="Arial"/>
                <w:sz w:val="14"/>
                <w:szCs w:val="14"/>
                <w:color w:val="auto"/>
              </w:rPr>
              <w:t>Permitted Investments</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Schedule 5.8</w:t>
            </w:r>
          </w:p>
        </w:tc>
        <w:tc>
          <w:tcPr>
            <w:tcW w:w="5840" w:type="dxa"/>
            <w:vAlign w:val="bottom"/>
          </w:tcPr>
          <w:p>
            <w:pPr>
              <w:ind w:left="1080"/>
              <w:spacing w:after="0" w:line="153" w:lineRule="exact"/>
              <w:rPr>
                <w:sz w:val="20"/>
                <w:szCs w:val="20"/>
                <w:color w:val="auto"/>
              </w:rPr>
            </w:pPr>
            <w:r>
              <w:rPr>
                <w:rFonts w:ascii="Arial" w:cs="Arial" w:eastAsia="Arial" w:hAnsi="Arial"/>
                <w:sz w:val="14"/>
                <w:szCs w:val="14"/>
                <w:color w:val="auto"/>
              </w:rPr>
              <w:t>Affiliate Transactions</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5.11</w:t>
            </w:r>
          </w:p>
        </w:tc>
        <w:tc>
          <w:tcPr>
            <w:tcW w:w="5840" w:type="dxa"/>
            <w:vAlign w:val="bottom"/>
          </w:tcPr>
          <w:p>
            <w:pPr>
              <w:ind w:left="1140"/>
              <w:spacing w:after="0"/>
              <w:rPr>
                <w:sz w:val="20"/>
                <w:szCs w:val="20"/>
                <w:color w:val="auto"/>
              </w:rPr>
            </w:pPr>
            <w:r>
              <w:rPr>
                <w:rFonts w:ascii="Arial" w:cs="Arial" w:eastAsia="Arial" w:hAnsi="Arial"/>
                <w:sz w:val="14"/>
                <w:szCs w:val="14"/>
                <w:color w:val="auto"/>
              </w:rPr>
              <w:t>Business Description</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5.14</w:t>
            </w:r>
          </w:p>
        </w:tc>
        <w:tc>
          <w:tcPr>
            <w:tcW w:w="5840" w:type="dxa"/>
            <w:vAlign w:val="bottom"/>
          </w:tcPr>
          <w:p>
            <w:pPr>
              <w:ind w:left="1140"/>
              <w:spacing w:after="0"/>
              <w:rPr>
                <w:sz w:val="20"/>
                <w:szCs w:val="20"/>
                <w:color w:val="auto"/>
              </w:rPr>
            </w:pPr>
            <w:r>
              <w:rPr>
                <w:rFonts w:ascii="Arial" w:cs="Arial" w:eastAsia="Arial" w:hAnsi="Arial"/>
                <w:sz w:val="14"/>
                <w:szCs w:val="14"/>
                <w:color w:val="auto"/>
              </w:rPr>
              <w:t>Deposit Accounts and Securities Accounts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6.2</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540"/>
              <w:spacing w:after="0"/>
              <w:rPr>
                <w:sz w:val="20"/>
                <w:szCs w:val="20"/>
                <w:color w:val="auto"/>
              </w:rPr>
            </w:pPr>
            <w:r>
              <w:rPr>
                <w:rFonts w:ascii="Arial" w:cs="Arial" w:eastAsia="Arial" w:hAnsi="Arial"/>
                <w:sz w:val="14"/>
                <w:szCs w:val="14"/>
                <w:color w:val="auto"/>
              </w:rPr>
              <w:t>Net Commercial Product Revenue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540"/>
              <w:spacing w:after="0"/>
              <w:rPr>
                <w:sz w:val="20"/>
                <w:szCs w:val="20"/>
                <w:color w:val="auto"/>
              </w:rPr>
            </w:pPr>
            <w:r>
              <w:rPr>
                <w:rFonts w:ascii="Arial" w:cs="Arial" w:eastAsia="Arial" w:hAnsi="Arial"/>
                <w:sz w:val="14"/>
                <w:szCs w:val="14"/>
                <w:color w:val="auto"/>
              </w:rPr>
              <w:t>Post-Closing Obligations</w:t>
            </w:r>
          </w:p>
        </w:tc>
      </w:tr>
      <w:tr>
        <w:trPr>
          <w:trHeight w:val="153"/>
        </w:trPr>
        <w:tc>
          <w:tcPr>
            <w:tcW w:w="1440" w:type="dxa"/>
            <w:vAlign w:val="bottom"/>
            <w:gridSpan w:val="3"/>
          </w:tcPr>
          <w:p>
            <w:pPr>
              <w:spacing w:after="0" w:line="153" w:lineRule="exact"/>
              <w:rPr>
                <w:sz w:val="20"/>
                <w:szCs w:val="20"/>
                <w:color w:val="auto"/>
              </w:rPr>
            </w:pPr>
            <w:r>
              <w:rPr>
                <w:rFonts w:ascii="Arial" w:cs="Arial" w:eastAsia="Arial" w:hAnsi="Arial"/>
                <w:sz w:val="14"/>
                <w:szCs w:val="14"/>
                <w:color w:val="auto"/>
              </w:rPr>
              <w:t>Schedule 8.2(a)</w:t>
            </w:r>
          </w:p>
        </w:tc>
        <w:tc>
          <w:tcPr>
            <w:tcW w:w="5840" w:type="dxa"/>
            <w:vAlign w:val="bottom"/>
          </w:tcPr>
          <w:p>
            <w:pPr>
              <w:ind w:left="1240"/>
              <w:spacing w:after="0" w:line="153" w:lineRule="exact"/>
              <w:rPr>
                <w:sz w:val="20"/>
                <w:szCs w:val="20"/>
                <w:color w:val="auto"/>
              </w:rPr>
            </w:pPr>
            <w:r>
              <w:rPr>
                <w:rFonts w:ascii="Arial" w:cs="Arial" w:eastAsia="Arial" w:hAnsi="Arial"/>
                <w:sz w:val="14"/>
                <w:szCs w:val="14"/>
                <w:color w:val="auto"/>
              </w:rPr>
              <w:t>Licensing and Products</w:t>
            </w:r>
          </w:p>
        </w:tc>
      </w:tr>
      <w:tr>
        <w:trPr>
          <w:trHeight w:val="162"/>
        </w:trPr>
        <w:tc>
          <w:tcPr>
            <w:tcW w:w="1440" w:type="dxa"/>
            <w:vAlign w:val="bottom"/>
            <w:gridSpan w:val="3"/>
          </w:tcPr>
          <w:p>
            <w:pPr>
              <w:spacing w:after="0"/>
              <w:rPr>
                <w:sz w:val="20"/>
                <w:szCs w:val="20"/>
                <w:color w:val="auto"/>
              </w:rPr>
            </w:pPr>
            <w:r>
              <w:rPr>
                <w:rFonts w:ascii="Arial" w:cs="Arial" w:eastAsia="Arial" w:hAnsi="Arial"/>
                <w:sz w:val="14"/>
                <w:szCs w:val="14"/>
                <w:color w:val="auto"/>
              </w:rPr>
              <w:t>Schedule 8.2(b)</w:t>
            </w:r>
          </w:p>
        </w:tc>
        <w:tc>
          <w:tcPr>
            <w:tcW w:w="5840" w:type="dxa"/>
            <w:vAlign w:val="bottom"/>
          </w:tcPr>
          <w:p>
            <w:pPr>
              <w:ind w:left="1240"/>
              <w:spacing w:after="0"/>
              <w:rPr>
                <w:sz w:val="20"/>
                <w:szCs w:val="20"/>
                <w:color w:val="auto"/>
              </w:rPr>
            </w:pPr>
            <w:r>
              <w:rPr>
                <w:rFonts w:ascii="Arial" w:cs="Arial" w:eastAsia="Arial" w:hAnsi="Arial"/>
                <w:sz w:val="14"/>
                <w:szCs w:val="14"/>
                <w:color w:val="auto"/>
              </w:rPr>
              <w:t>Exceptions to Healthcare Representations and Warranties Schedule</w:t>
            </w:r>
          </w:p>
        </w:tc>
      </w:tr>
      <w:tr>
        <w:trPr>
          <w:trHeight w:val="162"/>
        </w:trPr>
        <w:tc>
          <w:tcPr>
            <w:tcW w:w="680" w:type="dxa"/>
            <w:vAlign w:val="bottom"/>
          </w:tcPr>
          <w:p>
            <w:pPr>
              <w:spacing w:after="0"/>
              <w:rPr>
                <w:sz w:val="20"/>
                <w:szCs w:val="20"/>
                <w:color w:val="auto"/>
              </w:rPr>
            </w:pPr>
            <w:r>
              <w:rPr>
                <w:rFonts w:ascii="Arial" w:cs="Arial" w:eastAsia="Arial" w:hAnsi="Arial"/>
                <w:sz w:val="14"/>
                <w:szCs w:val="14"/>
                <w:color w:val="auto"/>
              </w:rPr>
              <w:t>9.1</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40" w:type="dxa"/>
            <w:vAlign w:val="bottom"/>
          </w:tcPr>
          <w:p>
            <w:pPr>
              <w:ind w:left="540"/>
              <w:spacing w:after="0"/>
              <w:rPr>
                <w:sz w:val="20"/>
                <w:szCs w:val="20"/>
                <w:color w:val="auto"/>
              </w:rPr>
            </w:pPr>
            <w:r>
              <w:rPr>
                <w:rFonts w:ascii="Arial" w:cs="Arial" w:eastAsia="Arial" w:hAnsi="Arial"/>
                <w:sz w:val="14"/>
                <w:szCs w:val="14"/>
                <w:color w:val="auto"/>
              </w:rPr>
              <w:t>Collateral</w:t>
            </w:r>
          </w:p>
        </w:tc>
      </w:tr>
      <w:tr>
        <w:trPr>
          <w:trHeight w:val="179"/>
        </w:trPr>
        <w:tc>
          <w:tcPr>
            <w:tcW w:w="1440" w:type="dxa"/>
            <w:vAlign w:val="bottom"/>
            <w:gridSpan w:val="3"/>
          </w:tcPr>
          <w:p>
            <w:pPr>
              <w:spacing w:after="0"/>
              <w:rPr>
                <w:sz w:val="20"/>
                <w:szCs w:val="20"/>
                <w:color w:val="auto"/>
              </w:rPr>
            </w:pPr>
            <w:r>
              <w:rPr>
                <w:rFonts w:ascii="Arial" w:cs="Arial" w:eastAsia="Arial" w:hAnsi="Arial"/>
                <w:sz w:val="14"/>
                <w:szCs w:val="14"/>
                <w:color w:val="auto"/>
              </w:rPr>
              <w:t>Schedule 9.2</w:t>
            </w:r>
          </w:p>
        </w:tc>
        <w:tc>
          <w:tcPr>
            <w:tcW w:w="5840" w:type="dxa"/>
            <w:vAlign w:val="bottom"/>
          </w:tcPr>
          <w:p>
            <w:pPr>
              <w:ind w:left="1080"/>
              <w:spacing w:after="0"/>
              <w:rPr>
                <w:sz w:val="20"/>
                <w:szCs w:val="20"/>
                <w:color w:val="auto"/>
              </w:rPr>
            </w:pPr>
            <w:r>
              <w:rPr>
                <w:rFonts w:ascii="Arial" w:cs="Arial" w:eastAsia="Arial" w:hAnsi="Arial"/>
                <w:sz w:val="14"/>
                <w:szCs w:val="14"/>
                <w:color w:val="auto"/>
              </w:rPr>
              <w:t>Location of Collateral</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6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61" w:right="1440" w:bottom="1440" w:gutter="0" w:footer="0" w:header="0"/>
        </w:sectPr>
      </w:pPr>
    </w:p>
    <w:bookmarkStart w:id="156" w:name="page157"/>
    <w:bookmarkEnd w:id="156"/>
    <w:p>
      <w:pPr>
        <w:ind w:left="3240"/>
        <w:spacing w:after="0"/>
        <w:rPr>
          <w:sz w:val="20"/>
          <w:szCs w:val="20"/>
          <w:color w:val="auto"/>
        </w:rPr>
      </w:pPr>
      <w:r>
        <w:rPr>
          <w:rFonts w:ascii="Arial" w:cs="Arial" w:eastAsia="Arial" w:hAnsi="Arial"/>
          <w:sz w:val="14"/>
          <w:szCs w:val="14"/>
          <w:b w:val="1"/>
          <w:bCs w:val="1"/>
          <w:color w:val="auto"/>
        </w:rPr>
        <w:t>Annex A to Credit Agreement (Commitment Annex)</w:t>
      </w:r>
    </w:p>
    <w:p>
      <w:pPr>
        <w:spacing w:after="0" w:line="200" w:lineRule="exact"/>
        <w:rPr>
          <w:sz w:val="20"/>
          <w:szCs w:val="20"/>
          <w:color w:val="auto"/>
        </w:rPr>
      </w:pPr>
    </w:p>
    <w:p>
      <w:pPr>
        <w:spacing w:after="0" w:line="260"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Term Loan Commitment Amount</w:t>
      </w:r>
    </w:p>
    <w:p>
      <w:pPr>
        <w:spacing w:after="0" w:line="17" w:lineRule="exact"/>
        <w:rPr>
          <w:sz w:val="20"/>
          <w:szCs w:val="20"/>
          <w:color w:val="auto"/>
        </w:rPr>
      </w:pPr>
    </w:p>
    <w:p>
      <w:pPr>
        <w:jc w:val="right"/>
        <w:ind w:right="2499"/>
        <w:spacing w:after="0"/>
        <w:rPr>
          <w:sz w:val="20"/>
          <w:szCs w:val="20"/>
          <w:color w:val="auto"/>
        </w:rPr>
      </w:pPr>
      <w:r>
        <w:rPr>
          <w:rFonts w:ascii="Arial" w:cs="Arial" w:eastAsia="Arial" w:hAnsi="Arial"/>
          <w:sz w:val="14"/>
          <w:szCs w:val="14"/>
          <w:b w:val="1"/>
          <w:bCs w:val="1"/>
          <w:color w:val="auto"/>
        </w:rPr>
        <w:t>Term Loan Commitment Percentage</w:t>
      </w:r>
    </w:p>
    <w:p>
      <w:pPr>
        <w:spacing w:after="0" w:line="176"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Lender</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ELM 2016-1</w:t>
      </w:r>
    </w:p>
    <w:p>
      <w:pPr>
        <w:spacing w:after="0" w:line="20"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Trust</w:t>
      </w:r>
    </w:p>
    <w:p>
      <w:pPr>
        <w:spacing w:after="0" w:line="87" w:lineRule="exact"/>
        <w:rPr>
          <w:sz w:val="20"/>
          <w:szCs w:val="20"/>
          <w:color w:val="auto"/>
        </w:rPr>
      </w:pPr>
    </w:p>
    <w:p>
      <w:pPr>
        <w:jc w:val="center"/>
        <w:ind w:right="3739"/>
        <w:spacing w:after="0"/>
        <w:rPr>
          <w:sz w:val="20"/>
          <w:szCs w:val="20"/>
          <w:color w:val="auto"/>
        </w:rPr>
      </w:pPr>
      <w:r>
        <w:rPr>
          <w:rFonts w:ascii="Arial" w:cs="Arial" w:eastAsia="Arial" w:hAnsi="Arial"/>
          <w:sz w:val="14"/>
          <w:szCs w:val="14"/>
          <w:color w:val="auto"/>
        </w:rPr>
        <w:t>Apollo Investment Corporation</w:t>
      </w:r>
    </w:p>
    <w:p>
      <w:pPr>
        <w:spacing w:after="0" w:line="78" w:lineRule="exact"/>
        <w:rPr>
          <w:sz w:val="20"/>
          <w:szCs w:val="20"/>
          <w:color w:val="auto"/>
        </w:rPr>
      </w:pPr>
    </w:p>
    <w:p>
      <w:pPr>
        <w:jc w:val="center"/>
        <w:ind w:right="3739"/>
        <w:spacing w:after="0"/>
        <w:rPr>
          <w:sz w:val="20"/>
          <w:szCs w:val="20"/>
          <w:color w:val="auto"/>
        </w:rPr>
      </w:pPr>
      <w:r>
        <w:rPr>
          <w:rFonts w:ascii="Arial" w:cs="Arial" w:eastAsia="Arial" w:hAnsi="Arial"/>
          <w:sz w:val="14"/>
          <w:szCs w:val="14"/>
          <w:color w:val="auto"/>
        </w:rPr>
        <w:t>Flexpoint MCLS SPV LLC</w:t>
      </w:r>
    </w:p>
    <w:p>
      <w:pPr>
        <w:spacing w:after="0" w:line="13" w:lineRule="exact"/>
        <w:rPr>
          <w:sz w:val="20"/>
          <w:szCs w:val="20"/>
          <w:color w:val="auto"/>
        </w:rPr>
      </w:pPr>
    </w:p>
    <w:p>
      <w:pPr>
        <w:ind w:left="4780"/>
        <w:spacing w:after="0"/>
        <w:tabs>
          <w:tab w:leader="none" w:pos="7260" w:val="left"/>
        </w:tabs>
        <w:rPr>
          <w:sz w:val="20"/>
          <w:szCs w:val="20"/>
          <w:color w:val="auto"/>
        </w:rPr>
      </w:pPr>
      <w:r>
        <w:rPr>
          <w:rFonts w:ascii="Arial" w:cs="Arial" w:eastAsia="Arial" w:hAnsi="Arial"/>
          <w:sz w:val="14"/>
          <w:szCs w:val="14"/>
          <w:color w:val="auto"/>
        </w:rPr>
        <w:t>$10,285,714.29</w:t>
      </w:r>
      <w:r>
        <w:rPr>
          <w:sz w:val="20"/>
          <w:szCs w:val="20"/>
          <w:color w:val="auto"/>
        </w:rPr>
        <w:tab/>
      </w:r>
      <w:r>
        <w:rPr>
          <w:rFonts w:ascii="Arial" w:cs="Arial" w:eastAsia="Arial" w:hAnsi="Arial"/>
          <w:sz w:val="12"/>
          <w:szCs w:val="12"/>
          <w:color w:val="auto"/>
        </w:rPr>
        <w:t>51.43%</w:t>
      </w:r>
    </w:p>
    <w:p>
      <w:pPr>
        <w:spacing w:after="0" w:line="247" w:lineRule="exact"/>
        <w:rPr>
          <w:sz w:val="20"/>
          <w:szCs w:val="20"/>
          <w:color w:val="auto"/>
        </w:rPr>
      </w:pPr>
    </w:p>
    <w:p>
      <w:pPr>
        <w:ind w:left="4820"/>
        <w:spacing w:after="0"/>
        <w:tabs>
          <w:tab w:leader="none" w:pos="7220" w:val="left"/>
        </w:tabs>
        <w:rPr>
          <w:sz w:val="20"/>
          <w:szCs w:val="20"/>
          <w:color w:val="auto"/>
        </w:rPr>
      </w:pPr>
      <w:r>
        <w:rPr>
          <w:rFonts w:ascii="Arial" w:cs="Arial" w:eastAsia="Arial" w:hAnsi="Arial"/>
          <w:sz w:val="14"/>
          <w:szCs w:val="14"/>
          <w:color w:val="auto"/>
        </w:rPr>
        <w:t>$8,571,428.57</w:t>
      </w:r>
      <w:r>
        <w:rPr>
          <w:sz w:val="20"/>
          <w:szCs w:val="20"/>
          <w:color w:val="auto"/>
        </w:rPr>
        <w:tab/>
      </w:r>
      <w:r>
        <w:rPr>
          <w:rFonts w:ascii="Arial" w:cs="Arial" w:eastAsia="Arial" w:hAnsi="Arial"/>
          <w:sz w:val="12"/>
          <w:szCs w:val="12"/>
          <w:color w:val="auto"/>
        </w:rPr>
        <w:t>42.86%</w:t>
      </w:r>
    </w:p>
    <w:p>
      <w:pPr>
        <w:spacing w:after="0" w:line="269" w:lineRule="exact"/>
        <w:rPr>
          <w:sz w:val="20"/>
          <w:szCs w:val="20"/>
          <w:color w:val="auto"/>
        </w:rPr>
      </w:pPr>
    </w:p>
    <w:p>
      <w:pPr>
        <w:ind w:left="4820"/>
        <w:spacing w:after="0"/>
        <w:tabs>
          <w:tab w:leader="none" w:pos="7240" w:val="left"/>
        </w:tabs>
        <w:rPr>
          <w:sz w:val="20"/>
          <w:szCs w:val="20"/>
          <w:color w:val="auto"/>
        </w:rPr>
      </w:pPr>
      <w:r>
        <w:rPr>
          <w:rFonts w:ascii="Arial" w:cs="Arial" w:eastAsia="Arial" w:hAnsi="Arial"/>
          <w:sz w:val="14"/>
          <w:szCs w:val="14"/>
          <w:color w:val="auto"/>
        </w:rPr>
        <w:t>$1,142,857.14</w:t>
      </w:r>
      <w:r>
        <w:rPr>
          <w:sz w:val="20"/>
          <w:szCs w:val="20"/>
          <w:color w:val="auto"/>
        </w:rPr>
        <w:tab/>
      </w:r>
      <w:r>
        <w:rPr>
          <w:rFonts w:ascii="Arial" w:cs="Arial" w:eastAsia="Arial" w:hAnsi="Arial"/>
          <w:sz w:val="12"/>
          <w:szCs w:val="12"/>
          <w:color w:val="auto"/>
        </w:rPr>
        <w:t>5.71%</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179"/>
        </w:trPr>
        <w:tc>
          <w:tcPr>
            <w:tcW w:w="2000" w:type="dxa"/>
            <w:vAlign w:val="bottom"/>
          </w:tcPr>
          <w:p>
            <w:pPr>
              <w:spacing w:after="0"/>
              <w:rPr>
                <w:sz w:val="20"/>
                <w:szCs w:val="20"/>
                <w:color w:val="auto"/>
              </w:rPr>
            </w:pPr>
            <w:r>
              <w:rPr>
                <w:rFonts w:ascii="Arial" w:cs="Arial" w:eastAsia="Arial" w:hAnsi="Arial"/>
                <w:sz w:val="14"/>
                <w:szCs w:val="14"/>
                <w:color w:val="auto"/>
              </w:rPr>
              <w:t>TOTALS</w:t>
            </w:r>
          </w:p>
        </w:tc>
        <w:tc>
          <w:tcPr>
            <w:tcW w:w="2360" w:type="dxa"/>
            <w:vAlign w:val="bottom"/>
          </w:tcPr>
          <w:p>
            <w:pPr>
              <w:jc w:val="right"/>
              <w:spacing w:after="0"/>
              <w:rPr>
                <w:sz w:val="20"/>
                <w:szCs w:val="20"/>
                <w:color w:val="auto"/>
              </w:rPr>
            </w:pPr>
            <w:r>
              <w:rPr>
                <w:rFonts w:ascii="Arial" w:cs="Arial" w:eastAsia="Arial" w:hAnsi="Arial"/>
                <w:sz w:val="14"/>
                <w:szCs w:val="14"/>
                <w:color w:val="auto"/>
              </w:rPr>
              <w:t>$20,000,000.00</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6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61" w:right="1440" w:bottom="1440" w:gutter="0" w:footer="0" w:header="0"/>
        </w:sectPr>
      </w:pPr>
    </w:p>
    <w:bookmarkStart w:id="157" w:name="page158"/>
    <w:bookmarkEnd w:id="157"/>
    <w:p>
      <w:pPr>
        <w:jc w:val="center"/>
        <w:ind w:right="139"/>
        <w:spacing w:after="0"/>
        <w:rPr>
          <w:sz w:val="20"/>
          <w:szCs w:val="20"/>
          <w:color w:val="auto"/>
        </w:rPr>
      </w:pPr>
      <w:r>
        <w:rPr>
          <w:rFonts w:ascii="Arial" w:cs="Arial" w:eastAsia="Arial" w:hAnsi="Arial"/>
          <w:sz w:val="12"/>
          <w:szCs w:val="12"/>
          <w:b w:val="1"/>
          <w:bCs w:val="1"/>
          <w:color w:val="auto"/>
        </w:rPr>
        <w:t>Exhibit A to Credit Agreement (Reserved)</w:t>
      </w:r>
    </w:p>
    <w:p>
      <w:pPr>
        <w:spacing w:after="0" w:line="379"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Therapeutics / Amended and Restated Credit and Security Agreement</w:t>
      </w:r>
    </w:p>
    <w:p>
      <w:pPr>
        <w:ind w:left="60"/>
        <w:spacing w:after="0"/>
        <w:rPr>
          <w:sz w:val="20"/>
          <w:szCs w:val="20"/>
          <w:color w:val="auto"/>
        </w:rPr>
      </w:pPr>
      <w:r>
        <w:rPr>
          <w:rFonts w:ascii="Arial" w:cs="Arial" w:eastAsia="Arial" w:hAnsi="Arial"/>
          <w:sz w:val="10"/>
          <w:szCs w:val="10"/>
          <w:color w:val="auto"/>
        </w:rPr>
        <w:t>\\DC - 036639/000031 - 12505399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61" w:right="1440" w:bottom="1440" w:gutter="0" w:footer="0" w:header="0"/>
        </w:sectPr>
      </w:pPr>
    </w:p>
    <w:bookmarkStart w:id="158" w:name="page159"/>
    <w:bookmarkEnd w:id="158"/>
    <w:p>
      <w:pPr>
        <w:ind w:left="2580"/>
        <w:spacing w:after="0"/>
        <w:rPr>
          <w:sz w:val="20"/>
          <w:szCs w:val="20"/>
          <w:color w:val="auto"/>
        </w:rPr>
      </w:pPr>
      <w:r>
        <w:rPr>
          <w:rFonts w:ascii="Arial" w:cs="Arial" w:eastAsia="Arial" w:hAnsi="Arial"/>
          <w:sz w:val="14"/>
          <w:szCs w:val="14"/>
          <w:b w:val="1"/>
          <w:bCs w:val="1"/>
          <w:color w:val="auto"/>
        </w:rPr>
        <w:t>Exhibit B to Credit Agreement (Form of Compliance Certificate)</w:t>
      </w:r>
    </w:p>
    <w:p>
      <w:pPr>
        <w:spacing w:after="0" w:line="297"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COMPLIANCE CERTIFICATE</w:t>
      </w:r>
    </w:p>
    <w:p>
      <w:pPr>
        <w:spacing w:after="0" w:line="154" w:lineRule="exact"/>
        <w:rPr>
          <w:sz w:val="20"/>
          <w:szCs w:val="20"/>
          <w:color w:val="auto"/>
        </w:rPr>
      </w:pPr>
    </w:p>
    <w:p>
      <w:pPr>
        <w:ind w:left="1500"/>
        <w:spacing w:after="0"/>
        <w:tabs>
          <w:tab w:leader="none" w:pos="1900" w:val="left"/>
          <w:tab w:leader="none" w:pos="2740" w:val="left"/>
          <w:tab w:leader="none" w:pos="3500" w:val="left"/>
          <w:tab w:leader="none" w:pos="4120" w:val="left"/>
          <w:tab w:leader="none" w:pos="9160" w:val="left"/>
        </w:tabs>
        <w:rPr>
          <w:sz w:val="20"/>
          <w:szCs w:val="20"/>
          <w:color w:val="auto"/>
        </w:rPr>
      </w:pPr>
      <w:r>
        <w:rPr>
          <w:rFonts w:ascii="Arial" w:cs="Arial" w:eastAsia="Arial" w:hAnsi="Arial"/>
          <w:sz w:val="14"/>
          <w:szCs w:val="14"/>
          <w:color w:val="auto"/>
        </w:rPr>
        <w:t>This</w:t>
        <w:tab/>
        <w:t>Compliance</w:t>
        <w:tab/>
        <w:t>Certificate</w:t>
        <w:tab/>
        <w:t>is  given</w:t>
        <w:tab/>
        <w:t>by</w:t>
      </w:r>
      <w:r>
        <w:rPr>
          <w:sz w:val="20"/>
          <w:szCs w:val="20"/>
          <w:color w:val="auto"/>
        </w:rPr>
        <w:tab/>
      </w:r>
      <w:r>
        <w:rPr>
          <w:rFonts w:ascii="Arial" w:cs="Arial" w:eastAsia="Arial" w:hAnsi="Arial"/>
          <w:sz w:val="14"/>
          <w:szCs w:val="14"/>
          <w:color w:val="auto"/>
        </w:rPr>
        <w:t xml:space="preserve">, a Responsible Officer of </w:t>
      </w:r>
      <w:r>
        <w:rPr>
          <w:rFonts w:ascii="Arial" w:cs="Arial" w:eastAsia="Arial" w:hAnsi="Arial"/>
          <w:sz w:val="14"/>
          <w:szCs w:val="14"/>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-6350</wp:posOffset>
            </wp:positionV>
            <wp:extent cx="5270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705" cy="6350"/>
                    </a:xfrm>
                    <a:prstGeom prst="rect">
                      <a:avLst/>
                    </a:prstGeom>
                    <a:noFill/>
                  </pic:spPr>
                </pic:pic>
              </a:graphicData>
            </a:graphic>
          </wp:anchor>
        </w:drawing>
      </w:r>
    </w:p>
    <w:p>
      <w:pPr>
        <w:jc w:val="both"/>
        <w:ind w:left="740"/>
        <w:spacing w:after="0" w:line="244" w:lineRule="auto"/>
        <w:rPr>
          <w:sz w:val="20"/>
          <w:szCs w:val="20"/>
          <w:color w:val="auto"/>
        </w:rPr>
      </w:pPr>
      <w:r>
        <w:rPr>
          <w:rFonts w:ascii="Arial" w:cs="Arial" w:eastAsia="Arial" w:hAnsi="Arial"/>
          <w:sz w:val="14"/>
          <w:szCs w:val="14"/>
          <w:b w:val="1"/>
          <w:bCs w:val="1"/>
          <w:color w:val="auto"/>
        </w:rPr>
        <w:t xml:space="preserve">Therapeutics Inc. </w:t>
      </w:r>
      <w:r>
        <w:rPr>
          <w:rFonts w:ascii="Arial" w:cs="Arial" w:eastAsia="Arial" w:hAnsi="Arial"/>
          <w:sz w:val="14"/>
          <w:szCs w:val="14"/>
          <w:color w:val="auto"/>
        </w:rPr>
        <w:t>(the “</w:t>
      </w:r>
      <w:r>
        <w:rPr>
          <w:rFonts w:ascii="Arial" w:cs="Arial" w:eastAsia="Arial" w:hAnsi="Arial"/>
          <w:sz w:val="14"/>
          <w:szCs w:val="14"/>
          <w:b w:val="1"/>
          <w:bCs w:val="1"/>
          <w:color w:val="auto"/>
        </w:rPr>
        <w:t>Borrower Representative</w:t>
      </w:r>
      <w:r>
        <w:rPr>
          <w:rFonts w:ascii="Arial" w:cs="Arial" w:eastAsia="Arial" w:hAnsi="Arial"/>
          <w:sz w:val="14"/>
          <w:szCs w:val="14"/>
          <w:color w:val="auto"/>
        </w:rPr>
        <w:t>”), pursuant to that certain Amended and Restated Credit and Security Agreement dated as of August 6, 2018 among Borrower</w:t>
      </w:r>
      <w:r>
        <w:rPr>
          <w:rFonts w:ascii="Arial" w:cs="Arial" w:eastAsia="Arial" w:hAnsi="Arial"/>
          <w:sz w:val="14"/>
          <w:szCs w:val="14"/>
          <w:b w:val="1"/>
          <w:bCs w:val="1"/>
          <w:color w:val="auto"/>
        </w:rPr>
        <w:t xml:space="preserve"> </w:t>
      </w:r>
      <w:r>
        <w:rPr>
          <w:rFonts w:ascii="Arial" w:cs="Arial" w:eastAsia="Arial" w:hAnsi="Arial"/>
          <w:sz w:val="14"/>
          <w:szCs w:val="14"/>
          <w:color w:val="auto"/>
        </w:rPr>
        <w:t>Representative, Aptevo Biotherapeutics LLC, Aptevo Research and Development LLC, and any additional Borrower that may hereafter be added thereto (collectively, “</w:t>
      </w:r>
      <w:r>
        <w:rPr>
          <w:rFonts w:ascii="Arial" w:cs="Arial" w:eastAsia="Arial" w:hAnsi="Arial"/>
          <w:sz w:val="14"/>
          <w:szCs w:val="14"/>
          <w:b w:val="1"/>
          <w:bCs w:val="1"/>
          <w:color w:val="auto"/>
        </w:rPr>
        <w:t>Borrowers</w:t>
      </w:r>
      <w:r>
        <w:rPr>
          <w:rFonts w:ascii="Arial" w:cs="Arial" w:eastAsia="Arial" w:hAnsi="Arial"/>
          <w:sz w:val="14"/>
          <w:szCs w:val="14"/>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4"/>
          <w:szCs w:val="14"/>
          <w:b w:val="1"/>
          <w:bCs w:val="1"/>
          <w:color w:val="auto"/>
        </w:rPr>
        <w:t>Credit Agreement</w:t>
      </w:r>
      <w:r>
        <w:rPr>
          <w:rFonts w:ascii="Arial" w:cs="Arial" w:eastAsia="Arial" w:hAnsi="Arial"/>
          <w:sz w:val="14"/>
          <w:szCs w:val="14"/>
          <w:color w:val="auto"/>
        </w:rPr>
        <w:t>”). Capitalized terms used herein without definition shall have the meanings set forth in the Credit Agreement.</w:t>
      </w:r>
    </w:p>
    <w:p>
      <w:pPr>
        <w:spacing w:after="0" w:line="13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The undersigned Responsible Officer hereby certifies to Agent and Lenders that:</w:t>
      </w:r>
    </w:p>
    <w:p>
      <w:pPr>
        <w:spacing w:after="0" w:line="154" w:lineRule="exact"/>
        <w:rPr>
          <w:sz w:val="20"/>
          <w:szCs w:val="20"/>
          <w:color w:val="auto"/>
        </w:rPr>
      </w:pPr>
    </w:p>
    <w:p>
      <w:pPr>
        <w:jc w:val="both"/>
        <w:ind w:left="740" w:firstLine="751"/>
        <w:spacing w:after="0" w:line="255" w:lineRule="auto"/>
        <w:rPr>
          <w:sz w:val="20"/>
          <w:szCs w:val="20"/>
          <w:color w:val="auto"/>
        </w:rPr>
      </w:pPr>
      <w:r>
        <w:rPr>
          <w:rFonts w:ascii="Arial" w:cs="Arial" w:eastAsia="Arial" w:hAnsi="Arial"/>
          <w:sz w:val="14"/>
          <w:szCs w:val="14"/>
          <w:color w:val="auto"/>
        </w:rPr>
        <w:t>(a) 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 subject, in the case of interim financial statements, to year end reconciliation and the absence of footnotes;</w:t>
      </w:r>
    </w:p>
    <w:p>
      <w:pPr>
        <w:spacing w:after="0" w:line="126" w:lineRule="exact"/>
        <w:rPr>
          <w:sz w:val="20"/>
          <w:szCs w:val="20"/>
          <w:color w:val="auto"/>
        </w:rPr>
      </w:pPr>
    </w:p>
    <w:p>
      <w:pPr>
        <w:jc w:val="both"/>
        <w:ind w:left="740" w:firstLine="751"/>
        <w:spacing w:after="0" w:line="248" w:lineRule="auto"/>
        <w:rPr>
          <w:sz w:val="20"/>
          <w:szCs w:val="20"/>
          <w:color w:val="auto"/>
        </w:rPr>
      </w:pPr>
      <w:r>
        <w:rPr>
          <w:rFonts w:ascii="Arial" w:cs="Arial" w:eastAsia="Arial" w:hAnsi="Arial"/>
          <w:sz w:val="14"/>
          <w:szCs w:val="14"/>
          <w:color w:val="auto"/>
        </w:rPr>
        <w:t xml:space="preserve">(b) 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4"/>
          <w:szCs w:val="14"/>
          <w:b w:val="1"/>
          <w:bCs w:val="1"/>
          <w:u w:val="single" w:color="auto"/>
          <w:color w:val="auto"/>
        </w:rPr>
        <w:t>Schedule 1</w:t>
      </w:r>
      <w:r>
        <w:rPr>
          <w:rFonts w:ascii="Arial" w:cs="Arial" w:eastAsia="Arial" w:hAnsi="Arial"/>
          <w:sz w:val="14"/>
          <w:szCs w:val="14"/>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28" w:lineRule="exact"/>
        <w:rPr>
          <w:sz w:val="20"/>
          <w:szCs w:val="20"/>
          <w:color w:val="auto"/>
        </w:rPr>
      </w:pPr>
    </w:p>
    <w:p>
      <w:pPr>
        <w:jc w:val="both"/>
        <w:ind w:left="740" w:firstLine="750"/>
        <w:spacing w:after="0" w:line="258" w:lineRule="auto"/>
        <w:rPr>
          <w:sz w:val="20"/>
          <w:szCs w:val="20"/>
          <w:color w:val="auto"/>
        </w:rPr>
      </w:pPr>
      <w:r>
        <w:rPr>
          <w:rFonts w:ascii="Arial" w:cs="Arial" w:eastAsia="Arial" w:hAnsi="Arial"/>
          <w:sz w:val="14"/>
          <w:szCs w:val="14"/>
          <w:color w:val="auto"/>
        </w:rPr>
        <w:t xml:space="preserve">(c) except as noted on </w:t>
      </w:r>
      <w:r>
        <w:rPr>
          <w:rFonts w:ascii="Arial" w:cs="Arial" w:eastAsia="Arial" w:hAnsi="Arial"/>
          <w:sz w:val="14"/>
          <w:szCs w:val="14"/>
          <w:b w:val="1"/>
          <w:bCs w:val="1"/>
          <w:u w:val="single" w:color="auto"/>
          <w:color w:val="auto"/>
        </w:rPr>
        <w:t>Schedule 2</w:t>
      </w:r>
      <w:r>
        <w:rPr>
          <w:rFonts w:ascii="Arial" w:cs="Arial" w:eastAsia="Arial" w:hAnsi="Arial"/>
          <w:sz w:val="14"/>
          <w:szCs w:val="14"/>
          <w:color w:val="auto"/>
        </w:rPr>
        <w:t xml:space="preserve"> attached hereto, </w:t>
      </w:r>
      <w:r>
        <w:rPr>
          <w:rFonts w:ascii="Arial" w:cs="Arial" w:eastAsia="Arial" w:hAnsi="Arial"/>
          <w:sz w:val="14"/>
          <w:szCs w:val="14"/>
          <w:u w:val="single" w:color="auto"/>
          <w:color w:val="auto"/>
        </w:rPr>
        <w:t>Schedule 9.2</w:t>
      </w:r>
      <w:r>
        <w:rPr>
          <w:rFonts w:ascii="Arial" w:cs="Arial" w:eastAsia="Arial" w:hAnsi="Arial"/>
          <w:sz w:val="14"/>
          <w:szCs w:val="14"/>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4"/>
          <w:szCs w:val="14"/>
          <w:u w:val="single" w:color="auto"/>
          <w:color w:val="auto"/>
        </w:rPr>
        <w:t>Schedule 2</w:t>
      </w:r>
      <w:r>
        <w:rPr>
          <w:rFonts w:ascii="Arial" w:cs="Arial" w:eastAsia="Arial" w:hAnsi="Arial"/>
          <w:sz w:val="14"/>
          <w:szCs w:val="14"/>
          <w:color w:val="auto"/>
        </w:rPr>
        <w:t xml:space="preserve"> specifically notes any changes in the names under which any Borrower or Guarantors conduct business;</w:t>
      </w:r>
    </w:p>
    <w:p>
      <w:pPr>
        <w:spacing w:after="0" w:line="120" w:lineRule="exact"/>
        <w:rPr>
          <w:sz w:val="20"/>
          <w:szCs w:val="20"/>
          <w:color w:val="auto"/>
        </w:rPr>
      </w:pPr>
    </w:p>
    <w:p>
      <w:pPr>
        <w:jc w:val="both"/>
        <w:ind w:left="740" w:firstLine="750"/>
        <w:spacing w:after="0" w:line="258" w:lineRule="auto"/>
        <w:rPr>
          <w:sz w:val="20"/>
          <w:szCs w:val="20"/>
          <w:color w:val="auto"/>
        </w:rPr>
      </w:pPr>
      <w:r>
        <w:rPr>
          <w:rFonts w:ascii="Arial" w:cs="Arial" w:eastAsia="Arial" w:hAnsi="Arial"/>
          <w:sz w:val="14"/>
          <w:szCs w:val="14"/>
          <w:color w:val="auto"/>
        </w:rPr>
        <w:t xml:space="preserve">(d) except as noted on </w:t>
      </w:r>
      <w:r>
        <w:rPr>
          <w:rFonts w:ascii="Arial" w:cs="Arial" w:eastAsia="Arial" w:hAnsi="Arial"/>
          <w:sz w:val="14"/>
          <w:szCs w:val="14"/>
          <w:b w:val="1"/>
          <w:bCs w:val="1"/>
          <w:u w:val="single" w:color="auto"/>
          <w:color w:val="auto"/>
        </w:rPr>
        <w:t>Schedule 3</w:t>
      </w:r>
      <w:r>
        <w:rPr>
          <w:rFonts w:ascii="Arial" w:cs="Arial" w:eastAsia="Arial" w:hAnsi="Arial"/>
          <w:sz w:val="14"/>
          <w:szCs w:val="14"/>
          <w:color w:val="auto"/>
        </w:rPr>
        <w:t xml:space="preserve"> attached hereto, the undersigned has no knowledge of (i) any federal or state tax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11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1600" w:type="dxa"/>
            <w:vAlign w:val="bottom"/>
          </w:tcPr>
          <w:p>
            <w:pPr>
              <w:ind w:left="820"/>
              <w:spacing w:after="0"/>
              <w:rPr>
                <w:sz w:val="20"/>
                <w:szCs w:val="20"/>
                <w:color w:val="auto"/>
              </w:rPr>
            </w:pPr>
            <w:r>
              <w:rPr>
                <w:rFonts w:ascii="Arial" w:cs="Arial" w:eastAsia="Arial" w:hAnsi="Arial"/>
                <w:sz w:val="14"/>
                <w:szCs w:val="14"/>
                <w:color w:val="auto"/>
              </w:rPr>
              <w:t>(e)</w:t>
            </w:r>
          </w:p>
        </w:tc>
        <w:tc>
          <w:tcPr>
            <w:tcW w:w="9000" w:type="dxa"/>
            <w:vAlign w:val="bottom"/>
            <w:gridSpan w:val="7"/>
          </w:tcPr>
          <w:p>
            <w:pPr>
              <w:jc w:val="right"/>
              <w:spacing w:after="0"/>
              <w:rPr>
                <w:sz w:val="20"/>
                <w:szCs w:val="20"/>
                <w:color w:val="auto"/>
              </w:rPr>
            </w:pPr>
            <w:r>
              <w:rPr>
                <w:rFonts w:ascii="Arial" w:cs="Arial" w:eastAsia="Arial" w:hAnsi="Arial"/>
                <w:sz w:val="14"/>
                <w:szCs w:val="14"/>
                <w:color w:val="auto"/>
                <w:w w:val="98"/>
              </w:rPr>
              <w:t xml:space="preserve">except as noted on </w:t>
            </w:r>
            <w:r>
              <w:rPr>
                <w:rFonts w:ascii="Arial" w:cs="Arial" w:eastAsia="Arial" w:hAnsi="Arial"/>
                <w:sz w:val="14"/>
                <w:szCs w:val="14"/>
                <w:b w:val="1"/>
                <w:bCs w:val="1"/>
                <w:color w:val="auto"/>
                <w:w w:val="98"/>
              </w:rPr>
              <w:t>Schedule 4</w:t>
            </w:r>
            <w:r>
              <w:rPr>
                <w:rFonts w:ascii="Arial" w:cs="Arial" w:eastAsia="Arial" w:hAnsi="Arial"/>
                <w:sz w:val="14"/>
                <w:szCs w:val="14"/>
                <w:color w:val="auto"/>
                <w:w w:val="98"/>
              </w:rPr>
              <w:t xml:space="preserve"> attached hereto, Schedule 5.14 to the Credit Agreement contains a complete and accurate statement of all deposit</w:t>
            </w:r>
          </w:p>
        </w:tc>
      </w:tr>
      <w:tr>
        <w:trPr>
          <w:trHeight w:val="20"/>
        </w:trPr>
        <w:tc>
          <w:tcPr>
            <w:tcW w:w="3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20" w:type="dxa"/>
            <w:vAlign w:val="bottom"/>
            <w:tcBorders>
              <w:left w:val="single" w:sz="8" w:color="auto"/>
            </w:tcBorders>
          </w:tcPr>
          <w:p>
            <w:pPr>
              <w:spacing w:after="0" w:line="20" w:lineRule="exact"/>
              <w:rPr>
                <w:sz w:val="1"/>
                <w:szCs w:val="1"/>
                <w:color w:val="auto"/>
              </w:rPr>
            </w:pPr>
          </w:p>
        </w:tc>
      </w:tr>
      <w:tr>
        <w:trPr>
          <w:trHeight w:val="175"/>
        </w:trPr>
        <w:tc>
          <w:tcPr>
            <w:tcW w:w="10600" w:type="dxa"/>
            <w:vAlign w:val="bottom"/>
            <w:gridSpan w:val="8"/>
          </w:tcPr>
          <w:p>
            <w:pPr>
              <w:jc w:val="right"/>
              <w:ind w:right="6480"/>
              <w:spacing w:after="0"/>
              <w:rPr>
                <w:sz w:val="20"/>
                <w:szCs w:val="20"/>
                <w:color w:val="auto"/>
              </w:rPr>
            </w:pPr>
            <w:r>
              <w:rPr>
                <w:rFonts w:ascii="Arial" w:cs="Arial" w:eastAsia="Arial" w:hAnsi="Arial"/>
                <w:sz w:val="14"/>
                <w:szCs w:val="14"/>
                <w:color w:val="auto"/>
                <w:w w:val="87"/>
              </w:rPr>
              <w:t>accounts or investment accounts maintained by Borrowers and Guarantors;</w:t>
            </w:r>
          </w:p>
        </w:tc>
      </w:tr>
      <w:tr>
        <w:trPr>
          <w:trHeight w:val="283"/>
        </w:trPr>
        <w:tc>
          <w:tcPr>
            <w:tcW w:w="1600" w:type="dxa"/>
            <w:vAlign w:val="bottom"/>
          </w:tcPr>
          <w:p>
            <w:pPr>
              <w:ind w:left="760"/>
              <w:spacing w:after="0"/>
              <w:rPr>
                <w:sz w:val="20"/>
                <w:szCs w:val="20"/>
                <w:color w:val="auto"/>
              </w:rPr>
            </w:pPr>
            <w:r>
              <w:rPr>
                <w:rFonts w:ascii="Arial" w:cs="Arial" w:eastAsia="Arial" w:hAnsi="Arial"/>
                <w:sz w:val="14"/>
                <w:szCs w:val="14"/>
                <w:color w:val="auto"/>
              </w:rPr>
              <w:t>(f)</w:t>
            </w:r>
          </w:p>
        </w:tc>
        <w:tc>
          <w:tcPr>
            <w:tcW w:w="9000" w:type="dxa"/>
            <w:vAlign w:val="bottom"/>
            <w:gridSpan w:val="7"/>
          </w:tcPr>
          <w:p>
            <w:pPr>
              <w:jc w:val="right"/>
              <w:spacing w:after="0"/>
              <w:rPr>
                <w:sz w:val="20"/>
                <w:szCs w:val="20"/>
                <w:color w:val="auto"/>
              </w:rPr>
            </w:pPr>
            <w:r>
              <w:rPr>
                <w:rFonts w:ascii="Arial" w:cs="Arial" w:eastAsia="Arial" w:hAnsi="Arial"/>
                <w:sz w:val="14"/>
                <w:szCs w:val="14"/>
                <w:color w:val="auto"/>
                <w:w w:val="94"/>
              </w:rPr>
              <w:t xml:space="preserve">except as noted on </w:t>
            </w:r>
            <w:r>
              <w:rPr>
                <w:rFonts w:ascii="Arial" w:cs="Arial" w:eastAsia="Arial" w:hAnsi="Arial"/>
                <w:sz w:val="14"/>
                <w:szCs w:val="14"/>
                <w:b w:val="1"/>
                <w:bCs w:val="1"/>
                <w:color w:val="auto"/>
                <w:w w:val="94"/>
              </w:rPr>
              <w:t>Schedule 5</w:t>
            </w:r>
            <w:r>
              <w:rPr>
                <w:rFonts w:ascii="Arial" w:cs="Arial" w:eastAsia="Arial" w:hAnsi="Arial"/>
                <w:sz w:val="14"/>
                <w:szCs w:val="14"/>
                <w:color w:val="auto"/>
                <w:w w:val="94"/>
              </w:rPr>
              <w:t xml:space="preserve"> attached hereto and Schedule 3.6 to the Credit Agreement, the undersigned has no knowledge of any current, pending or</w:t>
            </w:r>
          </w:p>
        </w:tc>
      </w:tr>
      <w:tr>
        <w:trPr>
          <w:trHeight w:val="20"/>
        </w:trPr>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threatened: (i) litigation against the Borrowers or any Guarantors, (ii) material inquiries, investigations or proceedings concerning the</w:t>
      </w:r>
    </w:p>
    <w:p>
      <w:pPr>
        <w:spacing w:after="0" w:line="13"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Exhibit B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59" w:name="page160"/>
    <w:bookmarkEnd w:id="159"/>
    <w:p>
      <w:pPr>
        <w:ind w:left="740"/>
        <w:spacing w:after="0"/>
        <w:rPr>
          <w:sz w:val="20"/>
          <w:szCs w:val="20"/>
          <w:color w:val="auto"/>
        </w:rPr>
      </w:pPr>
      <w:r>
        <w:rPr>
          <w:rFonts w:ascii="Arial" w:cs="Arial" w:eastAsia="Arial" w:hAnsi="Arial"/>
          <w:sz w:val="14"/>
          <w:szCs w:val="14"/>
          <w:color w:val="auto"/>
        </w:rPr>
        <w:t>business affairs, practices, licensing or reimbursement entitlements of Borrowers or any Guarantors, or</w:t>
      </w:r>
    </w:p>
    <w:p>
      <w:pPr>
        <w:spacing w:after="0" w:line="13" w:lineRule="exact"/>
        <w:rPr>
          <w:sz w:val="20"/>
          <w:szCs w:val="20"/>
          <w:color w:val="auto"/>
        </w:rPr>
      </w:pPr>
    </w:p>
    <w:p>
      <w:pPr>
        <w:ind w:left="1160" w:hanging="420"/>
        <w:spacing w:after="0"/>
        <w:tabs>
          <w:tab w:leader="none" w:pos="11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material default by Borrowers or any Guarantors under any Material Contract to which it is a party;</w:t>
      </w:r>
    </w:p>
    <w:p>
      <w:pPr>
        <w:spacing w:after="0" w:line="138" w:lineRule="exact"/>
        <w:rPr>
          <w:sz w:val="20"/>
          <w:szCs w:val="20"/>
          <w:color w:val="auto"/>
        </w:rPr>
      </w:pPr>
    </w:p>
    <w:p>
      <w:pPr>
        <w:jc w:val="both"/>
        <w:ind w:left="740" w:firstLine="752"/>
        <w:spacing w:after="0" w:line="301" w:lineRule="auto"/>
        <w:rPr>
          <w:sz w:val="20"/>
          <w:szCs w:val="20"/>
          <w:color w:val="auto"/>
        </w:rPr>
      </w:pPr>
      <w:r>
        <w:rPr>
          <w:rFonts w:ascii="Arial" w:cs="Arial" w:eastAsia="Arial" w:hAnsi="Arial"/>
          <w:sz w:val="12"/>
          <w:szCs w:val="12"/>
          <w:color w:val="auto"/>
        </w:rPr>
        <w:t xml:space="preserve">(g) except as noted on </w:t>
      </w:r>
      <w:r>
        <w:rPr>
          <w:rFonts w:ascii="Arial" w:cs="Arial" w:eastAsia="Arial" w:hAnsi="Arial"/>
          <w:sz w:val="12"/>
          <w:szCs w:val="12"/>
          <w:b w:val="1"/>
          <w:bCs w:val="1"/>
          <w:u w:val="single" w:color="auto"/>
          <w:color w:val="auto"/>
        </w:rPr>
        <w:t>Schedule 6</w:t>
      </w:r>
      <w:r>
        <w:rPr>
          <w:rFonts w:ascii="Arial" w:cs="Arial" w:eastAsia="Arial" w:hAnsi="Arial"/>
          <w:sz w:val="12"/>
          <w:szCs w:val="12"/>
          <w:color w:val="auto"/>
        </w:rPr>
        <w:t xml:space="preserve"> attached hereto, no Borrower or Guarantor has acquired, by purchase, by the approval or granting of any application for registration (whether or not such application was previously disclosed to Agent by Borrowers) or otherwise, any Intellectual Property that is registered with any United States or foreign Governmental Authority, or has filed with any such United States or foreign Governmental Authority, any new application for the registration of any Intellectual Property, or acquired rights under a license as a licensee with respect to any such registered Intellectual Property (or any such application for the registration of Intellectual Property) owned by another Person, that has not previously been reported to Agent on </w:t>
      </w:r>
      <w:r>
        <w:rPr>
          <w:rFonts w:ascii="Arial" w:cs="Arial" w:eastAsia="Arial" w:hAnsi="Arial"/>
          <w:sz w:val="12"/>
          <w:szCs w:val="12"/>
          <w:u w:val="single" w:color="auto"/>
          <w:color w:val="auto"/>
        </w:rPr>
        <w:t>Schedule 3.17</w:t>
      </w:r>
      <w:r>
        <w:rPr>
          <w:rFonts w:ascii="Arial" w:cs="Arial" w:eastAsia="Arial" w:hAnsi="Arial"/>
          <w:sz w:val="12"/>
          <w:szCs w:val="12"/>
          <w:color w:val="auto"/>
        </w:rPr>
        <w:t xml:space="preserve"> to the Credit Agreement or any </w:t>
      </w:r>
      <w:r>
        <w:rPr>
          <w:rFonts w:ascii="Arial" w:cs="Arial" w:eastAsia="Arial" w:hAnsi="Arial"/>
          <w:sz w:val="12"/>
          <w:szCs w:val="12"/>
          <w:b w:val="1"/>
          <w:bCs w:val="1"/>
          <w:u w:val="single" w:color="auto"/>
          <w:color w:val="auto"/>
        </w:rPr>
        <w:t>Schedule 6</w:t>
      </w:r>
      <w:r>
        <w:rPr>
          <w:rFonts w:ascii="Arial" w:cs="Arial" w:eastAsia="Arial" w:hAnsi="Arial"/>
          <w:sz w:val="12"/>
          <w:szCs w:val="12"/>
          <w:color w:val="auto"/>
        </w:rPr>
        <w:t xml:space="preserve"> to any previous Compliance Certificate delivered by Borrower to Agent;</w:t>
      </w:r>
    </w:p>
    <w:p>
      <w:pPr>
        <w:spacing w:after="0" w:line="89" w:lineRule="exact"/>
        <w:rPr>
          <w:sz w:val="20"/>
          <w:szCs w:val="20"/>
          <w:color w:val="auto"/>
        </w:rPr>
      </w:pPr>
    </w:p>
    <w:p>
      <w:pPr>
        <w:jc w:val="both"/>
        <w:ind w:left="740" w:right="20" w:firstLine="750"/>
        <w:spacing w:after="0" w:line="258" w:lineRule="auto"/>
        <w:rPr>
          <w:sz w:val="20"/>
          <w:szCs w:val="20"/>
          <w:color w:val="auto"/>
        </w:rPr>
      </w:pPr>
      <w:r>
        <w:rPr>
          <w:rFonts w:ascii="Arial" w:cs="Arial" w:eastAsia="Arial" w:hAnsi="Arial"/>
          <w:sz w:val="14"/>
          <w:szCs w:val="14"/>
          <w:color w:val="auto"/>
        </w:rPr>
        <w:t xml:space="preserve">(h) except as noted on </w:t>
      </w:r>
      <w:r>
        <w:rPr>
          <w:rFonts w:ascii="Arial" w:cs="Arial" w:eastAsia="Arial" w:hAnsi="Arial"/>
          <w:sz w:val="14"/>
          <w:szCs w:val="14"/>
          <w:b w:val="1"/>
          <w:bCs w:val="1"/>
          <w:u w:val="single" w:color="auto"/>
          <w:color w:val="auto"/>
        </w:rPr>
        <w:t>Schedule 7</w:t>
      </w:r>
      <w:r>
        <w:rPr>
          <w:rFonts w:ascii="Arial" w:cs="Arial" w:eastAsia="Arial" w:hAnsi="Arial"/>
          <w:sz w:val="14"/>
          <w:szCs w:val="14"/>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4"/>
          <w:szCs w:val="14"/>
          <w:b w:val="1"/>
          <w:bCs w:val="1"/>
          <w:u w:val="single" w:color="auto"/>
          <w:color w:val="auto"/>
        </w:rPr>
        <w:t>Schedule 7</w:t>
      </w:r>
      <w:r>
        <w:rPr>
          <w:rFonts w:ascii="Arial" w:cs="Arial" w:eastAsia="Arial" w:hAnsi="Arial"/>
          <w:sz w:val="14"/>
          <w:szCs w:val="14"/>
          <w:color w:val="auto"/>
        </w:rPr>
        <w:t xml:space="preserve"> to any previous Compliance Certificate delivered by Borrower Representative to Agent;</w:t>
      </w:r>
    </w:p>
    <w:p>
      <w:pPr>
        <w:spacing w:after="0" w:line="11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1400" w:type="dxa"/>
            <w:vAlign w:val="bottom"/>
            <w:gridSpan w:val="2"/>
          </w:tcPr>
          <w:p>
            <w:pPr>
              <w:ind w:left="760"/>
              <w:spacing w:after="0"/>
              <w:rPr>
                <w:sz w:val="20"/>
                <w:szCs w:val="20"/>
                <w:color w:val="auto"/>
              </w:rPr>
            </w:pPr>
            <w:r>
              <w:rPr>
                <w:rFonts w:ascii="Arial" w:cs="Arial" w:eastAsia="Arial" w:hAnsi="Arial"/>
                <w:sz w:val="14"/>
                <w:szCs w:val="14"/>
                <w:color w:val="auto"/>
              </w:rPr>
              <w:t>(i)</w:t>
            </w:r>
          </w:p>
        </w:tc>
        <w:tc>
          <w:tcPr>
            <w:tcW w:w="9200" w:type="dxa"/>
            <w:vAlign w:val="bottom"/>
            <w:gridSpan w:val="3"/>
          </w:tcPr>
          <w:p>
            <w:pPr>
              <w:ind w:left="840"/>
              <w:spacing w:after="0"/>
              <w:rPr>
                <w:sz w:val="20"/>
                <w:szCs w:val="20"/>
                <w:color w:val="auto"/>
              </w:rPr>
            </w:pPr>
            <w:r>
              <w:rPr>
                <w:rFonts w:ascii="Arial" w:cs="Arial" w:eastAsia="Arial" w:hAnsi="Arial"/>
                <w:sz w:val="14"/>
                <w:szCs w:val="14"/>
                <w:color w:val="auto"/>
                <w:w w:val="87"/>
              </w:rPr>
              <w:t xml:space="preserve">except as noted on </w:t>
            </w:r>
            <w:r>
              <w:rPr>
                <w:rFonts w:ascii="Arial" w:cs="Arial" w:eastAsia="Arial" w:hAnsi="Arial"/>
                <w:sz w:val="14"/>
                <w:szCs w:val="14"/>
                <w:b w:val="1"/>
                <w:bCs w:val="1"/>
                <w:color w:val="auto"/>
                <w:w w:val="87"/>
              </w:rPr>
              <w:t>Schedule 8</w:t>
            </w:r>
            <w:r>
              <w:rPr>
                <w:rFonts w:ascii="Arial" w:cs="Arial" w:eastAsia="Arial" w:hAnsi="Arial"/>
                <w:sz w:val="14"/>
                <w:szCs w:val="14"/>
                <w:color w:val="auto"/>
                <w:w w:val="87"/>
              </w:rPr>
              <w:t xml:space="preserve"> attached hereto, no Borrower or Guarantor is aware of any commercial tort claim that has not previously been reported to</w:t>
            </w:r>
          </w:p>
        </w:tc>
      </w:tr>
      <w:tr>
        <w:trPr>
          <w:trHeight w:val="20"/>
        </w:trPr>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42"/>
        </w:trPr>
        <w:tc>
          <w:tcPr>
            <w:tcW w:w="10600" w:type="dxa"/>
            <w:vAlign w:val="bottom"/>
            <w:gridSpan w:val="5"/>
          </w:tcPr>
          <w:p>
            <w:pPr>
              <w:spacing w:after="0" w:line="143" w:lineRule="exact"/>
              <w:rPr>
                <w:sz w:val="20"/>
                <w:szCs w:val="20"/>
                <w:color w:val="auto"/>
              </w:rPr>
            </w:pPr>
            <w:r>
              <w:rPr>
                <w:rFonts w:ascii="Arial" w:cs="Arial" w:eastAsia="Arial" w:hAnsi="Arial"/>
                <w:sz w:val="14"/>
                <w:szCs w:val="14"/>
                <w:color w:val="auto"/>
              </w:rPr>
              <w:t xml:space="preserve">Agent on any </w:t>
            </w:r>
            <w:r>
              <w:rPr>
                <w:rFonts w:ascii="Arial" w:cs="Arial" w:eastAsia="Arial" w:hAnsi="Arial"/>
                <w:sz w:val="14"/>
                <w:szCs w:val="14"/>
                <w:b w:val="1"/>
                <w:bCs w:val="1"/>
                <w:color w:val="auto"/>
              </w:rPr>
              <w:t>Schedule 8</w:t>
            </w:r>
            <w:r>
              <w:rPr>
                <w:rFonts w:ascii="Arial" w:cs="Arial" w:eastAsia="Arial" w:hAnsi="Arial"/>
                <w:sz w:val="14"/>
                <w:szCs w:val="14"/>
                <w:color w:val="auto"/>
              </w:rPr>
              <w:t xml:space="preserve"> to any previous Compliance Certificate delivered by Borrower Representative to Agent; and</w:t>
            </w: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0" w:type="dxa"/>
            <w:vAlign w:val="bottom"/>
            <w:gridSpan w:val="3"/>
          </w:tcPr>
          <w:p>
            <w:pPr>
              <w:spacing w:after="0" w:line="20" w:lineRule="exact"/>
              <w:rPr>
                <w:sz w:val="1"/>
                <w:szCs w:val="1"/>
                <w:color w:val="auto"/>
              </w:rPr>
            </w:pPr>
          </w:p>
        </w:tc>
      </w:tr>
      <w:tr>
        <w:trPr>
          <w:trHeight w:val="323"/>
        </w:trPr>
        <w:tc>
          <w:tcPr>
            <w:tcW w:w="1400" w:type="dxa"/>
            <w:vAlign w:val="bottom"/>
            <w:gridSpan w:val="2"/>
          </w:tcPr>
          <w:p>
            <w:pPr>
              <w:ind w:left="760"/>
              <w:spacing w:after="0"/>
              <w:rPr>
                <w:sz w:val="20"/>
                <w:szCs w:val="20"/>
                <w:color w:val="auto"/>
              </w:rPr>
            </w:pPr>
            <w:r>
              <w:rPr>
                <w:rFonts w:ascii="Arial" w:cs="Arial" w:eastAsia="Arial" w:hAnsi="Arial"/>
                <w:sz w:val="14"/>
                <w:szCs w:val="14"/>
                <w:color w:val="auto"/>
              </w:rPr>
              <w:t>(j)</w:t>
            </w:r>
          </w:p>
        </w:tc>
        <w:tc>
          <w:tcPr>
            <w:tcW w:w="9200" w:type="dxa"/>
            <w:vAlign w:val="bottom"/>
            <w:gridSpan w:val="3"/>
          </w:tcPr>
          <w:p>
            <w:pPr>
              <w:ind w:left="840"/>
              <w:spacing w:after="0"/>
              <w:rPr>
                <w:sz w:val="20"/>
                <w:szCs w:val="20"/>
                <w:color w:val="auto"/>
              </w:rPr>
            </w:pPr>
            <w:r>
              <w:rPr>
                <w:rFonts w:ascii="Arial" w:cs="Arial" w:eastAsia="Arial" w:hAnsi="Arial"/>
                <w:sz w:val="14"/>
                <w:szCs w:val="14"/>
                <w:color w:val="auto"/>
                <w:w w:val="89"/>
              </w:rPr>
              <w:t>Borrowers and Guarantor are in compliance with the covenants contained in Article 6 of the Credit Agreement, and in any Guarantee constituting a part</w:t>
            </w:r>
          </w:p>
        </w:tc>
      </w:tr>
    </w:tbl>
    <w:p>
      <w:pPr>
        <w:ind w:left="740"/>
        <w:spacing w:after="0"/>
        <w:rPr>
          <w:sz w:val="20"/>
          <w:szCs w:val="20"/>
          <w:color w:val="auto"/>
        </w:rPr>
      </w:pPr>
      <w:r>
        <w:rPr>
          <w:rFonts w:ascii="Arial" w:cs="Arial" w:eastAsia="Arial" w:hAnsi="Arial"/>
          <w:sz w:val="12"/>
          <w:szCs w:val="12"/>
          <w:color w:val="auto"/>
        </w:rPr>
        <w:t>of the Financing Documents, as demonstrated by the calculation of such covenants below, except as set forth below; in determining such compliance, the following calculations have been made:</w:t>
      </w:r>
    </w:p>
    <w:p>
      <w:pPr>
        <w:spacing w:after="0" w:line="24" w:lineRule="exact"/>
        <w:rPr>
          <w:sz w:val="20"/>
          <w:szCs w:val="20"/>
          <w:color w:val="auto"/>
        </w:rPr>
      </w:pPr>
    </w:p>
    <w:p>
      <w:pPr>
        <w:ind w:left="740"/>
        <w:spacing w:after="0"/>
        <w:rPr>
          <w:sz w:val="20"/>
          <w:szCs w:val="20"/>
          <w:color w:val="auto"/>
        </w:rPr>
      </w:pPr>
      <w:r>
        <w:rPr>
          <w:rFonts w:ascii="Arial" w:cs="Arial" w:eastAsia="Arial" w:hAnsi="Arial"/>
          <w:sz w:val="14"/>
          <w:szCs w:val="14"/>
          <w:color w:val="auto"/>
        </w:rPr>
        <w:t>[See attached worksheets]. Such calculations and the certifications contained therein are true, correct and complete</w:t>
      </w:r>
      <w:r>
        <w:rPr>
          <w:rFonts w:ascii="Arial" w:cs="Arial" w:eastAsia="Arial" w:hAnsi="Arial"/>
          <w:sz w:val="11"/>
          <w:szCs w:val="11"/>
          <w:color w:val="auto"/>
        </w:rPr>
        <w:t>1</w:t>
      </w:r>
      <w:r>
        <w:rPr>
          <w:rFonts w:ascii="Arial" w:cs="Arial" w:eastAsia="Arial" w:hAnsi="Arial"/>
          <w:sz w:val="14"/>
          <w:szCs w:val="14"/>
          <w:color w:val="auto"/>
        </w:rPr>
        <w:t>.</w:t>
      </w:r>
    </w:p>
    <w:p>
      <w:pPr>
        <w:spacing w:after="0" w:line="12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780" w:type="dxa"/>
            <w:vAlign w:val="bottom"/>
            <w:gridSpan w:val="2"/>
          </w:tcPr>
          <w:p>
            <w:pPr>
              <w:spacing w:after="0"/>
              <w:rPr>
                <w:sz w:val="20"/>
                <w:szCs w:val="20"/>
                <w:color w:val="auto"/>
              </w:rPr>
            </w:pPr>
            <w:r>
              <w:rPr>
                <w:rFonts w:ascii="Arial" w:cs="Arial" w:eastAsia="Arial" w:hAnsi="Arial"/>
                <w:sz w:val="14"/>
                <w:szCs w:val="14"/>
                <w:color w:val="auto"/>
              </w:rPr>
              <w:t>The   foregoing   certifications   and   computations   are   made   as   of</w:t>
            </w:r>
          </w:p>
        </w:tc>
        <w:tc>
          <w:tcPr>
            <w:tcW w:w="5020" w:type="dxa"/>
            <w:vAlign w:val="bottom"/>
            <w:gridSpan w:val="3"/>
          </w:tcPr>
          <w:p>
            <w:pPr>
              <w:ind w:left="2320"/>
              <w:spacing w:after="0"/>
              <w:rPr>
                <w:sz w:val="20"/>
                <w:szCs w:val="20"/>
                <w:color w:val="auto"/>
              </w:rPr>
            </w:pPr>
            <w:r>
              <w:rPr>
                <w:rFonts w:ascii="Arial" w:cs="Arial" w:eastAsia="Arial" w:hAnsi="Arial"/>
                <w:sz w:val="14"/>
                <w:szCs w:val="14"/>
                <w:color w:val="auto"/>
              </w:rPr>
              <w:t>,   201   (end   of   month)   and   as   of</w:t>
            </w:r>
          </w:p>
        </w:tc>
      </w:tr>
      <w:tr>
        <w:trPr>
          <w:trHeight w:val="175"/>
        </w:trPr>
        <w:tc>
          <w:tcPr>
            <w:tcW w:w="4600" w:type="dxa"/>
            <w:vAlign w:val="bottom"/>
          </w:tcPr>
          <w:p>
            <w:pPr>
              <w:jc w:val="right"/>
              <w:ind w:right="2610"/>
              <w:spacing w:after="0"/>
              <w:rPr>
                <w:sz w:val="20"/>
                <w:szCs w:val="20"/>
                <w:color w:val="auto"/>
              </w:rPr>
            </w:pPr>
            <w:r>
              <w:rPr>
                <w:rFonts w:ascii="Arial" w:cs="Arial" w:eastAsia="Arial" w:hAnsi="Arial"/>
                <w:sz w:val="14"/>
                <w:szCs w:val="14"/>
                <w:color w:val="auto"/>
              </w:rPr>
              <w:t>, 201 .</w:t>
            </w:r>
          </w:p>
        </w:tc>
        <w:tc>
          <w:tcPr>
            <w:tcW w:w="180" w:type="dxa"/>
            <w:vAlign w:val="bottom"/>
            <w:tcBorders>
              <w:top w:val="single" w:sz="8" w:color="auto"/>
            </w:tcBorders>
          </w:tcPr>
          <w:p>
            <w:pPr>
              <w:spacing w:after="0"/>
              <w:rPr>
                <w:sz w:val="15"/>
                <w:szCs w:val="15"/>
                <w:color w:val="auto"/>
              </w:rPr>
            </w:pPr>
          </w:p>
        </w:tc>
        <w:tc>
          <w:tcPr>
            <w:tcW w:w="2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00" w:type="dxa"/>
            <w:vAlign w:val="bottom"/>
          </w:tcPr>
          <w:p>
            <w:pPr>
              <w:spacing w:after="0"/>
              <w:rPr>
                <w:sz w:val="15"/>
                <w:szCs w:val="15"/>
                <w:color w:val="auto"/>
              </w:rPr>
            </w:pPr>
          </w:p>
        </w:tc>
      </w:tr>
      <w:tr>
        <w:trPr>
          <w:trHeight w:val="315"/>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3"/>
          </w:tcPr>
          <w:p>
            <w:pPr>
              <w:ind w:left="160"/>
              <w:spacing w:after="0"/>
              <w:rPr>
                <w:sz w:val="20"/>
                <w:szCs w:val="20"/>
                <w:color w:val="auto"/>
              </w:rPr>
            </w:pPr>
            <w:r>
              <w:rPr>
                <w:rFonts w:ascii="Arial" w:cs="Arial" w:eastAsia="Arial" w:hAnsi="Arial"/>
                <w:sz w:val="14"/>
                <w:szCs w:val="14"/>
                <w:color w:val="auto"/>
              </w:rPr>
              <w:t>Sincerely,</w:t>
            </w:r>
          </w:p>
        </w:tc>
      </w:tr>
      <w:tr>
        <w:trPr>
          <w:trHeight w:val="382"/>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3"/>
          </w:tcPr>
          <w:p>
            <w:pPr>
              <w:ind w:left="160"/>
              <w:spacing w:after="0"/>
              <w:rPr>
                <w:sz w:val="20"/>
                <w:szCs w:val="20"/>
                <w:color w:val="auto"/>
              </w:rPr>
            </w:pPr>
            <w:r>
              <w:rPr>
                <w:rFonts w:ascii="Arial" w:cs="Arial" w:eastAsia="Arial" w:hAnsi="Arial"/>
                <w:sz w:val="14"/>
                <w:szCs w:val="14"/>
                <w:b w:val="1"/>
                <w:bCs w:val="1"/>
                <w:color w:val="auto"/>
              </w:rPr>
              <w:t>Aptevo Therapeutics Inc.</w:t>
            </w:r>
          </w:p>
        </w:tc>
      </w:tr>
      <w:tr>
        <w:trPr>
          <w:trHeight w:val="365"/>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20" w:type="dxa"/>
            <w:vAlign w:val="bottom"/>
            <w:gridSpan w:val="3"/>
          </w:tcPr>
          <w:p>
            <w:pPr>
              <w:ind w:left="160"/>
              <w:spacing w:after="0"/>
              <w:rPr>
                <w:sz w:val="20"/>
                <w:szCs w:val="20"/>
                <w:color w:val="auto"/>
              </w:rPr>
            </w:pPr>
            <w:r>
              <w:rPr>
                <w:rFonts w:ascii="Arial" w:cs="Arial" w:eastAsia="Arial" w:hAnsi="Arial"/>
                <w:sz w:val="14"/>
                <w:szCs w:val="14"/>
                <w:color w:val="auto"/>
              </w:rPr>
              <w:t>By:</w:t>
            </w:r>
          </w:p>
        </w:tc>
      </w:tr>
      <w:tr>
        <w:trPr>
          <w:trHeight w:val="162"/>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gridSpan w:val="3"/>
          </w:tcPr>
          <w:p>
            <w:pPr>
              <w:ind w:left="160"/>
              <w:spacing w:after="0"/>
              <w:rPr>
                <w:sz w:val="20"/>
                <w:szCs w:val="20"/>
                <w:color w:val="auto"/>
              </w:rPr>
            </w:pPr>
            <w:r>
              <w:rPr>
                <w:rFonts w:ascii="Arial" w:cs="Arial" w:eastAsia="Arial" w:hAnsi="Arial"/>
                <w:sz w:val="14"/>
                <w:szCs w:val="14"/>
                <w:color w:val="auto"/>
              </w:rPr>
              <w:t>Name:</w:t>
            </w:r>
          </w:p>
        </w:tc>
      </w:tr>
      <w:tr>
        <w:trPr>
          <w:trHeight w:val="179"/>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20" w:type="dxa"/>
            <w:vAlign w:val="bottom"/>
            <w:gridSpan w:val="3"/>
          </w:tcPr>
          <w:p>
            <w:pPr>
              <w:ind w:left="160"/>
              <w:spacing w:after="0"/>
              <w:rPr>
                <w:sz w:val="20"/>
                <w:szCs w:val="20"/>
                <w:color w:val="auto"/>
              </w:rPr>
            </w:pPr>
            <w:r>
              <w:rPr>
                <w:rFonts w:ascii="Arial" w:cs="Arial" w:eastAsia="Arial" w:hAnsi="Arial"/>
                <w:sz w:val="14"/>
                <w:szCs w:val="14"/>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-911225</wp:posOffset>
            </wp:positionV>
            <wp:extent cx="2286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40"/>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5"/>
          <w:szCs w:val="15"/>
          <w:color w:val="auto"/>
        </w:rPr>
        <w:t>Note to draft: to be included only with quarterly compliance certificates.</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Exhibit B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60" w:name="page161"/>
    <w:bookmarkEnd w:id="160"/>
    <w:p>
      <w:pPr>
        <w:ind w:left="2580"/>
        <w:spacing w:after="0"/>
        <w:rPr>
          <w:sz w:val="20"/>
          <w:szCs w:val="20"/>
          <w:color w:val="auto"/>
        </w:rPr>
      </w:pPr>
      <w:r>
        <w:rPr>
          <w:rFonts w:ascii="Arial" w:cs="Arial" w:eastAsia="Arial" w:hAnsi="Arial"/>
          <w:sz w:val="12"/>
          <w:szCs w:val="12"/>
          <w:b w:val="1"/>
          <w:bCs w:val="1"/>
          <w:color w:val="auto"/>
        </w:rPr>
        <w:t>Exhibit C to Credit Agreement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292100</wp:posOffset>
            </wp:positionV>
            <wp:extent cx="732409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161" w:name="page162"/>
    <w:bookmarkEnd w:id="161"/>
    <w:p>
      <w:pPr>
        <w:ind w:left="2000"/>
        <w:spacing w:after="0"/>
        <w:rPr>
          <w:sz w:val="20"/>
          <w:szCs w:val="20"/>
          <w:color w:val="auto"/>
        </w:rPr>
      </w:pPr>
      <w:r>
        <w:rPr>
          <w:rFonts w:ascii="Arial" w:cs="Arial" w:eastAsia="Arial" w:hAnsi="Arial"/>
          <w:sz w:val="14"/>
          <w:szCs w:val="14"/>
          <w:b w:val="1"/>
          <w:bCs w:val="1"/>
          <w:color w:val="auto"/>
        </w:rPr>
        <w:t>Exhibit D to Credit Agreement (Form of Notice of Borrowing)</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NOTICE OF BORROWING</w:t>
      </w:r>
    </w:p>
    <w:p>
      <w:pPr>
        <w:spacing w:after="0" w:line="154" w:lineRule="exact"/>
        <w:rPr>
          <w:sz w:val="20"/>
          <w:szCs w:val="20"/>
          <w:color w:val="auto"/>
        </w:rPr>
      </w:pPr>
    </w:p>
    <w:p>
      <w:pPr>
        <w:ind w:left="760"/>
        <w:spacing w:after="0"/>
        <w:tabs>
          <w:tab w:leader="none" w:pos="7820" w:val="left"/>
        </w:tabs>
        <w:rPr>
          <w:sz w:val="20"/>
          <w:szCs w:val="20"/>
          <w:color w:val="auto"/>
        </w:rPr>
      </w:pPr>
      <w:r>
        <w:rPr>
          <w:rFonts w:ascii="Arial" w:cs="Arial" w:eastAsia="Arial" w:hAnsi="Arial"/>
          <w:sz w:val="14"/>
          <w:szCs w:val="14"/>
          <w:color w:val="auto"/>
        </w:rPr>
        <w:t>This Notice of Borrowing is given by</w:t>
      </w:r>
      <w:r>
        <w:rPr>
          <w:sz w:val="20"/>
          <w:szCs w:val="20"/>
          <w:color w:val="auto"/>
        </w:rPr>
        <w:tab/>
      </w:r>
      <w:r>
        <w:rPr>
          <w:rFonts w:ascii="Arial" w:cs="Arial" w:eastAsia="Arial" w:hAnsi="Arial"/>
          <w:sz w:val="12"/>
          <w:szCs w:val="12"/>
          <w:color w:val="auto"/>
        </w:rPr>
        <w:t xml:space="preserve">, a Responsible Officer of </w:t>
      </w:r>
      <w:r>
        <w:rPr>
          <w:rFonts w:ascii="Arial" w:cs="Arial" w:eastAsia="Arial" w:hAnsi="Arial"/>
          <w:sz w:val="12"/>
          <w:szCs w:val="12"/>
          <w:b w:val="1"/>
          <w:bCs w:val="1"/>
          <w:color w:val="auto"/>
        </w:rPr>
        <w:t>Aptevo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-6350</wp:posOffset>
            </wp:positionV>
            <wp:extent cx="2286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14"/>
          <w:szCs w:val="14"/>
          <w:b w:val="1"/>
          <w:bCs w:val="1"/>
          <w:color w:val="auto"/>
        </w:rPr>
        <w:t xml:space="preserve">Inc. </w:t>
      </w:r>
      <w:r>
        <w:rPr>
          <w:rFonts w:ascii="Arial" w:cs="Arial" w:eastAsia="Arial" w:hAnsi="Arial"/>
          <w:sz w:val="14"/>
          <w:szCs w:val="14"/>
          <w:color w:val="auto"/>
        </w:rPr>
        <w:t>(the “</w:t>
      </w:r>
      <w:r>
        <w:rPr>
          <w:rFonts w:ascii="Arial" w:cs="Arial" w:eastAsia="Arial" w:hAnsi="Arial"/>
          <w:sz w:val="14"/>
          <w:szCs w:val="14"/>
          <w:b w:val="1"/>
          <w:bCs w:val="1"/>
          <w:color w:val="auto"/>
        </w:rPr>
        <w:t>Borrower Representative</w:t>
      </w:r>
      <w:r>
        <w:rPr>
          <w:rFonts w:ascii="Arial" w:cs="Arial" w:eastAsia="Arial" w:hAnsi="Arial"/>
          <w:sz w:val="14"/>
          <w:szCs w:val="14"/>
          <w:color w:val="auto"/>
        </w:rPr>
        <w:t>”), pursuant to that certain Amended and Restated Credit and Security Agreement dated as of August 6, 2018 among Borrower Representative, Aptevo</w:t>
      </w:r>
      <w:r>
        <w:rPr>
          <w:rFonts w:ascii="Arial" w:cs="Arial" w:eastAsia="Arial" w:hAnsi="Arial"/>
          <w:sz w:val="14"/>
          <w:szCs w:val="14"/>
          <w:b w:val="1"/>
          <w:bCs w:val="1"/>
          <w:color w:val="auto"/>
        </w:rPr>
        <w:t xml:space="preserve"> </w:t>
      </w:r>
      <w:r>
        <w:rPr>
          <w:rFonts w:ascii="Arial" w:cs="Arial" w:eastAsia="Arial" w:hAnsi="Arial"/>
          <w:sz w:val="14"/>
          <w:szCs w:val="14"/>
          <w:color w:val="auto"/>
        </w:rPr>
        <w:t>Biotherapeutics LLC, Aptevo Research and Development LLC, and any additional Borrower that may hereafter be added thereto (collectively, “</w:t>
      </w:r>
      <w:r>
        <w:rPr>
          <w:rFonts w:ascii="Arial" w:cs="Arial" w:eastAsia="Arial" w:hAnsi="Arial"/>
          <w:sz w:val="14"/>
          <w:szCs w:val="14"/>
          <w:b w:val="1"/>
          <w:bCs w:val="1"/>
          <w:color w:val="auto"/>
        </w:rPr>
        <w:t>Borrowers</w:t>
      </w:r>
      <w:r>
        <w:rPr>
          <w:rFonts w:ascii="Arial" w:cs="Arial" w:eastAsia="Arial" w:hAnsi="Arial"/>
          <w:sz w:val="14"/>
          <w:szCs w:val="14"/>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4"/>
          <w:szCs w:val="14"/>
          <w:b w:val="1"/>
          <w:bCs w:val="1"/>
          <w:color w:val="auto"/>
        </w:rPr>
        <w:t>Credit Agreement</w:t>
      </w:r>
      <w:r>
        <w:rPr>
          <w:rFonts w:ascii="Arial" w:cs="Arial" w:eastAsia="Arial" w:hAnsi="Arial"/>
          <w:sz w:val="14"/>
          <w:szCs w:val="14"/>
          <w:color w:val="auto"/>
        </w:rPr>
        <w:t>”). Capitalized terms used herein without definition shall have the meanings set forth in the Credit Agreement.</w:t>
      </w:r>
    </w:p>
    <w:p>
      <w:pPr>
        <w:sectPr>
          <w:pgSz w:w="11900" w:h="16838" w:orient="portrait"/>
          <w:cols w:equalWidth="0" w:num="1">
            <w:col w:w="10600"/>
          </w:cols>
          <w:pgMar w:left="980" w:top="161" w:right="319" w:bottom="1440" w:gutter="0" w:footer="0" w:header="0"/>
        </w:sect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color w:val="auto"/>
        </w:rPr>
        <w:t>Loans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5080</wp:posOffset>
            </wp:positionV>
            <wp:extent cx="2222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1920" w:hanging="2400"/>
        <w:spacing w:after="0" w:line="268" w:lineRule="auto"/>
        <w:rPr>
          <w:sz w:val="20"/>
          <w:szCs w:val="20"/>
          <w:color w:val="auto"/>
        </w:rPr>
      </w:pPr>
      <w:r>
        <w:rPr>
          <w:rFonts w:ascii="Arial" w:cs="Arial" w:eastAsia="Arial" w:hAnsi="Arial"/>
          <w:sz w:val="14"/>
          <w:szCs w:val="14"/>
          <w:color w:val="auto"/>
        </w:rPr>
        <w:t>The undersigned Responsible Officer hereby gives notice to Agent of Borrower Representative’s request to borrow $ , 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-134620</wp:posOffset>
            </wp:positionV>
            <wp:extent cx="279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940" cy="6350"/>
                    </a:xfrm>
                    <a:prstGeom prst="rect">
                      <a:avLst/>
                    </a:prstGeom>
                    <a:noFill/>
                  </pic:spPr>
                </pic:pic>
              </a:graphicData>
            </a:graphic>
          </wp:anchor>
        </w:drawing>
        <w:drawing>
          <wp:anchor simplePos="0" relativeHeight="251657728" behindDoc="1" locked="0" layoutInCell="0" allowOverlap="1">
            <wp:simplePos x="0" y="0"/>
            <wp:positionH relativeFrom="column">
              <wp:posOffset>173355</wp:posOffset>
            </wp:positionH>
            <wp:positionV relativeFrom="paragraph">
              <wp:posOffset>-31750</wp:posOffset>
            </wp:positionV>
            <wp:extent cx="2222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of Term</w:t>
      </w:r>
    </w:p>
    <w:p>
      <w:pPr>
        <w:spacing w:after="0" w:line="328" w:lineRule="exact"/>
        <w:rPr>
          <w:sz w:val="20"/>
          <w:szCs w:val="20"/>
          <w:color w:val="auto"/>
        </w:rPr>
      </w:pPr>
    </w:p>
    <w:p>
      <w:pPr>
        <w:sectPr>
          <w:pgSz w:w="11900" w:h="16838" w:orient="portrait"/>
          <w:cols w:equalWidth="0" w:num="3">
            <w:col w:w="2440" w:space="720"/>
            <w:col w:w="6220" w:space="720"/>
            <w:col w:w="500"/>
          </w:cols>
          <w:pgMar w:left="980" w:top="161" w:right="319" w:bottom="1440" w:gutter="0" w:footer="0" w:header="0"/>
          <w:type w:val="continuous"/>
        </w:sectPr>
      </w:pPr>
    </w:p>
    <w:p>
      <w:pPr>
        <w:jc w:val="both"/>
        <w:ind w:firstLine="751"/>
        <w:spacing w:after="0" w:line="248" w:lineRule="auto"/>
        <w:rPr>
          <w:sz w:val="20"/>
          <w:szCs w:val="20"/>
          <w:color w:val="auto"/>
        </w:rPr>
      </w:pPr>
      <w:r>
        <w:rPr>
          <w:rFonts w:ascii="Arial" w:cs="Arial" w:eastAsia="Arial" w:hAnsi="Arial"/>
          <w:sz w:val="14"/>
          <w:szCs w:val="14"/>
          <w:color w:val="auto"/>
        </w:rPr>
        <w:t xml:space="preserve">The undersigned officer hereby certifies that, both before and after giving effect to the request above (a) each of the conditions precedent set forth in Section 7.2 have been satisfied, (b) all of the representations and warranties contained in the Credit Agreement and the other Financing Documents are true, correct and complete in all material respects as of the date hereof, except to the extent such representation or warranty relates to a specific date, in which case such representation or warranty is true, correct and complete as of such earlier date; </w:t>
      </w:r>
      <w:r>
        <w:rPr>
          <w:rFonts w:ascii="Arial" w:cs="Arial" w:eastAsia="Arial" w:hAnsi="Arial"/>
          <w:sz w:val="14"/>
          <w:szCs w:val="14"/>
          <w:i w:val="1"/>
          <w:iCs w:val="1"/>
          <w:color w:val="auto"/>
        </w:rPr>
        <w:t>provided, however</w:t>
      </w:r>
      <w:r>
        <w:rPr>
          <w:rFonts w:ascii="Arial" w:cs="Arial" w:eastAsia="Arial" w:hAnsi="Arial"/>
          <w:sz w:val="14"/>
          <w:szCs w:val="14"/>
          <w:color w:val="auto"/>
        </w:rPr>
        <w:t>, in each case, such materiality qualifier shall not be applicable to any representations and warranties that already are qualified or modified by materiality in the text</w:t>
      </w:r>
      <w:r>
        <w:rPr>
          <w:rFonts w:ascii="Arial" w:cs="Arial" w:eastAsia="Arial" w:hAnsi="Arial"/>
          <w:sz w:val="14"/>
          <w:szCs w:val="14"/>
          <w:i w:val="1"/>
          <w:iCs w:val="1"/>
          <w:color w:val="auto"/>
        </w:rPr>
        <w:t xml:space="preserve"> </w:t>
      </w:r>
      <w:r>
        <w:rPr>
          <w:rFonts w:ascii="Arial" w:cs="Arial" w:eastAsia="Arial" w:hAnsi="Arial"/>
          <w:sz w:val="14"/>
          <w:szCs w:val="14"/>
          <w:color w:val="auto"/>
        </w:rPr>
        <w:t>thereof, and (c) no Default or Event of Default has occurred and is continuing on the date hereof.</w:t>
      </w:r>
    </w:p>
    <w:p>
      <w:pPr>
        <w:spacing w:after="0" w:line="128" w:lineRule="exact"/>
        <w:rPr>
          <w:sz w:val="20"/>
          <w:szCs w:val="20"/>
          <w:color w:val="auto"/>
        </w:rPr>
      </w:pPr>
    </w:p>
    <w:p>
      <w:pPr>
        <w:ind w:left="760"/>
        <w:spacing w:after="0"/>
        <w:tabs>
          <w:tab w:leader="none" w:pos="7320" w:val="left"/>
          <w:tab w:leader="none" w:pos="10520" w:val="left"/>
        </w:tabs>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officer has executed and delivered this Notice of Borrowing this</w:t>
      </w:r>
      <w:r>
        <w:rPr>
          <w:sz w:val="20"/>
          <w:szCs w:val="20"/>
          <w:color w:val="auto"/>
        </w:rPr>
        <w:tab/>
      </w:r>
      <w:r>
        <w:rPr>
          <w:rFonts w:ascii="Arial" w:cs="Arial" w:eastAsia="Arial" w:hAnsi="Arial"/>
          <w:sz w:val="14"/>
          <w:szCs w:val="14"/>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-6350</wp:posOffset>
            </wp:positionV>
            <wp:extent cx="24193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1935" cy="635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-6350</wp:posOffset>
            </wp:positionV>
            <wp:extent cx="2794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0" cy="6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201 .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-16510</wp:posOffset>
            </wp:positionV>
            <wp:extent cx="4254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6350"/>
                    </a:xfrm>
                    <a:prstGeom prst="rect">
                      <a:avLst/>
                    </a:prstGeom>
                    <a:noFill/>
                  </pic:spPr>
                </pic:pic>
              </a:graphicData>
            </a:graphic>
          </wp:anchor>
        </w:drawing>
      </w:r>
    </w:p>
    <w:p>
      <w:pPr>
        <w:spacing w:after="0" w:line="12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Sincerely,</w:t>
      </w:r>
    </w:p>
    <w:p>
      <w:pPr>
        <w:spacing w:after="0" w:line="217"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Aptevo Therapeutics Inc.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By:</w:t>
      </w:r>
    </w:p>
    <w:p>
      <w:pPr>
        <w:spacing w:after="0" w:line="13"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Name:</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243205</wp:posOffset>
            </wp:positionV>
            <wp:extent cx="732409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600"/>
          </w:cols>
          <w:pgMar w:left="980" w:top="161" w:right="319" w:bottom="1440" w:gutter="0" w:footer="0" w:header="0"/>
          <w:type w:val="continuous"/>
        </w:sectPr>
      </w:pPr>
    </w:p>
    <w:bookmarkStart w:id="162" w:name="page163"/>
    <w:bookmarkEnd w:id="162"/>
    <w:p>
      <w:pPr>
        <w:ind w:left="2720"/>
        <w:spacing w:after="0"/>
        <w:rPr>
          <w:sz w:val="20"/>
          <w:szCs w:val="20"/>
          <w:color w:val="auto"/>
        </w:rPr>
      </w:pPr>
      <w:r>
        <w:rPr>
          <w:rFonts w:ascii="Arial" w:cs="Arial" w:eastAsia="Arial" w:hAnsi="Arial"/>
          <w:sz w:val="14"/>
          <w:szCs w:val="14"/>
          <w:b w:val="1"/>
          <w:bCs w:val="1"/>
          <w:color w:val="auto"/>
        </w:rPr>
        <w:t>Exhibit E to Credit Agreement (Form of Payment Notification)</w:t>
      </w:r>
    </w:p>
    <w:p>
      <w:pPr>
        <w:spacing w:after="0" w:line="297"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PAYMENT NOTIFICATION</w:t>
      </w:r>
    </w:p>
    <w:p>
      <w:pPr>
        <w:spacing w:after="0" w:line="158" w:lineRule="exact"/>
        <w:rPr>
          <w:sz w:val="20"/>
          <w:szCs w:val="20"/>
          <w:color w:val="auto"/>
        </w:rPr>
      </w:pPr>
    </w:p>
    <w:p>
      <w:pPr>
        <w:ind w:left="1520"/>
        <w:spacing w:after="0"/>
        <w:tabs>
          <w:tab w:leader="none" w:pos="8160" w:val="left"/>
        </w:tabs>
        <w:rPr>
          <w:sz w:val="20"/>
          <w:szCs w:val="20"/>
          <w:color w:val="auto"/>
        </w:rPr>
      </w:pPr>
      <w:r>
        <w:rPr>
          <w:rFonts w:ascii="Arial" w:cs="Arial" w:eastAsia="Arial" w:hAnsi="Arial"/>
          <w:sz w:val="14"/>
          <w:szCs w:val="14"/>
          <w:color w:val="auto"/>
        </w:rPr>
        <w:t>This Payment Notification is given by</w:t>
      </w:r>
      <w:r>
        <w:rPr>
          <w:sz w:val="20"/>
          <w:szCs w:val="20"/>
          <w:color w:val="auto"/>
        </w:rPr>
        <w:tab/>
      </w:r>
      <w:r>
        <w:rPr>
          <w:rFonts w:ascii="Arial" w:cs="Arial" w:eastAsia="Arial" w:hAnsi="Arial"/>
          <w:sz w:val="12"/>
          <w:szCs w:val="12"/>
          <w:color w:val="auto"/>
        </w:rPr>
        <w:t>, a Responsible Officer of Aptevo Therapeutics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-8890</wp:posOffset>
            </wp:positionV>
            <wp:extent cx="2286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2860" cy="6350"/>
                    </a:xfrm>
                    <a:prstGeom prst="rect">
                      <a:avLst/>
                    </a:prstGeom>
                    <a:noFill/>
                  </pic:spPr>
                </pic:pic>
              </a:graphicData>
            </a:graphic>
          </wp:anchor>
        </w:drawing>
      </w:r>
    </w:p>
    <w:p>
      <w:pPr>
        <w:jc w:val="both"/>
        <w:ind w:left="760" w:right="140"/>
        <w:spacing w:after="0" w:line="211" w:lineRule="auto"/>
        <w:rPr>
          <w:sz w:val="20"/>
          <w:szCs w:val="20"/>
          <w:color w:val="auto"/>
        </w:rPr>
      </w:pPr>
      <w:r>
        <w:rPr>
          <w:rFonts w:ascii="Arial" w:cs="Arial" w:eastAsia="Arial" w:hAnsi="Arial"/>
          <w:sz w:val="8"/>
          <w:szCs w:val="8"/>
          <w:color w:val="auto"/>
        </w:rPr>
        <w:t>“</w:t>
      </w:r>
      <w:r>
        <w:rPr>
          <w:rFonts w:ascii="Arial" w:cs="Arial" w:eastAsia="Arial" w:hAnsi="Arial"/>
          <w:sz w:val="8"/>
          <w:szCs w:val="8"/>
          <w:b w:val="1"/>
          <w:bCs w:val="1"/>
          <w:color w:val="auto"/>
        </w:rPr>
        <w:t>Borrower Representative</w:t>
      </w:r>
      <w:r>
        <w:rPr>
          <w:rFonts w:ascii="Arial" w:cs="Arial" w:eastAsia="Arial" w:hAnsi="Arial"/>
          <w:sz w:val="8"/>
          <w:szCs w:val="8"/>
          <w:color w:val="auto"/>
        </w:rPr>
        <w:t>”), pursuant to that certain Amended and Restated Credit and Security Agreement dated as August 6, 2018among Borrower Representative, Aptevo Biotherapeutics LLC, Aptevo Research and Development LLC, and the other Borrowers signatory thereto and any additional Borrower that may hereafter be added thereto (collectively, “</w:t>
      </w:r>
      <w:r>
        <w:rPr>
          <w:rFonts w:ascii="Arial" w:cs="Arial" w:eastAsia="Arial" w:hAnsi="Arial"/>
          <w:sz w:val="8"/>
          <w:szCs w:val="8"/>
          <w:b w:val="1"/>
          <w:bCs w:val="1"/>
          <w:color w:val="auto"/>
        </w:rPr>
        <w:t>Borrowers</w:t>
      </w:r>
      <w:r>
        <w:rPr>
          <w:rFonts w:ascii="Arial" w:cs="Arial" w:eastAsia="Arial" w:hAnsi="Arial"/>
          <w:sz w:val="8"/>
          <w:szCs w:val="8"/>
          <w:color w:val="auto"/>
        </w:rPr>
        <w:t>”), MidCap Financial Trust, individually as a Lender and as Agent, and the financial institutions or other entities from time to time parties hereto, each as a Lender (as such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760" w:right="140"/>
        <w:spacing w:after="0" w:line="274" w:lineRule="auto"/>
        <w:rPr>
          <w:sz w:val="20"/>
          <w:szCs w:val="20"/>
          <w:color w:val="auto"/>
        </w:rPr>
      </w:pPr>
      <w:r>
        <w:rPr>
          <w:rFonts w:ascii="Arial" w:cs="Arial" w:eastAsia="Arial" w:hAnsi="Arial"/>
          <w:sz w:val="14"/>
          <w:szCs w:val="14"/>
          <w:color w:val="auto"/>
        </w:rPr>
        <w:t>agreement may have been amended, restated, supplemented or otherwise modified from time to time, the “</w:t>
      </w:r>
      <w:r>
        <w:rPr>
          <w:rFonts w:ascii="Arial" w:cs="Arial" w:eastAsia="Arial" w:hAnsi="Arial"/>
          <w:sz w:val="14"/>
          <w:szCs w:val="14"/>
          <w:b w:val="1"/>
          <w:bCs w:val="1"/>
          <w:color w:val="auto"/>
        </w:rPr>
        <w:t>Credit Agreement</w:t>
      </w:r>
      <w:r>
        <w:rPr>
          <w:rFonts w:ascii="Arial" w:cs="Arial" w:eastAsia="Arial" w:hAnsi="Arial"/>
          <w:sz w:val="14"/>
          <w:szCs w:val="14"/>
          <w:color w:val="auto"/>
        </w:rPr>
        <w:t>”). Capitalized terms used herein without definition shall have the meanings set forth in the Credit Agreement.</w:t>
      </w:r>
    </w:p>
    <w:p>
      <w:pPr>
        <w:spacing w:after="0" w:line="114" w:lineRule="exact"/>
        <w:rPr>
          <w:sz w:val="20"/>
          <w:szCs w:val="20"/>
          <w:color w:val="auto"/>
        </w:rPr>
      </w:pPr>
    </w:p>
    <w:p>
      <w:pPr>
        <w:ind w:left="1520"/>
        <w:spacing w:after="0"/>
        <w:tabs>
          <w:tab w:leader="none" w:pos="5640" w:val="left"/>
          <w:tab w:leader="none" w:pos="9060" w:val="left"/>
        </w:tabs>
        <w:rPr>
          <w:sz w:val="20"/>
          <w:szCs w:val="20"/>
          <w:color w:val="auto"/>
        </w:rPr>
      </w:pPr>
      <w:r>
        <w:rPr>
          <w:rFonts w:ascii="Arial" w:cs="Arial" w:eastAsia="Arial" w:hAnsi="Arial"/>
          <w:sz w:val="14"/>
          <w:szCs w:val="14"/>
          <w:color w:val="auto"/>
        </w:rPr>
        <w:t>Please be advised that funds in the amount of $</w:t>
      </w:r>
      <w:r>
        <w:rPr>
          <w:sz w:val="20"/>
          <w:szCs w:val="20"/>
          <w:color w:val="auto"/>
        </w:rPr>
        <w:tab/>
      </w:r>
      <w:r>
        <w:rPr>
          <w:rFonts w:ascii="Arial" w:cs="Arial" w:eastAsia="Arial" w:hAnsi="Arial"/>
          <w:sz w:val="14"/>
          <w:szCs w:val="14"/>
          <w:color w:val="auto"/>
        </w:rPr>
        <w:t>will be wire transferred to Agent on</w:t>
      </w:r>
      <w:r>
        <w:rPr>
          <w:sz w:val="20"/>
          <w:szCs w:val="20"/>
          <w:color w:val="auto"/>
        </w:rPr>
        <w:tab/>
      </w:r>
      <w:r>
        <w:rPr>
          <w:rFonts w:ascii="Arial" w:cs="Arial" w:eastAsia="Arial" w:hAnsi="Arial"/>
          <w:sz w:val="13"/>
          <w:szCs w:val="13"/>
          <w:color w:val="auto"/>
        </w:rPr>
        <w:t>, 201_. Such funds shall constitute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-8890</wp:posOffset>
            </wp:positionV>
            <wp:extent cx="3429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6350"/>
                    </a:xfrm>
                    <a:prstGeom prst="rect">
                      <a:avLst/>
                    </a:prstGeom>
                    <a:noFill/>
                  </pic:spPr>
                </pic:pic>
              </a:graphicData>
            </a:graphic>
          </wp:anchor>
        </w:drawing>
        <w:drawing>
          <wp:anchor simplePos="0" relativeHeight="251657728" behindDoc="1" locked="0" layoutInCell="0" allowOverlap="1">
            <wp:simplePos x="0" y="0"/>
            <wp:positionH relativeFrom="column">
              <wp:posOffset>4942205</wp:posOffset>
            </wp:positionH>
            <wp:positionV relativeFrom="paragraph">
              <wp:posOffset>-8890</wp:posOffset>
            </wp:positionV>
            <wp:extent cx="3429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635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3"/>
          <w:szCs w:val="13"/>
          <w:color w:val="auto"/>
        </w:rPr>
        <w:t>optional] [a mandatory] prepayment of the Term Loans, with such prepayments to be applied in the manner specified in Section 2.1(a)(iii). [Such mandatory prepayment is being made</w:t>
      </w:r>
    </w:p>
    <w:p>
      <w:pPr>
        <w:spacing w:after="0" w:line="13" w:lineRule="exact"/>
        <w:rPr>
          <w:sz w:val="20"/>
          <w:szCs w:val="20"/>
          <w:color w:val="auto"/>
        </w:rPr>
      </w:pPr>
    </w:p>
    <w:p>
      <w:pPr>
        <w:ind w:left="760"/>
        <w:spacing w:after="0"/>
        <w:tabs>
          <w:tab w:leader="none" w:pos="7620" w:val="left"/>
        </w:tabs>
        <w:rPr>
          <w:sz w:val="20"/>
          <w:szCs w:val="20"/>
          <w:color w:val="auto"/>
        </w:rPr>
      </w:pPr>
      <w:r>
        <w:rPr>
          <w:rFonts w:ascii="Arial" w:cs="Arial" w:eastAsia="Arial" w:hAnsi="Arial"/>
          <w:sz w:val="14"/>
          <w:szCs w:val="14"/>
          <w:color w:val="auto"/>
        </w:rPr>
        <w:t>pursuant to Section</w:t>
      </w:r>
      <w:r>
        <w:rPr>
          <w:sz w:val="20"/>
          <w:szCs w:val="20"/>
          <w:color w:val="auto"/>
        </w:rPr>
        <w:tab/>
      </w:r>
      <w:r>
        <w:rPr>
          <w:rFonts w:ascii="Arial" w:cs="Arial" w:eastAsia="Arial" w:hAnsi="Arial"/>
          <w:sz w:val="12"/>
          <w:szCs w:val="12"/>
          <w:color w:val="auto"/>
        </w:rPr>
        <w:t>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-16510</wp:posOffset>
            </wp:positionV>
            <wp:extent cx="2222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840" w:type="dxa"/>
            <w:vAlign w:val="bottom"/>
            <w:gridSpan w:val="2"/>
          </w:tcPr>
          <w:p>
            <w:pPr>
              <w:ind w:left="1580"/>
              <w:spacing w:after="0"/>
              <w:rPr>
                <w:sz w:val="20"/>
                <w:szCs w:val="20"/>
                <w:color w:val="auto"/>
              </w:rPr>
            </w:pPr>
            <w:r>
              <w:rPr>
                <w:rFonts w:ascii="Arial" w:cs="Arial" w:eastAsia="Arial" w:hAnsi="Arial"/>
                <w:sz w:val="14"/>
                <w:szCs w:val="14"/>
                <w:color w:val="auto"/>
              </w:rPr>
              <w:t>Fax to MCF Operations 301-941-1450 no later than noon Eastern time.</w:t>
            </w:r>
          </w:p>
        </w:tc>
        <w:tc>
          <w:tcPr>
            <w:tcW w:w="660" w:type="dxa"/>
            <w:vAlign w:val="bottom"/>
          </w:tcPr>
          <w:p>
            <w:pPr>
              <w:spacing w:after="0"/>
              <w:rPr>
                <w:sz w:val="15"/>
                <w:szCs w:val="15"/>
                <w:color w:val="auto"/>
              </w:rPr>
            </w:pPr>
          </w:p>
        </w:tc>
      </w:tr>
      <w:tr>
        <w:trPr>
          <w:trHeight w:val="315"/>
        </w:trPr>
        <w:tc>
          <w:tcPr>
            <w:tcW w:w="10840" w:type="dxa"/>
            <w:vAlign w:val="bottom"/>
            <w:gridSpan w:val="2"/>
          </w:tcPr>
          <w:p>
            <w:pPr>
              <w:ind w:left="1520"/>
              <w:spacing w:after="0"/>
              <w:rPr>
                <w:sz w:val="20"/>
                <w:szCs w:val="20"/>
                <w:color w:val="auto"/>
              </w:rPr>
            </w:pPr>
            <w:r>
              <w:rPr>
                <w:rFonts w:ascii="Arial" w:cs="Arial" w:eastAsia="Arial" w:hAnsi="Arial"/>
                <w:sz w:val="14"/>
                <w:szCs w:val="14"/>
                <w:color w:val="auto"/>
              </w:rPr>
              <w:t>Note: Funds must be received in the Payment Account by no later than noon Eastern time for same day application</w:t>
            </w:r>
          </w:p>
        </w:tc>
        <w:tc>
          <w:tcPr>
            <w:tcW w:w="660" w:type="dxa"/>
            <w:vAlign w:val="bottom"/>
          </w:tcPr>
          <w:p>
            <w:pPr>
              <w:spacing w:after="0"/>
              <w:rPr>
                <w:sz w:val="24"/>
                <w:szCs w:val="24"/>
                <w:color w:val="auto"/>
              </w:rPr>
            </w:pPr>
          </w:p>
        </w:tc>
      </w:tr>
      <w:tr>
        <w:trPr>
          <w:trHeight w:val="283"/>
        </w:trPr>
        <w:tc>
          <w:tcPr>
            <w:tcW w:w="10840" w:type="dxa"/>
            <w:vAlign w:val="bottom"/>
            <w:gridSpan w:val="2"/>
          </w:tcPr>
          <w:p>
            <w:pPr>
              <w:ind w:left="152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undersigned  officer  has  executed  and  delivered  this  Payment  Notification  this</w:t>
            </w:r>
          </w:p>
        </w:tc>
        <w:tc>
          <w:tcPr>
            <w:tcW w:w="660" w:type="dxa"/>
            <w:vAlign w:val="bottom"/>
          </w:tcPr>
          <w:p>
            <w:pPr>
              <w:spacing w:after="0"/>
              <w:rPr>
                <w:sz w:val="20"/>
                <w:szCs w:val="20"/>
                <w:color w:val="auto"/>
              </w:rPr>
            </w:pPr>
            <w:r>
              <w:rPr>
                <w:rFonts w:ascii="Arial" w:cs="Arial" w:eastAsia="Arial" w:hAnsi="Arial"/>
                <w:sz w:val="14"/>
                <w:szCs w:val="14"/>
                <w:color w:val="auto"/>
              </w:rPr>
              <w:t>day   of</w:t>
            </w:r>
          </w:p>
        </w:tc>
      </w:tr>
      <w:tr>
        <w:trPr>
          <w:trHeight w:val="175"/>
        </w:trPr>
        <w:tc>
          <w:tcPr>
            <w:tcW w:w="9360" w:type="dxa"/>
            <w:vAlign w:val="bottom"/>
          </w:tcPr>
          <w:p>
            <w:pPr>
              <w:ind w:left="3620"/>
              <w:spacing w:after="0"/>
              <w:rPr>
                <w:sz w:val="20"/>
                <w:szCs w:val="20"/>
                <w:color w:val="auto"/>
              </w:rPr>
            </w:pPr>
            <w:r>
              <w:rPr>
                <w:rFonts w:ascii="Arial" w:cs="Arial" w:eastAsia="Arial" w:hAnsi="Arial"/>
                <w:sz w:val="14"/>
                <w:szCs w:val="14"/>
                <w:color w:val="auto"/>
              </w:rPr>
              <w:t>, 201 .</w:t>
            </w:r>
          </w:p>
        </w:tc>
        <w:tc>
          <w:tcPr>
            <w:tcW w:w="14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r>
      <w:tr>
        <w:trPr>
          <w:trHeight w:val="315"/>
        </w:trPr>
        <w:tc>
          <w:tcPr>
            <w:tcW w:w="10840" w:type="dxa"/>
            <w:vAlign w:val="bottom"/>
            <w:gridSpan w:val="2"/>
          </w:tcPr>
          <w:p>
            <w:pPr>
              <w:ind w:left="5860"/>
              <w:spacing w:after="0"/>
              <w:rPr>
                <w:sz w:val="20"/>
                <w:szCs w:val="20"/>
                <w:color w:val="auto"/>
              </w:rPr>
            </w:pPr>
            <w:r>
              <w:rPr>
                <w:rFonts w:ascii="Arial" w:cs="Arial" w:eastAsia="Arial" w:hAnsi="Arial"/>
                <w:sz w:val="14"/>
                <w:szCs w:val="14"/>
                <w:color w:val="auto"/>
              </w:rPr>
              <w:t>Sincerely,</w:t>
            </w:r>
          </w:p>
        </w:tc>
        <w:tc>
          <w:tcPr>
            <w:tcW w:w="660" w:type="dxa"/>
            <w:vAlign w:val="bottom"/>
          </w:tcPr>
          <w:p>
            <w:pPr>
              <w:spacing w:after="0"/>
              <w:rPr>
                <w:sz w:val="24"/>
                <w:szCs w:val="24"/>
                <w:color w:val="auto"/>
              </w:rPr>
            </w:pPr>
          </w:p>
        </w:tc>
      </w:tr>
      <w:tr>
        <w:trPr>
          <w:trHeight w:val="382"/>
        </w:trPr>
        <w:tc>
          <w:tcPr>
            <w:tcW w:w="10840" w:type="dxa"/>
            <w:vAlign w:val="bottom"/>
            <w:gridSpan w:val="2"/>
          </w:tcPr>
          <w:p>
            <w:pPr>
              <w:ind w:left="5520"/>
              <w:spacing w:after="0"/>
              <w:rPr>
                <w:sz w:val="20"/>
                <w:szCs w:val="20"/>
                <w:color w:val="auto"/>
              </w:rPr>
            </w:pPr>
            <w:r>
              <w:rPr>
                <w:rFonts w:ascii="Arial" w:cs="Arial" w:eastAsia="Arial" w:hAnsi="Arial"/>
                <w:sz w:val="14"/>
                <w:szCs w:val="14"/>
                <w:b w:val="1"/>
                <w:bCs w:val="1"/>
                <w:color w:val="auto"/>
              </w:rPr>
              <w:t>Aptevo Therapeutics Inc.</w:t>
            </w:r>
          </w:p>
        </w:tc>
        <w:tc>
          <w:tcPr>
            <w:tcW w:w="660" w:type="dxa"/>
            <w:vAlign w:val="bottom"/>
          </w:tcPr>
          <w:p>
            <w:pPr>
              <w:spacing w:after="0"/>
              <w:rPr>
                <w:sz w:val="24"/>
                <w:szCs w:val="24"/>
                <w:color w:val="auto"/>
              </w:rPr>
            </w:pPr>
          </w:p>
        </w:tc>
      </w:tr>
      <w:tr>
        <w:trPr>
          <w:trHeight w:val="365"/>
        </w:trPr>
        <w:tc>
          <w:tcPr>
            <w:tcW w:w="10840" w:type="dxa"/>
            <w:vAlign w:val="bottom"/>
            <w:gridSpan w:val="2"/>
          </w:tcPr>
          <w:p>
            <w:pPr>
              <w:ind w:left="5640"/>
              <w:spacing w:after="0"/>
              <w:rPr>
                <w:sz w:val="20"/>
                <w:szCs w:val="20"/>
                <w:color w:val="auto"/>
              </w:rPr>
            </w:pPr>
            <w:r>
              <w:rPr>
                <w:rFonts w:ascii="Arial" w:cs="Arial" w:eastAsia="Arial" w:hAnsi="Arial"/>
                <w:sz w:val="14"/>
                <w:szCs w:val="14"/>
                <w:color w:val="auto"/>
              </w:rPr>
              <w:t>By:</w:t>
            </w:r>
          </w:p>
        </w:tc>
        <w:tc>
          <w:tcPr>
            <w:tcW w:w="660" w:type="dxa"/>
            <w:vAlign w:val="bottom"/>
          </w:tcPr>
          <w:p>
            <w:pPr>
              <w:spacing w:after="0"/>
              <w:rPr>
                <w:sz w:val="24"/>
                <w:szCs w:val="24"/>
                <w:color w:val="auto"/>
              </w:rPr>
            </w:pPr>
          </w:p>
        </w:tc>
      </w:tr>
      <w:tr>
        <w:trPr>
          <w:trHeight w:val="162"/>
        </w:trPr>
        <w:tc>
          <w:tcPr>
            <w:tcW w:w="10840" w:type="dxa"/>
            <w:vAlign w:val="bottom"/>
            <w:gridSpan w:val="2"/>
          </w:tcPr>
          <w:p>
            <w:pPr>
              <w:ind w:left="5640"/>
              <w:spacing w:after="0"/>
              <w:rPr>
                <w:sz w:val="20"/>
                <w:szCs w:val="20"/>
                <w:color w:val="auto"/>
              </w:rPr>
            </w:pPr>
            <w:r>
              <w:rPr>
                <w:rFonts w:ascii="Arial" w:cs="Arial" w:eastAsia="Arial" w:hAnsi="Arial"/>
                <w:sz w:val="14"/>
                <w:szCs w:val="14"/>
                <w:color w:val="auto"/>
              </w:rPr>
              <w:t>Name:</w:t>
            </w:r>
          </w:p>
        </w:tc>
        <w:tc>
          <w:tcPr>
            <w:tcW w:w="660" w:type="dxa"/>
            <w:vAlign w:val="bottom"/>
          </w:tcPr>
          <w:p>
            <w:pPr>
              <w:spacing w:after="0"/>
              <w:rPr>
                <w:sz w:val="14"/>
                <w:szCs w:val="14"/>
                <w:color w:val="auto"/>
              </w:rPr>
            </w:pPr>
          </w:p>
        </w:tc>
      </w:tr>
      <w:tr>
        <w:trPr>
          <w:trHeight w:val="179"/>
        </w:trPr>
        <w:tc>
          <w:tcPr>
            <w:tcW w:w="10840" w:type="dxa"/>
            <w:vAlign w:val="bottom"/>
            <w:gridSpan w:val="2"/>
          </w:tcPr>
          <w:p>
            <w:pPr>
              <w:ind w:left="5640"/>
              <w:spacing w:after="0"/>
              <w:rPr>
                <w:sz w:val="20"/>
                <w:szCs w:val="20"/>
                <w:color w:val="auto"/>
              </w:rPr>
            </w:pPr>
            <w:r>
              <w:rPr>
                <w:rFonts w:ascii="Arial" w:cs="Arial" w:eastAsia="Arial" w:hAnsi="Arial"/>
                <w:sz w:val="14"/>
                <w:szCs w:val="14"/>
                <w:color w:val="auto"/>
              </w:rPr>
              <w:t>Title:</w:t>
            </w:r>
          </w:p>
        </w:tc>
        <w:tc>
          <w:tcPr>
            <w:tcW w:w="660" w:type="dxa"/>
            <w:vAlign w:val="bottom"/>
          </w:tcPr>
          <w:p>
            <w:pPr>
              <w:spacing w:after="0"/>
              <w:rPr>
                <w:sz w:val="15"/>
                <w:szCs w:val="15"/>
                <w:color w:val="auto"/>
              </w:rPr>
            </w:pPr>
          </w:p>
        </w:tc>
      </w:tr>
      <w:tr>
        <w:trPr>
          <w:trHeight w:val="397"/>
        </w:trPr>
        <w:tc>
          <w:tcPr>
            <w:tcW w:w="9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-1175385</wp:posOffset>
            </wp:positionV>
            <wp:extent cx="2222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2225" cy="6350"/>
                    </a:xfrm>
                    <a:prstGeom prst="rect">
                      <a:avLst/>
                    </a:prstGeom>
                    <a:noFill/>
                  </pic:spPr>
                </pic:pic>
              </a:graphicData>
            </a:graphic>
          </wp:anchor>
        </w:drawing>
      </w:r>
    </w:p>
    <w:p>
      <w:pPr>
        <w:sectPr>
          <w:pgSz w:w="11900" w:h="16838" w:orient="portrait"/>
          <w:cols w:equalWidth="0" w:num="1">
            <w:col w:w="11500"/>
          </w:cols>
          <w:pgMar w:left="220" w:top="161" w:right="179" w:bottom="1440" w:gutter="0" w:footer="0" w:header="0"/>
        </w:sectPr>
      </w:pPr>
    </w:p>
    <w:bookmarkStart w:id="163" w:name="page164"/>
    <w:bookmarkEnd w:id="163"/>
    <w:p>
      <w:pPr>
        <w:ind w:left="1700"/>
        <w:spacing w:after="0"/>
        <w:rPr>
          <w:sz w:val="20"/>
          <w:szCs w:val="20"/>
          <w:color w:val="auto"/>
        </w:rPr>
      </w:pPr>
      <w:r>
        <w:rPr>
          <w:rFonts w:ascii="Arial" w:cs="Arial" w:eastAsia="Arial" w:hAnsi="Arial"/>
          <w:sz w:val="12"/>
          <w:szCs w:val="12"/>
          <w:b w:val="1"/>
          <w:bCs w:val="1"/>
          <w:color w:val="auto"/>
        </w:rPr>
        <w:t>Exhibit F to Credit Agreement (Form of Closing Checklist)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292100</wp:posOffset>
            </wp:positionV>
            <wp:extent cx="732409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164" w:name="page165"/>
    <w:bookmarkEnd w:id="16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1157605" cy="333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157605" cy="333375"/>
                    </a:xfrm>
                    <a:prstGeom prst="rect">
                      <a:avLst/>
                    </a:prstGeom>
                    <a:noFill/>
                  </pic:spPr>
                </pic:pic>
              </a:graphicData>
            </a:graphic>
          </wp:anchor>
        </w:drawing>
        <w:t>APTEVO THERAPUETICS INC.</w:t>
      </w:r>
    </w:p>
    <w:p>
      <w:pPr>
        <w:spacing w:after="0" w:line="368"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auto"/>
        </w:rPr>
        <w:t>$20,000,000 TERM LOAN</w:t>
      </w:r>
    </w:p>
    <w:p>
      <w:pPr>
        <w:spacing w:after="0" w:line="15" w:lineRule="exact"/>
        <w:rPr>
          <w:sz w:val="20"/>
          <w:szCs w:val="20"/>
          <w:color w:val="auto"/>
        </w:rPr>
      </w:pPr>
    </w:p>
    <w:p>
      <w:pPr>
        <w:jc w:val="center"/>
        <w:ind w:left="640"/>
        <w:spacing w:after="0"/>
        <w:rPr>
          <w:sz w:val="20"/>
          <w:szCs w:val="20"/>
          <w:color w:val="auto"/>
        </w:rPr>
      </w:pPr>
      <w:r>
        <w:rPr>
          <w:rFonts w:ascii="Arial" w:cs="Arial" w:eastAsia="Arial" w:hAnsi="Arial"/>
          <w:sz w:val="15"/>
          <w:szCs w:val="15"/>
          <w:b w:val="1"/>
          <w:bCs w:val="1"/>
          <w:color w:val="auto"/>
        </w:rPr>
        <w:t>by MIDCAP FINANCIAL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860" w:type="dxa"/>
            <w:vAlign w:val="bottom"/>
            <w:gridSpan w:val="2"/>
          </w:tcPr>
          <w:p>
            <w:pPr>
              <w:ind w:left="1220"/>
              <w:spacing w:after="0"/>
              <w:rPr>
                <w:sz w:val="20"/>
                <w:szCs w:val="20"/>
                <w:color w:val="auto"/>
              </w:rPr>
            </w:pPr>
            <w:r>
              <w:rPr>
                <w:rFonts w:ascii="Arial" w:cs="Arial" w:eastAsia="Arial" w:hAnsi="Arial"/>
                <w:sz w:val="15"/>
                <w:szCs w:val="15"/>
                <w:b w:val="1"/>
                <w:bCs w:val="1"/>
                <w:color w:val="auto"/>
              </w:rPr>
              <w:t>CLOSING CHECKLIST</w:t>
            </w:r>
          </w:p>
        </w:tc>
      </w:tr>
      <w:tr>
        <w:trPr>
          <w:trHeight w:val="269"/>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Key:</w:t>
            </w:r>
          </w:p>
        </w:tc>
        <w:tc>
          <w:tcPr>
            <w:tcW w:w="34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59"/>
        </w:trPr>
        <w:tc>
          <w:tcPr>
            <w:tcW w:w="2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22"/>
                <w:szCs w:val="22"/>
                <w:color w:val="auto"/>
              </w:rPr>
            </w:pPr>
          </w:p>
        </w:tc>
        <w:tc>
          <w:tcPr>
            <w:tcW w:w="5840" w:type="dxa"/>
            <w:vAlign w:val="bottom"/>
            <w:gridSpan w:val="2"/>
          </w:tcPr>
          <w:p>
            <w:pPr>
              <w:ind w:left="160"/>
              <w:spacing w:after="0"/>
              <w:rPr>
                <w:sz w:val="20"/>
                <w:szCs w:val="20"/>
                <w:color w:val="auto"/>
              </w:rPr>
            </w:pPr>
            <w:r>
              <w:rPr>
                <w:rFonts w:ascii="Arial" w:cs="Arial" w:eastAsia="Arial" w:hAnsi="Arial"/>
                <w:sz w:val="14"/>
                <w:szCs w:val="14"/>
                <w:b w:val="1"/>
                <w:bCs w:val="1"/>
                <w:color w:val="auto"/>
                <w:w w:val="94"/>
              </w:rPr>
              <w:t>Borrower – Aptevo Therapeutics Inc. and certain of its direct and indirect Subsidiaries BC</w:t>
            </w:r>
          </w:p>
        </w:tc>
        <w:tc>
          <w:tcPr>
            <w:tcW w:w="2460" w:type="dxa"/>
            <w:vAlign w:val="bottom"/>
          </w:tcPr>
          <w:p>
            <w:pPr>
              <w:ind w:left="260"/>
              <w:spacing w:after="0"/>
              <w:rPr>
                <w:sz w:val="20"/>
                <w:szCs w:val="20"/>
                <w:color w:val="auto"/>
              </w:rPr>
            </w:pPr>
            <w:r>
              <w:rPr>
                <w:rFonts w:ascii="Arial" w:cs="Arial" w:eastAsia="Arial" w:hAnsi="Arial"/>
                <w:sz w:val="14"/>
                <w:szCs w:val="14"/>
                <w:b w:val="1"/>
                <w:bCs w:val="1"/>
                <w:color w:val="auto"/>
                <w:w w:val="90"/>
              </w:rPr>
              <w:t>Borrower’s Counsel – Morgan Lewis</w:t>
            </w:r>
          </w:p>
        </w:tc>
      </w:tr>
      <w:tr>
        <w:trPr>
          <w:trHeight w:val="178"/>
        </w:trPr>
        <w:tc>
          <w:tcPr>
            <w:tcW w:w="440" w:type="dxa"/>
            <w:vAlign w:val="bottom"/>
            <w:gridSpan w:val="2"/>
          </w:tcPr>
          <w:p>
            <w:pPr>
              <w:spacing w:after="0"/>
              <w:rPr>
                <w:sz w:val="20"/>
                <w:szCs w:val="20"/>
                <w:color w:val="auto"/>
              </w:rPr>
            </w:pPr>
            <w:r>
              <w:rPr>
                <w:rFonts w:ascii="Arial" w:cs="Arial" w:eastAsia="Arial" w:hAnsi="Arial"/>
                <w:sz w:val="14"/>
                <w:szCs w:val="14"/>
                <w:b w:val="1"/>
                <w:bCs w:val="1"/>
                <w:color w:val="auto"/>
              </w:rPr>
              <w:t>L</w:t>
            </w:r>
          </w:p>
        </w:tc>
        <w:tc>
          <w:tcPr>
            <w:tcW w:w="3440" w:type="dxa"/>
            <w:vAlign w:val="bottom"/>
          </w:tcPr>
          <w:p>
            <w:pPr>
              <w:ind w:left="160"/>
              <w:spacing w:after="0"/>
              <w:rPr>
                <w:sz w:val="20"/>
                <w:szCs w:val="20"/>
                <w:color w:val="auto"/>
              </w:rPr>
            </w:pPr>
            <w:r>
              <w:rPr>
                <w:rFonts w:ascii="Arial" w:cs="Arial" w:eastAsia="Arial" w:hAnsi="Arial"/>
                <w:sz w:val="14"/>
                <w:szCs w:val="14"/>
                <w:b w:val="1"/>
                <w:bCs w:val="1"/>
                <w:color w:val="auto"/>
              </w:rPr>
              <w:t>Lenders – MidCap Financial Trust and Others LC</w:t>
            </w:r>
          </w:p>
        </w:tc>
        <w:tc>
          <w:tcPr>
            <w:tcW w:w="2400" w:type="dxa"/>
            <w:vAlign w:val="bottom"/>
          </w:tcPr>
          <w:p>
            <w:pPr>
              <w:ind w:left="260"/>
              <w:spacing w:after="0"/>
              <w:rPr>
                <w:sz w:val="20"/>
                <w:szCs w:val="20"/>
                <w:color w:val="auto"/>
              </w:rPr>
            </w:pPr>
            <w:r>
              <w:rPr>
                <w:rFonts w:ascii="Arial" w:cs="Arial" w:eastAsia="Arial" w:hAnsi="Arial"/>
                <w:sz w:val="14"/>
                <w:szCs w:val="14"/>
                <w:b w:val="1"/>
                <w:bCs w:val="1"/>
                <w:color w:val="auto"/>
              </w:rPr>
              <w:t>MCF’s Counsel – Hogan</w:t>
            </w:r>
          </w:p>
        </w:tc>
        <w:tc>
          <w:tcPr>
            <w:tcW w:w="2460" w:type="dxa"/>
            <w:vAlign w:val="bottom"/>
          </w:tcPr>
          <w:p>
            <w:pPr>
              <w:spacing w:after="0"/>
              <w:rPr>
                <w:sz w:val="15"/>
                <w:szCs w:val="15"/>
                <w:color w:val="auto"/>
              </w:rPr>
            </w:pPr>
          </w:p>
        </w:tc>
      </w:tr>
    </w:tbl>
    <w:p>
      <w:pPr>
        <w:ind w:left="120"/>
        <w:spacing w:after="0"/>
        <w:rPr>
          <w:sz w:val="20"/>
          <w:szCs w:val="20"/>
          <w:color w:val="auto"/>
        </w:rPr>
      </w:pPr>
      <w:r>
        <w:rPr>
          <w:rFonts w:ascii="Arial" w:cs="Arial" w:eastAsia="Arial" w:hAnsi="Arial"/>
          <w:sz w:val="14"/>
          <w:szCs w:val="14"/>
          <w:b w:val="1"/>
          <w:bCs w:val="1"/>
          <w:color w:val="auto"/>
        </w:rPr>
        <w:t>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104140</wp:posOffset>
            </wp:positionV>
            <wp:extent cx="1866900" cy="3437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66900" cy="3437255"/>
                    </a:xfrm>
                    <a:prstGeom prst="rect">
                      <a:avLst/>
                    </a:prstGeom>
                    <a:noFill/>
                  </pic:spPr>
                </pic:pic>
              </a:graphicData>
            </a:graphic>
          </wp:anchor>
        </w:drawing>
      </w:r>
    </w:p>
    <w:p>
      <w:pPr>
        <w:spacing w:after="0" w:line="290"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u w:val="single" w:color="auto"/>
          <w:color w:val="auto"/>
        </w:rPr>
        <w:t>Closing Item</w:t>
      </w:r>
    </w:p>
    <w:p>
      <w:pPr>
        <w:spacing w:after="0" w:line="276"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4"/>
          <w:szCs w:val="14"/>
          <w:b w:val="1"/>
          <w:bCs w:val="1"/>
          <w:u w:val="single" w:color="auto"/>
          <w:color w:val="auto"/>
        </w:rPr>
        <w:t>TERM SHEET/COMMITMENT</w:t>
      </w:r>
    </w:p>
    <w:p>
      <w:pPr>
        <w:ind w:left="3540"/>
        <w:spacing w:after="0"/>
        <w:rPr>
          <w:sz w:val="20"/>
          <w:szCs w:val="20"/>
          <w:color w:val="auto"/>
        </w:rPr>
      </w:pPr>
      <w:r>
        <w:rPr>
          <w:rFonts w:ascii="Arial" w:cs="Arial" w:eastAsia="Arial" w:hAnsi="Arial"/>
          <w:sz w:val="14"/>
          <w:szCs w:val="14"/>
          <w:b w:val="1"/>
          <w:bCs w:val="1"/>
          <w:u w:val="single" w:color="auto"/>
          <w:color w:val="auto"/>
        </w:rPr>
        <w:t>LETTER/CREDIT</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A.Term Sheet</w:t>
      </w:r>
    </w:p>
    <w:p>
      <w:pPr>
        <w:spacing w:after="0" w:line="5"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B.Credit Committee Memorandum</w:t>
      </w:r>
    </w:p>
    <w:p>
      <w:pPr>
        <w:ind w:left="3760"/>
        <w:spacing w:after="0"/>
        <w:rPr>
          <w:sz w:val="20"/>
          <w:szCs w:val="20"/>
          <w:color w:val="auto"/>
        </w:rPr>
      </w:pPr>
      <w:r>
        <w:rPr>
          <w:rFonts w:ascii="Arial" w:cs="Arial" w:eastAsia="Arial" w:hAnsi="Arial"/>
          <w:sz w:val="14"/>
          <w:szCs w:val="14"/>
          <w:color w:val="auto"/>
        </w:rPr>
        <w:t>C.Pre-Closing Memo</w:t>
      </w:r>
    </w:p>
    <w:p>
      <w:pPr>
        <w:spacing w:after="0" w:line="119" w:lineRule="exact"/>
        <w:rPr>
          <w:sz w:val="20"/>
          <w:szCs w:val="20"/>
          <w:color w:val="auto"/>
        </w:rPr>
      </w:pPr>
    </w:p>
    <w:p>
      <w:pPr>
        <w:ind w:left="3700" w:hanging="170"/>
        <w:spacing w:after="0"/>
        <w:tabs>
          <w:tab w:leader="none" w:pos="370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 LOAN DOCUMENTS</w:t>
      </w:r>
    </w:p>
    <w:p>
      <w:pPr>
        <w:spacing w:after="0" w:line="110"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A.Perfection Certificate</w:t>
      </w:r>
    </w:p>
    <w:p>
      <w:pPr>
        <w:ind w:left="3760"/>
        <w:spacing w:after="0" w:line="233" w:lineRule="auto"/>
        <w:rPr>
          <w:sz w:val="20"/>
          <w:szCs w:val="20"/>
          <w:color w:val="auto"/>
        </w:rPr>
      </w:pPr>
      <w:r>
        <w:rPr>
          <w:rFonts w:ascii="Arial" w:cs="Arial" w:eastAsia="Arial" w:hAnsi="Arial"/>
          <w:sz w:val="14"/>
          <w:szCs w:val="14"/>
          <w:color w:val="auto"/>
        </w:rPr>
        <w:t>B.A&amp;R Credit and Security Agreement</w:t>
      </w:r>
    </w:p>
    <w:p>
      <w:pPr>
        <w:ind w:left="3980"/>
        <w:spacing w:after="0"/>
        <w:rPr>
          <w:sz w:val="20"/>
          <w:szCs w:val="20"/>
          <w:color w:val="auto"/>
        </w:rPr>
      </w:pPr>
      <w:r>
        <w:rPr>
          <w:rFonts w:ascii="Arial" w:cs="Arial" w:eastAsia="Arial" w:hAnsi="Arial"/>
          <w:sz w:val="14"/>
          <w:szCs w:val="14"/>
          <w:color w:val="auto"/>
        </w:rPr>
        <w:t>(i)Schedules</w:t>
      </w:r>
    </w:p>
    <w:p>
      <w:pPr>
        <w:ind w:left="3980"/>
        <w:spacing w:after="0" w:line="229" w:lineRule="auto"/>
        <w:rPr>
          <w:sz w:val="20"/>
          <w:szCs w:val="20"/>
          <w:color w:val="auto"/>
        </w:rPr>
      </w:pPr>
      <w:r>
        <w:rPr>
          <w:rFonts w:ascii="Arial" w:cs="Arial" w:eastAsia="Arial" w:hAnsi="Arial"/>
          <w:sz w:val="14"/>
          <w:szCs w:val="14"/>
          <w:color w:val="auto"/>
        </w:rPr>
        <w:t>(ii)Exhibits</w:t>
      </w:r>
    </w:p>
    <w:p>
      <w:pPr>
        <w:ind w:left="3760"/>
        <w:spacing w:after="0" w:line="228" w:lineRule="auto"/>
        <w:rPr>
          <w:sz w:val="20"/>
          <w:szCs w:val="20"/>
          <w:color w:val="auto"/>
        </w:rPr>
      </w:pPr>
      <w:r>
        <w:rPr>
          <w:rFonts w:ascii="Arial" w:cs="Arial" w:eastAsia="Arial" w:hAnsi="Arial"/>
          <w:sz w:val="14"/>
          <w:szCs w:val="14"/>
          <w:color w:val="auto"/>
        </w:rPr>
        <w:t>C.UCC-1 Financing Statements</w:t>
      </w:r>
    </w:p>
    <w:p>
      <w:pPr>
        <w:ind w:left="3760"/>
        <w:spacing w:after="0"/>
        <w:rPr>
          <w:sz w:val="20"/>
          <w:szCs w:val="20"/>
          <w:color w:val="auto"/>
        </w:rPr>
      </w:pPr>
      <w:r>
        <w:rPr>
          <w:rFonts w:ascii="Arial" w:cs="Arial" w:eastAsia="Arial" w:hAnsi="Arial"/>
          <w:sz w:val="14"/>
          <w:szCs w:val="14"/>
          <w:color w:val="auto"/>
        </w:rPr>
        <w:t>D.Reaffirmation Agreement</w:t>
      </w:r>
    </w:p>
    <w:p>
      <w:pPr>
        <w:ind w:left="3760"/>
        <w:spacing w:after="0" w:line="229" w:lineRule="auto"/>
        <w:rPr>
          <w:sz w:val="20"/>
          <w:szCs w:val="20"/>
          <w:color w:val="auto"/>
        </w:rPr>
      </w:pPr>
      <w:r>
        <w:rPr>
          <w:rFonts w:ascii="Arial" w:cs="Arial" w:eastAsia="Arial" w:hAnsi="Arial"/>
          <w:sz w:val="14"/>
          <w:szCs w:val="14"/>
          <w:color w:val="auto"/>
        </w:rPr>
        <w:t>E.Third A&amp;R Fee Letter</w:t>
      </w:r>
    </w:p>
    <w:p>
      <w:pPr>
        <w:ind w:left="3760"/>
        <w:spacing w:after="0"/>
        <w:rPr>
          <w:sz w:val="20"/>
          <w:szCs w:val="20"/>
          <w:color w:val="auto"/>
        </w:rPr>
      </w:pPr>
      <w:r>
        <w:rPr>
          <w:rFonts w:ascii="Arial" w:cs="Arial" w:eastAsia="Arial" w:hAnsi="Arial"/>
          <w:sz w:val="13"/>
          <w:szCs w:val="13"/>
          <w:color w:val="auto"/>
        </w:rPr>
        <w:t>F.Updated IP Security Agreement Schedules</w:t>
      </w:r>
    </w:p>
    <w:p>
      <w:pPr>
        <w:spacing w:after="0" w:line="13"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G.Solvency Certificate</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H.Wells Fargo Securities Account Control</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Agreement Reaffirmation</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4"/>
          <w:szCs w:val="14"/>
          <w:color w:val="auto"/>
        </w:rPr>
        <w:t>I.Legal Opinion</w:t>
      </w:r>
    </w:p>
    <w:p>
      <w:pPr>
        <w:spacing w:after="0" w:line="300" w:lineRule="exact"/>
        <w:rPr>
          <w:sz w:val="20"/>
          <w:szCs w:val="20"/>
          <w:color w:val="auto"/>
        </w:rPr>
      </w:pPr>
    </w:p>
    <w:p>
      <w:pPr>
        <w:ind w:left="3760" w:hanging="230"/>
        <w:spacing w:after="0"/>
        <w:tabs>
          <w:tab w:leader="none" w:pos="376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ORGANIZATIONAL DOCUMENTS</w:t>
      </w:r>
    </w:p>
    <w:p>
      <w:pPr>
        <w:spacing w:after="0" w:line="119" w:lineRule="exact"/>
        <w:rPr>
          <w:rFonts w:ascii="Arial" w:cs="Arial" w:eastAsia="Arial" w:hAnsi="Arial"/>
          <w:sz w:val="14"/>
          <w:szCs w:val="14"/>
          <w:b w:val="1"/>
          <w:bCs w:val="1"/>
          <w:color w:val="auto"/>
        </w:rPr>
      </w:pPr>
    </w:p>
    <w:p>
      <w:pPr>
        <w:ind w:left="3980" w:right="4259" w:hanging="229"/>
        <w:spacing w:after="0" w:line="269" w:lineRule="auto"/>
        <w:rPr>
          <w:rFonts w:ascii="Arial" w:cs="Arial" w:eastAsia="Arial" w:hAnsi="Arial"/>
          <w:sz w:val="14"/>
          <w:szCs w:val="14"/>
          <w:b w:val="1"/>
          <w:bCs w:val="1"/>
          <w:color w:val="auto"/>
        </w:rPr>
      </w:pPr>
      <w:r>
        <w:rPr>
          <w:rFonts w:ascii="Arial" w:cs="Arial" w:eastAsia="Arial" w:hAnsi="Arial"/>
          <w:sz w:val="13"/>
          <w:szCs w:val="13"/>
          <w:color w:val="auto"/>
        </w:rPr>
        <w:t>A.General Certificate of Secretary of each Credit Party, with Exhibits: •Formation Document/Articles •Governing Agreement/Bylaws •Incumbency Certificate •Authorizing Resolutions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MidCap / Aptevo Therapeutics / Closing Checklist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\\DC - 036639/000031 - 12505755 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246380</wp:posOffset>
            </wp:positionV>
            <wp:extent cx="732409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166" w:right="1440" w:bottom="1440" w:gutter="0" w:footer="0" w:header="0"/>
        </w:sectPr>
      </w:pPr>
    </w:p>
    <w:bookmarkStart w:id="165" w:name="page166"/>
    <w:bookmarkEnd w:id="165"/>
    <w:p>
      <w:pPr>
        <w:ind w:left="3960"/>
        <w:spacing w:after="0"/>
        <w:rPr>
          <w:sz w:val="20"/>
          <w:szCs w:val="20"/>
          <w:color w:val="auto"/>
        </w:rPr>
      </w:pPr>
      <w:r>
        <w:rPr>
          <w:rFonts w:ascii="Arial" w:cs="Arial" w:eastAsia="Arial" w:hAnsi="Arial"/>
          <w:sz w:val="14"/>
          <w:szCs w:val="14"/>
          <w:color w:val="auto"/>
        </w:rPr>
        <w:t>•Good Standing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2179320</wp:posOffset>
            </wp:positionH>
            <wp:positionV relativeFrom="paragraph">
              <wp:posOffset>-93980</wp:posOffset>
            </wp:positionV>
            <wp:extent cx="1866900" cy="2418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66900" cy="241871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3"/>
          <w:szCs w:val="13"/>
          <w:color w:val="auto"/>
        </w:rPr>
        <w:t>•Foreign Qualification to Do Business</w:t>
      </w:r>
    </w:p>
    <w:p>
      <w:pPr>
        <w:spacing w:after="0" w:line="197" w:lineRule="exact"/>
        <w:rPr>
          <w:sz w:val="20"/>
          <w:szCs w:val="20"/>
          <w:color w:val="auto"/>
        </w:rPr>
      </w:pPr>
    </w:p>
    <w:p>
      <w:pPr>
        <w:jc w:val="right"/>
        <w:ind w:right="3979"/>
        <w:spacing w:after="0"/>
        <w:rPr>
          <w:sz w:val="20"/>
          <w:szCs w:val="20"/>
          <w:color w:val="auto"/>
        </w:rPr>
      </w:pPr>
      <w:r>
        <w:rPr>
          <w:rFonts w:ascii="Arial" w:cs="Arial" w:eastAsia="Arial" w:hAnsi="Arial"/>
          <w:sz w:val="14"/>
          <w:szCs w:val="14"/>
          <w:b w:val="1"/>
          <w:bCs w:val="1"/>
          <w:color w:val="auto"/>
        </w:rPr>
        <w:t xml:space="preserve">IV. </w:t>
      </w:r>
      <w:r>
        <w:rPr>
          <w:rFonts w:ascii="Arial" w:cs="Arial" w:eastAsia="Arial" w:hAnsi="Arial"/>
          <w:sz w:val="14"/>
          <w:szCs w:val="14"/>
          <w:b w:val="1"/>
          <w:bCs w:val="1"/>
          <w:u w:val="single" w:color="auto"/>
          <w:color w:val="auto"/>
        </w:rPr>
        <w:t>FINANCIAL, LIEN AND OTHER MISC.</w:t>
      </w:r>
    </w:p>
    <w:p>
      <w:pPr>
        <w:spacing w:after="0" w:line="17" w:lineRule="exact"/>
        <w:rPr>
          <w:sz w:val="20"/>
          <w:szCs w:val="20"/>
          <w:color w:val="auto"/>
        </w:rPr>
      </w:pPr>
    </w:p>
    <w:p>
      <w:pPr>
        <w:ind w:left="3800"/>
        <w:spacing w:after="0"/>
        <w:rPr>
          <w:sz w:val="20"/>
          <w:szCs w:val="20"/>
          <w:color w:val="auto"/>
        </w:rPr>
      </w:pPr>
      <w:r>
        <w:rPr>
          <w:rFonts w:ascii="Arial" w:cs="Arial" w:eastAsia="Arial" w:hAnsi="Arial"/>
          <w:sz w:val="14"/>
          <w:szCs w:val="14"/>
          <w:b w:val="1"/>
          <w:bCs w:val="1"/>
          <w:u w:val="single" w:color="auto"/>
          <w:color w:val="auto"/>
        </w:rPr>
        <w:t>DILIGENCE</w:t>
      </w:r>
    </w:p>
    <w:p>
      <w:pPr>
        <w:spacing w:after="0" w:line="94"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A.UCC, Lien and Litigation Searches</w:t>
      </w:r>
    </w:p>
    <w:p>
      <w:pPr>
        <w:ind w:left="3740"/>
        <w:spacing w:after="0" w:line="233" w:lineRule="auto"/>
        <w:rPr>
          <w:sz w:val="20"/>
          <w:szCs w:val="20"/>
          <w:color w:val="auto"/>
        </w:rPr>
      </w:pPr>
      <w:r>
        <w:rPr>
          <w:rFonts w:ascii="Arial" w:cs="Arial" w:eastAsia="Arial" w:hAnsi="Arial"/>
          <w:sz w:val="14"/>
          <w:szCs w:val="14"/>
          <w:color w:val="auto"/>
        </w:rPr>
        <w:t>B.Intellectual Property searches</w:t>
      </w:r>
    </w:p>
    <w:p>
      <w:pPr>
        <w:ind w:left="3740"/>
        <w:spacing w:after="0"/>
        <w:rPr>
          <w:sz w:val="20"/>
          <w:szCs w:val="20"/>
          <w:color w:val="auto"/>
        </w:rPr>
      </w:pPr>
      <w:r>
        <w:rPr>
          <w:rFonts w:ascii="Arial" w:cs="Arial" w:eastAsia="Arial" w:hAnsi="Arial"/>
          <w:sz w:val="13"/>
          <w:szCs w:val="13"/>
          <w:color w:val="auto"/>
        </w:rPr>
        <w:t>C.Certified Financial Statements and other</w:t>
      </w:r>
    </w:p>
    <w:p>
      <w:pPr>
        <w:spacing w:after="0" w:line="13"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financial diligence</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D.Background Checks on Principals</w:t>
      </w:r>
    </w:p>
    <w:p>
      <w:pPr>
        <w:spacing w:after="0" w:line="129"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 xml:space="preserve">V. </w:t>
      </w:r>
      <w:r>
        <w:rPr>
          <w:rFonts w:ascii="Arial" w:cs="Arial" w:eastAsia="Arial" w:hAnsi="Arial"/>
          <w:sz w:val="14"/>
          <w:szCs w:val="14"/>
          <w:b w:val="1"/>
          <w:bCs w:val="1"/>
          <w:u w:val="single" w:color="auto"/>
          <w:color w:val="auto"/>
        </w:rPr>
        <w:t>LOAN AND LEASE DILIGENCE AND</w:t>
      </w:r>
    </w:p>
    <w:p>
      <w:pPr>
        <w:spacing w:after="0" w:line="8" w:lineRule="exact"/>
        <w:rPr>
          <w:sz w:val="20"/>
          <w:szCs w:val="20"/>
          <w:color w:val="auto"/>
        </w:rPr>
      </w:pPr>
    </w:p>
    <w:p>
      <w:pPr>
        <w:ind w:left="3740"/>
        <w:spacing w:after="0"/>
        <w:rPr>
          <w:sz w:val="20"/>
          <w:szCs w:val="20"/>
          <w:color w:val="auto"/>
        </w:rPr>
      </w:pPr>
      <w:r>
        <w:rPr>
          <w:rFonts w:ascii="Arial" w:cs="Arial" w:eastAsia="Arial" w:hAnsi="Arial"/>
          <w:sz w:val="14"/>
          <w:szCs w:val="14"/>
          <w:b w:val="1"/>
          <w:bCs w:val="1"/>
          <w:u w:val="single" w:color="auto"/>
          <w:color w:val="auto"/>
        </w:rPr>
        <w:t>OTHER MATERIAL CONTRACTS</w:t>
      </w:r>
    </w:p>
    <w:p>
      <w:pPr>
        <w:spacing w:after="0" w:line="104" w:lineRule="exact"/>
        <w:rPr>
          <w:sz w:val="20"/>
          <w:szCs w:val="20"/>
          <w:color w:val="auto"/>
        </w:rPr>
      </w:pPr>
    </w:p>
    <w:p>
      <w:pPr>
        <w:ind w:left="3740"/>
        <w:spacing w:after="0"/>
        <w:rPr>
          <w:sz w:val="20"/>
          <w:szCs w:val="20"/>
          <w:color w:val="auto"/>
        </w:rPr>
      </w:pPr>
      <w:r>
        <w:rPr>
          <w:rFonts w:ascii="Arial" w:cs="Arial" w:eastAsia="Arial" w:hAnsi="Arial"/>
          <w:sz w:val="10"/>
          <w:szCs w:val="10"/>
          <w:color w:val="auto"/>
        </w:rPr>
        <w:t>A.Material Contracts, material licenses and any</w:t>
      </w:r>
    </w:p>
    <w:p>
      <w:pPr>
        <w:spacing w:after="0" w:line="59" w:lineRule="exact"/>
        <w:rPr>
          <w:sz w:val="20"/>
          <w:szCs w:val="20"/>
          <w:color w:val="auto"/>
        </w:rPr>
      </w:pPr>
    </w:p>
    <w:p>
      <w:pPr>
        <w:ind w:left="3960"/>
        <w:spacing w:after="0"/>
        <w:rPr>
          <w:sz w:val="20"/>
          <w:szCs w:val="20"/>
          <w:color w:val="auto"/>
        </w:rPr>
      </w:pPr>
      <w:r>
        <w:rPr>
          <w:rFonts w:ascii="Arial" w:cs="Arial" w:eastAsia="Arial" w:hAnsi="Arial"/>
          <w:sz w:val="14"/>
          <w:szCs w:val="14"/>
          <w:color w:val="auto"/>
        </w:rPr>
        <w:t>related legal diligence</w:t>
      </w:r>
    </w:p>
    <w:p>
      <w:pPr>
        <w:ind w:left="3740"/>
        <w:spacing w:after="0" w:line="229" w:lineRule="auto"/>
        <w:rPr>
          <w:sz w:val="20"/>
          <w:szCs w:val="20"/>
          <w:color w:val="auto"/>
        </w:rPr>
      </w:pPr>
      <w:r>
        <w:rPr>
          <w:rFonts w:ascii="Arial" w:cs="Arial" w:eastAsia="Arial" w:hAnsi="Arial"/>
          <w:sz w:val="14"/>
          <w:szCs w:val="14"/>
          <w:color w:val="auto"/>
        </w:rPr>
        <w:t>B.Updated Insurance Certificates</w:t>
      </w:r>
    </w:p>
    <w:p>
      <w:pPr>
        <w:ind w:left="3740"/>
        <w:spacing w:after="0"/>
        <w:rPr>
          <w:sz w:val="20"/>
          <w:szCs w:val="20"/>
          <w:color w:val="auto"/>
        </w:rPr>
      </w:pPr>
      <w:r>
        <w:rPr>
          <w:rFonts w:ascii="Arial" w:cs="Arial" w:eastAsia="Arial" w:hAnsi="Arial"/>
          <w:sz w:val="13"/>
          <w:szCs w:val="13"/>
          <w:color w:val="auto"/>
        </w:rPr>
        <w:t>C.KYC diligence and any other diligence</w:t>
      </w:r>
    </w:p>
    <w:p>
      <w:pPr>
        <w:spacing w:after="0" w:line="121"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 xml:space="preserve">VI. </w:t>
      </w:r>
      <w:r>
        <w:rPr>
          <w:rFonts w:ascii="Arial" w:cs="Arial" w:eastAsia="Arial" w:hAnsi="Arial"/>
          <w:sz w:val="14"/>
          <w:szCs w:val="14"/>
          <w:b w:val="1"/>
          <w:bCs w:val="1"/>
          <w:u w:val="single" w:color="auto"/>
          <w:color w:val="auto"/>
        </w:rPr>
        <w:t>POST CLOSING</w:t>
      </w:r>
    </w:p>
    <w:p>
      <w:pPr>
        <w:spacing w:after="0" w:line="120"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A.Post-Closing UCC Searches</w:t>
      </w:r>
    </w:p>
    <w:p>
      <w:pPr>
        <w:spacing w:after="0" w:line="1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B.Closing Binder</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8"/>
          <w:szCs w:val="8"/>
          <w:color w:val="auto"/>
        </w:rPr>
        <w:t>\\DC - 036639/000031 - 12505755 v8</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28" w:right="1440" w:bottom="1440" w:gutter="0" w:footer="0" w:header="0"/>
        </w:sectPr>
      </w:pPr>
    </w:p>
    <w:bookmarkStart w:id="166" w:name="page167"/>
    <w:bookmarkEnd w:id="166"/>
    <w:p>
      <w:pPr>
        <w:ind w:left="400"/>
        <w:spacing w:after="0"/>
        <w:rPr>
          <w:sz w:val="20"/>
          <w:szCs w:val="20"/>
          <w:color w:val="auto"/>
        </w:rPr>
      </w:pPr>
      <w:r>
        <w:rPr>
          <w:rFonts w:ascii="Arial" w:cs="Arial" w:eastAsia="Arial" w:hAnsi="Arial"/>
          <w:sz w:val="12"/>
          <w:szCs w:val="12"/>
          <w:b w:val="1"/>
          <w:bCs w:val="1"/>
          <w:color w:val="auto"/>
        </w:rPr>
        <w:t>Exhibit G to Credit Agreement (Form of Intellectual Property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-789305</wp:posOffset>
            </wp:positionH>
            <wp:positionV relativeFrom="paragraph">
              <wp:posOffset>292100</wp:posOffset>
            </wp:positionV>
            <wp:extent cx="732409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9019"/>
          </w:cols>
          <w:pgMar w:left="1440" w:top="161" w:right="1440" w:bottom="1440" w:gutter="0" w:footer="0" w:header="0"/>
        </w:sectPr>
      </w:pPr>
    </w:p>
    <w:bookmarkStart w:id="167" w:name="page168"/>
    <w:bookmarkEnd w:id="167"/>
    <w:p>
      <w:pPr>
        <w:ind w:left="2800"/>
        <w:spacing w:after="0"/>
        <w:rPr>
          <w:sz w:val="20"/>
          <w:szCs w:val="20"/>
          <w:color w:val="auto"/>
        </w:rPr>
      </w:pPr>
      <w:r>
        <w:rPr>
          <w:rFonts w:ascii="Arial" w:cs="Arial" w:eastAsia="Arial" w:hAnsi="Arial"/>
          <w:sz w:val="14"/>
          <w:szCs w:val="14"/>
          <w:b w:val="1"/>
          <w:bCs w:val="1"/>
          <w:color w:val="auto"/>
        </w:rPr>
        <w:t>INTELLECTUAL PROPERTY SECURITY AGREEMENT</w:t>
      </w:r>
    </w:p>
    <w:p>
      <w:pPr>
        <w:spacing w:after="0" w:line="149"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This  Intellectual  Property  Security  Agreement  is  entered  into  as of the</w:t>
      </w:r>
    </w:p>
    <w:p>
      <w:pPr>
        <w:spacing w:after="0" w:line="13" w:lineRule="exact"/>
        <w:rPr>
          <w:sz w:val="20"/>
          <w:szCs w:val="20"/>
          <w:color w:val="auto"/>
        </w:rPr>
      </w:pPr>
    </w:p>
    <w:p>
      <w:pPr>
        <w:ind w:left="7460"/>
        <w:spacing w:after="0"/>
        <w:rPr>
          <w:sz w:val="20"/>
          <w:szCs w:val="20"/>
          <w:color w:val="auto"/>
        </w:rPr>
      </w:pPr>
      <w:r>
        <w:rPr>
          <w:rFonts w:ascii="Arial" w:cs="Arial" w:eastAsia="Arial" w:hAnsi="Arial"/>
          <w:sz w:val="14"/>
          <w:szCs w:val="14"/>
          <w:color w:val="auto"/>
        </w:rPr>
        <w:t>day of</w:t>
      </w:r>
    </w:p>
    <w:p>
      <w:pPr>
        <w:spacing w:after="0" w:line="1" w:lineRule="exact"/>
        <w:rPr>
          <w:sz w:val="20"/>
          <w:szCs w:val="20"/>
          <w:color w:val="auto"/>
        </w:rPr>
      </w:pPr>
    </w:p>
    <w:p>
      <w:pPr>
        <w:jc w:val="both"/>
        <w:ind w:left="740" w:firstLine="1619"/>
        <w:spacing w:after="0" w:line="244" w:lineRule="auto"/>
        <w:tabs>
          <w:tab w:leader="none" w:pos="2445"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by and among </w:t>
      </w:r>
      <w:r>
        <w:rPr>
          <w:rFonts w:ascii="Arial" w:cs="Arial" w:eastAsia="Arial" w:hAnsi="Arial"/>
          <w:sz w:val="14"/>
          <w:szCs w:val="14"/>
          <w:b w:val="1"/>
          <w:bCs w:val="1"/>
          <w:color w:val="auto"/>
        </w:rPr>
        <w:t>MIDCAP FINANCIAL TRUST</w:t>
      </w:r>
      <w:r>
        <w:rPr>
          <w:rFonts w:ascii="Arial" w:cs="Arial" w:eastAsia="Arial" w:hAnsi="Arial"/>
          <w:sz w:val="14"/>
          <w:szCs w:val="14"/>
          <w:color w:val="auto"/>
        </w:rPr>
        <w:t>, a Delaware statutory trust (“</w:t>
      </w:r>
      <w:r>
        <w:rPr>
          <w:rFonts w:ascii="Arial" w:cs="Arial" w:eastAsia="Arial" w:hAnsi="Arial"/>
          <w:sz w:val="14"/>
          <w:szCs w:val="14"/>
          <w:u w:val="single" w:color="auto"/>
          <w:color w:val="auto"/>
        </w:rPr>
        <w:t>Agent</w:t>
      </w:r>
      <w:r>
        <w:rPr>
          <w:rFonts w:ascii="Arial" w:cs="Arial" w:eastAsia="Arial" w:hAnsi="Arial"/>
          <w:sz w:val="14"/>
          <w:szCs w:val="14"/>
          <w:color w:val="auto"/>
        </w:rPr>
        <w:t xml:space="preserve">”) and </w:t>
      </w:r>
      <w:r>
        <w:rPr>
          <w:rFonts w:ascii="Arial" w:cs="Arial" w:eastAsia="Arial" w:hAnsi="Arial"/>
          <w:sz w:val="14"/>
          <w:szCs w:val="14"/>
          <w:b w:val="1"/>
          <w:bCs w:val="1"/>
          <w:color w:val="auto"/>
        </w:rPr>
        <w:t>APTEVO THERAPEUTICS INC.</w:t>
      </w:r>
      <w:r>
        <w:rPr>
          <w:rFonts w:ascii="Arial" w:cs="Arial" w:eastAsia="Arial" w:hAnsi="Arial"/>
          <w:sz w:val="14"/>
          <w:szCs w:val="14"/>
          <w:color w:val="auto"/>
        </w:rPr>
        <w:t>, a Delaware corporation (“</w:t>
      </w:r>
      <w:r>
        <w:rPr>
          <w:rFonts w:ascii="Arial" w:cs="Arial" w:eastAsia="Arial" w:hAnsi="Arial"/>
          <w:sz w:val="14"/>
          <w:szCs w:val="14"/>
          <w:u w:val="single" w:color="auto"/>
          <w:color w:val="auto"/>
        </w:rPr>
        <w:t>Aptevo Therapeutics</w:t>
      </w:r>
      <w:r>
        <w:rPr>
          <w:rFonts w:ascii="Arial" w:cs="Arial" w:eastAsia="Arial" w:hAnsi="Arial"/>
          <w:sz w:val="14"/>
          <w:szCs w:val="14"/>
          <w:color w:val="auto"/>
        </w:rPr>
        <w:t xml:space="preserve">”), </w:t>
      </w:r>
      <w:r>
        <w:rPr>
          <w:rFonts w:ascii="Arial" w:cs="Arial" w:eastAsia="Arial" w:hAnsi="Arial"/>
          <w:sz w:val="14"/>
          <w:szCs w:val="14"/>
          <w:b w:val="1"/>
          <w:bCs w:val="1"/>
          <w:color w:val="auto"/>
        </w:rPr>
        <w:t>APTEVO BIOTHERAPEUTICS LLC</w:t>
      </w:r>
      <w:r>
        <w:rPr>
          <w:rFonts w:ascii="Arial" w:cs="Arial" w:eastAsia="Arial" w:hAnsi="Arial"/>
          <w:sz w:val="14"/>
          <w:szCs w:val="14"/>
          <w:color w:val="auto"/>
        </w:rPr>
        <w:t>, a Delaware limited liability company (“</w:t>
      </w:r>
      <w:r>
        <w:rPr>
          <w:rFonts w:ascii="Arial" w:cs="Arial" w:eastAsia="Arial" w:hAnsi="Arial"/>
          <w:sz w:val="14"/>
          <w:szCs w:val="14"/>
          <w:u w:val="single" w:color="auto"/>
          <w:color w:val="auto"/>
        </w:rPr>
        <w:t>Aptevo BioTherapeutics</w:t>
      </w:r>
      <w:r>
        <w:rPr>
          <w:rFonts w:ascii="Arial" w:cs="Arial" w:eastAsia="Arial" w:hAnsi="Arial"/>
          <w:sz w:val="14"/>
          <w:szCs w:val="14"/>
          <w:color w:val="auto"/>
        </w:rPr>
        <w:t xml:space="preserve">”), and </w:t>
      </w:r>
      <w:r>
        <w:rPr>
          <w:rFonts w:ascii="Arial" w:cs="Arial" w:eastAsia="Arial" w:hAnsi="Arial"/>
          <w:sz w:val="14"/>
          <w:szCs w:val="14"/>
          <w:b w:val="1"/>
          <w:bCs w:val="1"/>
          <w:color w:val="auto"/>
        </w:rPr>
        <w:t>APTEVO RESEARCH AND</w:t>
      </w:r>
      <w:r>
        <w:rPr>
          <w:rFonts w:ascii="Arial" w:cs="Arial" w:eastAsia="Arial" w:hAnsi="Arial"/>
          <w:sz w:val="14"/>
          <w:szCs w:val="14"/>
          <w:color w:val="auto"/>
        </w:rPr>
        <w:t xml:space="preserve"> </w:t>
      </w:r>
      <w:r>
        <w:rPr>
          <w:rFonts w:ascii="Arial" w:cs="Arial" w:eastAsia="Arial" w:hAnsi="Arial"/>
          <w:sz w:val="14"/>
          <w:szCs w:val="14"/>
          <w:b w:val="1"/>
          <w:bCs w:val="1"/>
          <w:color w:val="auto"/>
        </w:rPr>
        <w:t>DEVELOPMENT LLC</w:t>
      </w:r>
      <w:r>
        <w:rPr>
          <w:rFonts w:ascii="Arial" w:cs="Arial" w:eastAsia="Arial" w:hAnsi="Arial"/>
          <w:sz w:val="14"/>
          <w:szCs w:val="14"/>
          <w:color w:val="auto"/>
        </w:rPr>
        <w:t>, a Delaware limited liability company (“</w:t>
      </w:r>
      <w:r>
        <w:rPr>
          <w:rFonts w:ascii="Arial" w:cs="Arial" w:eastAsia="Arial" w:hAnsi="Arial"/>
          <w:sz w:val="14"/>
          <w:szCs w:val="14"/>
          <w:u w:val="single" w:color="auto"/>
          <w:color w:val="auto"/>
        </w:rPr>
        <w:t>Aptevo R&amp;D</w:t>
      </w:r>
      <w:r>
        <w:rPr>
          <w:rFonts w:ascii="Arial" w:cs="Arial" w:eastAsia="Arial" w:hAnsi="Arial"/>
          <w:sz w:val="14"/>
          <w:szCs w:val="14"/>
          <w:color w:val="auto"/>
        </w:rPr>
        <w:t>, and Aptevo R&amp;D together with Aptevo Therapeutics, Aptevo BioTherapeutics and any other Person that</w:t>
      </w:r>
      <w:r>
        <w:rPr>
          <w:rFonts w:ascii="Arial" w:cs="Arial" w:eastAsia="Arial" w:hAnsi="Arial"/>
          <w:sz w:val="14"/>
          <w:szCs w:val="14"/>
          <w:b w:val="1"/>
          <w:bCs w:val="1"/>
          <w:color w:val="auto"/>
        </w:rPr>
        <w:t xml:space="preserve"> </w:t>
      </w:r>
      <w:r>
        <w:rPr>
          <w:rFonts w:ascii="Arial" w:cs="Arial" w:eastAsia="Arial" w:hAnsi="Arial"/>
          <w:sz w:val="14"/>
          <w:szCs w:val="14"/>
          <w:color w:val="auto"/>
        </w:rPr>
        <w:t>joins this agreement as a Grantor, each a “</w:t>
      </w:r>
      <w:r>
        <w:rPr>
          <w:rFonts w:ascii="Arial" w:cs="Arial" w:eastAsia="Arial" w:hAnsi="Arial"/>
          <w:sz w:val="14"/>
          <w:szCs w:val="14"/>
          <w:u w:val="single" w:color="auto"/>
          <w:color w:val="auto"/>
        </w:rPr>
        <w:t>Grantor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Grantors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-329565</wp:posOffset>
            </wp:positionV>
            <wp:extent cx="3429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6350"/>
                    </a:xfrm>
                    <a:prstGeom prst="rect">
                      <a:avLst/>
                    </a:prstGeom>
                    <a:noFill/>
                  </pic:spPr>
                </pic:pic>
              </a:graphicData>
            </a:graphic>
          </wp:anchor>
        </w:drawing>
      </w:r>
    </w:p>
    <w:p>
      <w:pPr>
        <w:spacing w:after="0" w:line="115" w:lineRule="exact"/>
        <w:rPr>
          <w:sz w:val="20"/>
          <w:szCs w:val="20"/>
          <w:color w:val="auto"/>
        </w:rPr>
      </w:pPr>
    </w:p>
    <w:p>
      <w:pPr>
        <w:ind w:left="5700"/>
        <w:spacing w:after="0"/>
        <w:rPr>
          <w:sz w:val="20"/>
          <w:szCs w:val="20"/>
          <w:color w:val="auto"/>
        </w:rPr>
      </w:pPr>
      <w:r>
        <w:rPr>
          <w:rFonts w:ascii="Arial" w:cs="Arial" w:eastAsia="Arial" w:hAnsi="Arial"/>
          <w:sz w:val="14"/>
          <w:szCs w:val="14"/>
          <w:u w:val="single" w:color="auto"/>
          <w:color w:val="auto"/>
        </w:rPr>
        <w:t>RECITALS</w:t>
      </w:r>
    </w:p>
    <w:p>
      <w:pPr>
        <w:spacing w:after="0" w:line="145"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2"/>
          <w:szCs w:val="12"/>
          <w:color w:val="auto"/>
        </w:rPr>
        <w:t>The Lenders made and have agreed to make certain advances of money and to extend certain financial accommodation to the Grantors (the “</w:t>
      </w:r>
      <w:r>
        <w:rPr>
          <w:rFonts w:ascii="Arial" w:cs="Arial" w:eastAsia="Arial" w:hAnsi="Arial"/>
          <w:sz w:val="12"/>
          <w:szCs w:val="12"/>
          <w:u w:val="single" w:color="auto"/>
          <w:color w:val="auto"/>
        </w:rPr>
        <w:t>Credit</w:t>
      </w:r>
    </w:p>
    <w:p>
      <w:pPr>
        <w:spacing w:after="0" w:line="36" w:lineRule="exact"/>
        <w:rPr>
          <w:sz w:val="20"/>
          <w:szCs w:val="20"/>
          <w:color w:val="auto"/>
        </w:rPr>
      </w:pPr>
    </w:p>
    <w:p>
      <w:pPr>
        <w:jc w:val="both"/>
        <w:ind w:left="740"/>
        <w:spacing w:after="0" w:line="298" w:lineRule="auto"/>
        <w:rPr>
          <w:sz w:val="20"/>
          <w:szCs w:val="20"/>
          <w:color w:val="auto"/>
        </w:rPr>
      </w:pPr>
      <w:r>
        <w:rPr>
          <w:rFonts w:ascii="Arial" w:cs="Arial" w:eastAsia="Arial" w:hAnsi="Arial"/>
          <w:sz w:val="12"/>
          <w:szCs w:val="12"/>
          <w:u w:val="single" w:color="auto"/>
          <w:color w:val="auto"/>
        </w:rPr>
        <w:t>Extensions</w:t>
      </w:r>
      <w:r>
        <w:rPr>
          <w:rFonts w:ascii="Arial" w:cs="Arial" w:eastAsia="Arial" w:hAnsi="Arial"/>
          <w:sz w:val="12"/>
          <w:szCs w:val="12"/>
          <w:color w:val="auto"/>
        </w:rPr>
        <w:t>”) in the amounts and manner set forth in that certain Amended and Restated Credit and Security Agreement by and between Agent, the Lenders and the Grantors dated as of August 6, 2018 (as the same may be amended, modified or supplemented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capitalized terms used herein without definition are used as defined in the Credit Agreement). The Lenders are willing to continue to make the Credit Extensions to the Grantors, but only upon the condition, among others, that the Grantors shall grant to Agent, for the ratable benefit of the Lenders, a security interest in certain Copyrights, Trademarks, Patents, and Mask Works (as each term is described below) to secure the obligations of the Grantors under the Credit Agreement.</w:t>
      </w:r>
    </w:p>
    <w:p>
      <w:pPr>
        <w:spacing w:after="0" w:line="114" w:lineRule="exact"/>
        <w:rPr>
          <w:sz w:val="20"/>
          <w:szCs w:val="20"/>
          <w:color w:val="auto"/>
        </w:rPr>
      </w:pPr>
    </w:p>
    <w:p>
      <w:pPr>
        <w:jc w:val="both"/>
        <w:ind w:left="740" w:firstLine="751"/>
        <w:spacing w:after="0" w:line="268" w:lineRule="auto"/>
        <w:rPr>
          <w:sz w:val="20"/>
          <w:szCs w:val="20"/>
          <w:color w:val="auto"/>
        </w:rPr>
      </w:pPr>
      <w:r>
        <w:rPr>
          <w:rFonts w:ascii="Arial" w:cs="Arial" w:eastAsia="Arial" w:hAnsi="Arial"/>
          <w:sz w:val="14"/>
          <w:szCs w:val="14"/>
          <w:color w:val="auto"/>
        </w:rPr>
        <w:t>B. Pursuant to the terms of the Credit Agreement, each Grantor has granted to Agent, for the ratable benefit of the Lenders, a security interest in all of such Grantor's right, title and interest, whether presently existing or hereafter acquired, in, to and under all of the Collateral.</w:t>
      </w:r>
    </w:p>
    <w:p>
      <w:pPr>
        <w:spacing w:after="0" w:line="127" w:lineRule="exact"/>
        <w:rPr>
          <w:sz w:val="20"/>
          <w:szCs w:val="20"/>
          <w:color w:val="auto"/>
        </w:rPr>
      </w:pPr>
    </w:p>
    <w:p>
      <w:pPr>
        <w:jc w:val="both"/>
        <w:ind w:left="740" w:firstLine="751"/>
        <w:spacing w:after="0" w:line="307" w:lineRule="auto"/>
        <w:rPr>
          <w:sz w:val="20"/>
          <w:szCs w:val="20"/>
          <w:color w:val="auto"/>
        </w:rPr>
      </w:pPr>
      <w:r>
        <w:rPr>
          <w:rFonts w:ascii="Arial" w:cs="Arial" w:eastAsia="Arial" w:hAnsi="Arial"/>
          <w:sz w:val="13"/>
          <w:szCs w:val="13"/>
          <w:color w:val="auto"/>
        </w:rPr>
        <w:t>NOW, THEREFORE, for good and valuable consideration, receipt of which is hereby acknowledged, and intending to be legally bound, as collateral security for the prompt and complete payment when due of its obligations under the Credit Agreement, each Grantor hereby represents, warrants, covenants and agrees as follows:</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4"/>
          <w:szCs w:val="14"/>
          <w:u w:val="single" w:color="auto"/>
          <w:color w:val="auto"/>
        </w:rPr>
        <w:t>AGREEMENT</w:t>
      </w:r>
    </w:p>
    <w:p>
      <w:pPr>
        <w:spacing w:after="0" w:line="145" w:lineRule="exact"/>
        <w:rPr>
          <w:sz w:val="20"/>
          <w:szCs w:val="20"/>
          <w:color w:val="auto"/>
        </w:rPr>
      </w:pPr>
    </w:p>
    <w:p>
      <w:pPr>
        <w:jc w:val="both"/>
        <w:ind w:left="740" w:firstLine="751"/>
        <w:spacing w:after="0" w:line="255" w:lineRule="auto"/>
        <w:rPr>
          <w:sz w:val="20"/>
          <w:szCs w:val="20"/>
          <w:color w:val="auto"/>
        </w:rPr>
      </w:pPr>
      <w:r>
        <w:rPr>
          <w:rFonts w:ascii="Arial" w:cs="Arial" w:eastAsia="Arial" w:hAnsi="Arial"/>
          <w:sz w:val="14"/>
          <w:szCs w:val="14"/>
          <w:color w:val="auto"/>
        </w:rPr>
        <w:t>To secure its obligations under the Credit Agreement, each Grantor grants and pledges to Agent, for the ratable benefit of the Lenders, a security interest in all of such Grantor's right, title and interest in, to and under its Intellectual Property other than any Excluded Property (all of which shall collectively be called the “</w:t>
      </w:r>
      <w:r>
        <w:rPr>
          <w:rFonts w:ascii="Arial" w:cs="Arial" w:eastAsia="Arial" w:hAnsi="Arial"/>
          <w:sz w:val="14"/>
          <w:szCs w:val="14"/>
          <w:u w:val="single" w:color="auto"/>
          <w:color w:val="auto"/>
        </w:rPr>
        <w:t>Intellectual Property Collateral</w:t>
      </w:r>
      <w:r>
        <w:rPr>
          <w:rFonts w:ascii="Arial" w:cs="Arial" w:eastAsia="Arial" w:hAnsi="Arial"/>
          <w:sz w:val="14"/>
          <w:szCs w:val="14"/>
          <w:color w:val="auto"/>
        </w:rPr>
        <w:t>”), including, without limitation, the following (except, in each case, to the extent constituting Excluded Property):</w:t>
      </w:r>
    </w:p>
    <w:p>
      <w:pPr>
        <w:spacing w:after="0" w:line="126" w:lineRule="exact"/>
        <w:rPr>
          <w:sz w:val="20"/>
          <w:szCs w:val="20"/>
          <w:color w:val="auto"/>
        </w:rPr>
      </w:pPr>
    </w:p>
    <w:p>
      <w:pPr>
        <w:ind w:left="2240"/>
        <w:spacing w:after="0"/>
        <w:tabs>
          <w:tab w:leader="none" w:pos="418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2"/>
          <w:szCs w:val="12"/>
          <w:color w:val="auto"/>
        </w:rPr>
        <w:t>Any and all copyright rights, copyright applications, copyright registrations and like protections in each work or authorship and</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0780" w:type="dxa"/>
            <w:vAlign w:val="bottom"/>
            <w:gridSpan w:val="5"/>
          </w:tcPr>
          <w:p>
            <w:pPr>
              <w:ind w:left="180"/>
              <w:spacing w:after="0"/>
              <w:rPr>
                <w:sz w:val="20"/>
                <w:szCs w:val="20"/>
                <w:color w:val="auto"/>
              </w:rPr>
            </w:pPr>
            <w:r>
              <w:rPr>
                <w:rFonts w:ascii="Arial" w:cs="Arial" w:eastAsia="Arial" w:hAnsi="Arial"/>
                <w:sz w:val="14"/>
                <w:szCs w:val="14"/>
                <w:color w:val="auto"/>
                <w:w w:val="90"/>
              </w:rPr>
              <w:t>derivative work thereof, whether published or unpublished and whether or not the same also constitutes a trade secret, now or hereafter existing, created, acquired or held, including without</w:t>
            </w:r>
          </w:p>
        </w:tc>
      </w:tr>
      <w:tr>
        <w:trPr>
          <w:trHeight w:val="146"/>
        </w:trPr>
        <w:tc>
          <w:tcPr>
            <w:tcW w:w="360" w:type="dxa"/>
            <w:vAlign w:val="bottom"/>
          </w:tcPr>
          <w:p>
            <w:pPr>
              <w:spacing w:after="0"/>
              <w:rPr>
                <w:sz w:val="12"/>
                <w:szCs w:val="12"/>
                <w:color w:val="auto"/>
              </w:rPr>
            </w:pPr>
          </w:p>
        </w:tc>
        <w:tc>
          <w:tcPr>
            <w:tcW w:w="10780" w:type="dxa"/>
            <w:vAlign w:val="bottom"/>
            <w:gridSpan w:val="5"/>
          </w:tcPr>
          <w:p>
            <w:pPr>
              <w:ind w:left="180"/>
              <w:spacing w:after="0" w:line="147" w:lineRule="exact"/>
              <w:rPr>
                <w:sz w:val="20"/>
                <w:szCs w:val="20"/>
                <w:color w:val="auto"/>
              </w:rPr>
            </w:pPr>
            <w:r>
              <w:rPr>
                <w:rFonts w:ascii="Arial" w:cs="Arial" w:eastAsia="Arial" w:hAnsi="Arial"/>
                <w:sz w:val="14"/>
                <w:szCs w:val="14"/>
                <w:color w:val="auto"/>
              </w:rPr>
              <w:t>limitation those set forth on Exhibit A attached hereto (collectively, the “Copyrights”);</w:t>
            </w:r>
          </w:p>
        </w:tc>
      </w:tr>
      <w:tr>
        <w:trPr>
          <w:trHeight w:val="20"/>
        </w:trPr>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11"/>
        </w:trPr>
        <w:tc>
          <w:tcPr>
            <w:tcW w:w="360" w:type="dxa"/>
            <w:vAlign w:val="bottom"/>
          </w:tcPr>
          <w:p>
            <w:pPr>
              <w:spacing w:after="0"/>
              <w:rPr>
                <w:sz w:val="20"/>
                <w:szCs w:val="20"/>
                <w:color w:val="auto"/>
              </w:rPr>
            </w:pPr>
            <w:r>
              <w:rPr>
                <w:rFonts w:ascii="Arial" w:cs="Arial" w:eastAsia="Arial" w:hAnsi="Arial"/>
                <w:sz w:val="14"/>
                <w:szCs w:val="14"/>
                <w:color w:val="auto"/>
              </w:rPr>
              <w:t>(b)</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20" w:type="dxa"/>
            <w:vAlign w:val="bottom"/>
            <w:gridSpan w:val="3"/>
          </w:tcPr>
          <w:p>
            <w:pPr>
              <w:ind w:left="120"/>
              <w:spacing w:after="0"/>
              <w:rPr>
                <w:sz w:val="20"/>
                <w:szCs w:val="20"/>
                <w:color w:val="auto"/>
              </w:rPr>
            </w:pPr>
            <w:r>
              <w:rPr>
                <w:rFonts w:ascii="Arial" w:cs="Arial" w:eastAsia="Arial" w:hAnsi="Arial"/>
                <w:sz w:val="14"/>
                <w:szCs w:val="14"/>
                <w:color w:val="auto"/>
                <w:w w:val="91"/>
              </w:rPr>
              <w:t>Any and all trade secrets, and any and all intellectual property rights in computer software and computer software products now or hereafter existing,</w:t>
            </w:r>
          </w:p>
        </w:tc>
      </w:tr>
      <w:tr>
        <w:trPr>
          <w:trHeight w:val="179"/>
        </w:trPr>
        <w:tc>
          <w:tcPr>
            <w:tcW w:w="360" w:type="dxa"/>
            <w:vAlign w:val="bottom"/>
          </w:tcPr>
          <w:p>
            <w:pPr>
              <w:spacing w:after="0"/>
              <w:rPr>
                <w:sz w:val="15"/>
                <w:szCs w:val="15"/>
                <w:color w:val="auto"/>
              </w:rPr>
            </w:pPr>
          </w:p>
        </w:tc>
        <w:tc>
          <w:tcPr>
            <w:tcW w:w="10780" w:type="dxa"/>
            <w:vAlign w:val="bottom"/>
            <w:gridSpan w:val="5"/>
          </w:tcPr>
          <w:p>
            <w:pPr>
              <w:ind w:left="1020"/>
              <w:spacing w:after="0"/>
              <w:rPr>
                <w:sz w:val="20"/>
                <w:szCs w:val="20"/>
                <w:color w:val="auto"/>
              </w:rPr>
            </w:pPr>
            <w:r>
              <w:rPr>
                <w:rFonts w:ascii="Arial" w:cs="Arial" w:eastAsia="Arial" w:hAnsi="Arial"/>
                <w:sz w:val="14"/>
                <w:szCs w:val="14"/>
                <w:color w:val="auto"/>
              </w:rPr>
              <w:t>created, acquired or held;</w:t>
            </w:r>
          </w:p>
        </w:tc>
      </w:tr>
      <w:tr>
        <w:trPr>
          <w:trHeight w:val="210"/>
        </w:trPr>
        <w:tc>
          <w:tcPr>
            <w:tcW w:w="360" w:type="dxa"/>
            <w:vAlign w:val="bottom"/>
          </w:tcPr>
          <w:p>
            <w:pPr>
              <w:spacing w:after="0"/>
              <w:rPr>
                <w:sz w:val="20"/>
                <w:szCs w:val="20"/>
                <w:color w:val="auto"/>
              </w:rPr>
            </w:pPr>
            <w:r>
              <w:rPr>
                <w:rFonts w:ascii="Arial" w:cs="Arial" w:eastAsia="Arial" w:hAnsi="Arial"/>
                <w:sz w:val="14"/>
                <w:szCs w:val="14"/>
                <w:color w:val="auto"/>
              </w:rPr>
              <w:t>(a)</w:t>
            </w: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40" w:type="dxa"/>
            <w:vAlign w:val="bottom"/>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 IP Security Agreement</w:t>
      </w:r>
    </w:p>
    <w:p>
      <w:pPr>
        <w:ind w:left="60"/>
        <w:spacing w:after="0"/>
        <w:rPr>
          <w:sz w:val="20"/>
          <w:szCs w:val="20"/>
          <w:color w:val="auto"/>
        </w:rPr>
      </w:pPr>
      <w:r>
        <w:rPr>
          <w:rFonts w:ascii="Arial" w:cs="Arial" w:eastAsia="Arial" w:hAnsi="Arial"/>
          <w:sz w:val="10"/>
          <w:szCs w:val="10"/>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1" w:right="319" w:bottom="1440" w:gutter="0" w:footer="0" w:header="0"/>
        </w:sectPr>
      </w:pPr>
    </w:p>
    <w:bookmarkStart w:id="168" w:name="page169"/>
    <w:bookmarkEnd w:id="168"/>
    <w:tbl>
      <w:tblPr>
        <w:tblLayout w:type="fixed"/>
        <w:tblInd w:w="200" w:type="dxa"/>
        <w:tblCellMar>
          <w:top w:w="0" w:type="dxa"/>
          <w:left w:w="0" w:type="dxa"/>
          <w:bottom w:w="0" w:type="dxa"/>
          <w:right w:w="0" w:type="dxa"/>
        </w:tblCellMar>
      </w:tblPr>
      <w:tr>
        <w:trPr>
          <w:trHeight w:val="179"/>
        </w:trPr>
        <w:tc>
          <w:tcPr>
            <w:tcW w:w="2480" w:type="dxa"/>
            <w:vAlign w:val="bottom"/>
          </w:tcPr>
          <w:p>
            <w:pPr>
              <w:ind w:left="2040"/>
              <w:spacing w:after="0"/>
              <w:rPr>
                <w:sz w:val="20"/>
                <w:szCs w:val="20"/>
                <w:color w:val="auto"/>
              </w:rPr>
            </w:pPr>
            <w:r>
              <w:rPr>
                <w:rFonts w:ascii="Arial" w:cs="Arial" w:eastAsia="Arial" w:hAnsi="Arial"/>
                <w:sz w:val="14"/>
                <w:szCs w:val="14"/>
                <w:color w:val="auto"/>
              </w:rPr>
              <w:t>(c)</w:t>
            </w:r>
          </w:p>
        </w:tc>
        <w:tc>
          <w:tcPr>
            <w:tcW w:w="8660" w:type="dxa"/>
            <w:vAlign w:val="bottom"/>
            <w:gridSpan w:val="5"/>
          </w:tcPr>
          <w:p>
            <w:pPr>
              <w:ind w:left="1520"/>
              <w:spacing w:after="0"/>
              <w:rPr>
                <w:sz w:val="20"/>
                <w:szCs w:val="20"/>
                <w:color w:val="auto"/>
              </w:rPr>
            </w:pPr>
            <w:r>
              <w:rPr>
                <w:rFonts w:ascii="Arial" w:cs="Arial" w:eastAsia="Arial" w:hAnsi="Arial"/>
                <w:sz w:val="14"/>
                <w:szCs w:val="14"/>
                <w:color w:val="auto"/>
                <w:w w:val="99"/>
              </w:rPr>
              <w:t>Any and all design rights that may be available to such Grantor now or hereafter existing, created, acquired or held;</w:t>
            </w:r>
          </w:p>
        </w:tc>
      </w:tr>
      <w:tr>
        <w:trPr>
          <w:trHeight w:val="299"/>
        </w:trPr>
        <w:tc>
          <w:tcPr>
            <w:tcW w:w="2480" w:type="dxa"/>
            <w:vAlign w:val="bottom"/>
          </w:tcPr>
          <w:p>
            <w:pPr>
              <w:spacing w:after="0"/>
              <w:rPr>
                <w:sz w:val="20"/>
                <w:szCs w:val="20"/>
                <w:color w:val="auto"/>
              </w:rPr>
            </w:pPr>
            <w:r>
              <w:rPr>
                <w:rFonts w:ascii="Arial" w:cs="Arial" w:eastAsia="Arial" w:hAnsi="Arial"/>
                <w:sz w:val="14"/>
                <w:szCs w:val="14"/>
                <w:color w:val="auto"/>
              </w:rPr>
              <w:t>(d)</w:t>
            </w:r>
          </w:p>
        </w:tc>
        <w:tc>
          <w:tcPr>
            <w:tcW w:w="8660" w:type="dxa"/>
            <w:vAlign w:val="bottom"/>
            <w:gridSpan w:val="5"/>
          </w:tcPr>
          <w:p>
            <w:pPr>
              <w:ind w:left="260"/>
              <w:spacing w:after="0"/>
              <w:rPr>
                <w:sz w:val="20"/>
                <w:szCs w:val="20"/>
                <w:color w:val="auto"/>
              </w:rPr>
            </w:pPr>
            <w:r>
              <w:rPr>
                <w:rFonts w:ascii="Arial" w:cs="Arial" w:eastAsia="Arial" w:hAnsi="Arial"/>
                <w:sz w:val="14"/>
                <w:szCs w:val="14"/>
                <w:color w:val="auto"/>
                <w:w w:val="90"/>
              </w:rPr>
              <w:t>All patents, patent applications and like protections including, without limitation, improvements, divisions, continuations, renewals, reissues, extensions</w:t>
            </w:r>
          </w:p>
        </w:tc>
      </w:tr>
      <w:tr>
        <w:trPr>
          <w:trHeight w:val="146"/>
        </w:trPr>
        <w:tc>
          <w:tcPr>
            <w:tcW w:w="11140" w:type="dxa"/>
            <w:vAlign w:val="bottom"/>
            <w:gridSpan w:val="6"/>
          </w:tcPr>
          <w:p>
            <w:pPr>
              <w:ind w:left="1380"/>
              <w:spacing w:after="0" w:line="147" w:lineRule="exact"/>
              <w:rPr>
                <w:sz w:val="20"/>
                <w:szCs w:val="20"/>
                <w:color w:val="auto"/>
              </w:rPr>
            </w:pPr>
            <w:r>
              <w:rPr>
                <w:rFonts w:ascii="Arial" w:cs="Arial" w:eastAsia="Arial" w:hAnsi="Arial"/>
                <w:sz w:val="14"/>
                <w:szCs w:val="14"/>
                <w:color w:val="auto"/>
                <w:w w:val="94"/>
              </w:rPr>
              <w:t>and continuations-in-part of the same, including without limitation the patents and patent applications set forth on Exhibit B attached hereto (collectively, the “Patents”);</w:t>
            </w:r>
          </w:p>
        </w:tc>
      </w:tr>
      <w:tr>
        <w:trPr>
          <w:trHeight w:val="20"/>
        </w:trPr>
        <w:tc>
          <w:tcPr>
            <w:tcW w:w="24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14"/>
        </w:trPr>
        <w:tc>
          <w:tcPr>
            <w:tcW w:w="2480" w:type="dxa"/>
            <w:vAlign w:val="bottom"/>
          </w:tcPr>
          <w:p>
            <w:pPr>
              <w:ind w:left="2040"/>
              <w:spacing w:after="0"/>
              <w:rPr>
                <w:sz w:val="20"/>
                <w:szCs w:val="20"/>
                <w:color w:val="auto"/>
              </w:rPr>
            </w:pPr>
            <w:r>
              <w:rPr>
                <w:rFonts w:ascii="Arial" w:cs="Arial" w:eastAsia="Arial" w:hAnsi="Arial"/>
                <w:sz w:val="14"/>
                <w:szCs w:val="14"/>
                <w:color w:val="auto"/>
              </w:rPr>
              <w:t>(e)</w:t>
            </w:r>
          </w:p>
        </w:tc>
        <w:tc>
          <w:tcPr>
            <w:tcW w:w="8660" w:type="dxa"/>
            <w:vAlign w:val="bottom"/>
            <w:gridSpan w:val="5"/>
          </w:tcPr>
          <w:p>
            <w:pPr>
              <w:ind w:left="1520"/>
              <w:spacing w:after="0"/>
              <w:rPr>
                <w:sz w:val="20"/>
                <w:szCs w:val="20"/>
                <w:color w:val="auto"/>
              </w:rPr>
            </w:pPr>
            <w:r>
              <w:rPr>
                <w:rFonts w:ascii="Arial" w:cs="Arial" w:eastAsia="Arial" w:hAnsi="Arial"/>
                <w:sz w:val="14"/>
                <w:szCs w:val="14"/>
                <w:color w:val="auto"/>
                <w:w w:val="90"/>
              </w:rPr>
              <w:t>Any trademark and servicemark rights, whether registered or not, applications to register and registrations of the same and like</w:t>
            </w:r>
          </w:p>
        </w:tc>
      </w:tr>
    </w:tbl>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34"/>
        </w:trPr>
        <w:tc>
          <w:tcPr>
            <w:tcW w:w="360" w:type="dxa"/>
            <w:vAlign w:val="bottom"/>
          </w:tcPr>
          <w:p>
            <w:pPr>
              <w:spacing w:after="0"/>
              <w:rPr>
                <w:sz w:val="11"/>
                <w:szCs w:val="11"/>
                <w:color w:val="auto"/>
              </w:rPr>
            </w:pPr>
          </w:p>
        </w:tc>
        <w:tc>
          <w:tcPr>
            <w:tcW w:w="10780" w:type="dxa"/>
            <w:vAlign w:val="bottom"/>
            <w:gridSpan w:val="9"/>
          </w:tcPr>
          <w:p>
            <w:pPr>
              <w:ind w:left="180"/>
              <w:spacing w:after="0" w:line="135" w:lineRule="exact"/>
              <w:rPr>
                <w:sz w:val="20"/>
                <w:szCs w:val="20"/>
                <w:color w:val="auto"/>
              </w:rPr>
            </w:pPr>
            <w:r>
              <w:rPr>
                <w:rFonts w:ascii="Arial" w:cs="Arial" w:eastAsia="Arial" w:hAnsi="Arial"/>
                <w:sz w:val="14"/>
                <w:szCs w:val="14"/>
                <w:color w:val="auto"/>
                <w:w w:val="89"/>
              </w:rPr>
              <w:t>protections, and the entire goodwill of the business of such Grantor connected with and symbolized by such trademarks, including without limitation those set forth on Exhibit C attached hereto</w:t>
            </w:r>
          </w:p>
        </w:tc>
      </w:tr>
      <w:tr>
        <w:trPr>
          <w:trHeight w:val="142"/>
        </w:trPr>
        <w:tc>
          <w:tcPr>
            <w:tcW w:w="360" w:type="dxa"/>
            <w:vAlign w:val="bottom"/>
          </w:tcPr>
          <w:p>
            <w:pPr>
              <w:spacing w:after="0"/>
              <w:rPr>
                <w:sz w:val="12"/>
                <w:szCs w:val="12"/>
                <w:color w:val="auto"/>
              </w:rPr>
            </w:pPr>
          </w:p>
        </w:tc>
        <w:tc>
          <w:tcPr>
            <w:tcW w:w="9320" w:type="dxa"/>
            <w:vAlign w:val="bottom"/>
            <w:gridSpan w:val="7"/>
          </w:tcPr>
          <w:p>
            <w:pPr>
              <w:ind w:left="180"/>
              <w:spacing w:after="0" w:line="143" w:lineRule="exact"/>
              <w:rPr>
                <w:sz w:val="20"/>
                <w:szCs w:val="20"/>
                <w:color w:val="auto"/>
              </w:rPr>
            </w:pPr>
            <w:r>
              <w:rPr>
                <w:rFonts w:ascii="Arial" w:cs="Arial" w:eastAsia="Arial" w:hAnsi="Arial"/>
                <w:sz w:val="14"/>
                <w:szCs w:val="14"/>
                <w:color w:val="auto"/>
              </w:rPr>
              <w:t>(collectively, the “Trademarks”);</w:t>
            </w:r>
          </w:p>
        </w:tc>
        <w:tc>
          <w:tcPr>
            <w:tcW w:w="58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r>
      <w:tr>
        <w:trPr>
          <w:trHeight w:val="311"/>
        </w:trPr>
        <w:tc>
          <w:tcPr>
            <w:tcW w:w="360" w:type="dxa"/>
            <w:vAlign w:val="bottom"/>
          </w:tcPr>
          <w:p>
            <w:pPr>
              <w:spacing w:after="0"/>
              <w:rPr>
                <w:sz w:val="20"/>
                <w:szCs w:val="20"/>
                <w:color w:val="auto"/>
              </w:rPr>
            </w:pPr>
            <w:r>
              <w:rPr>
                <w:rFonts w:ascii="Arial" w:cs="Arial" w:eastAsia="Arial" w:hAnsi="Arial"/>
                <w:sz w:val="14"/>
                <w:szCs w:val="14"/>
                <w:color w:val="auto"/>
              </w:rPr>
              <w:t>(f)</w:t>
            </w:r>
          </w:p>
        </w:tc>
        <w:tc>
          <w:tcPr>
            <w:tcW w:w="11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6"/>
          </w:tcPr>
          <w:p>
            <w:pPr>
              <w:ind w:left="380"/>
              <w:spacing w:after="0"/>
              <w:rPr>
                <w:sz w:val="20"/>
                <w:szCs w:val="20"/>
                <w:color w:val="auto"/>
              </w:rPr>
            </w:pPr>
            <w:r>
              <w:rPr>
                <w:rFonts w:ascii="Arial" w:cs="Arial" w:eastAsia="Arial" w:hAnsi="Arial"/>
                <w:sz w:val="14"/>
                <w:szCs w:val="14"/>
                <w:color w:val="auto"/>
                <w:w w:val="93"/>
              </w:rPr>
              <w:t>All mask works or similar rights available for the protection of semiconductor chips, now owned or hereafter acquired, including, without limitation</w:t>
            </w:r>
          </w:p>
        </w:tc>
      </w:tr>
      <w:tr>
        <w:trPr>
          <w:trHeight w:val="146"/>
        </w:trPr>
        <w:tc>
          <w:tcPr>
            <w:tcW w:w="360" w:type="dxa"/>
            <w:vAlign w:val="bottom"/>
          </w:tcPr>
          <w:p>
            <w:pPr>
              <w:spacing w:after="0"/>
              <w:rPr>
                <w:sz w:val="12"/>
                <w:szCs w:val="12"/>
                <w:color w:val="auto"/>
              </w:rPr>
            </w:pPr>
          </w:p>
        </w:tc>
        <w:tc>
          <w:tcPr>
            <w:tcW w:w="10780" w:type="dxa"/>
            <w:vAlign w:val="bottom"/>
            <w:gridSpan w:val="9"/>
          </w:tcPr>
          <w:p>
            <w:pPr>
              <w:ind w:left="1020"/>
              <w:spacing w:after="0" w:line="147" w:lineRule="exact"/>
              <w:rPr>
                <w:sz w:val="20"/>
                <w:szCs w:val="20"/>
                <w:color w:val="auto"/>
              </w:rPr>
            </w:pPr>
            <w:r>
              <w:rPr>
                <w:rFonts w:ascii="Arial" w:cs="Arial" w:eastAsia="Arial" w:hAnsi="Arial"/>
                <w:sz w:val="14"/>
                <w:szCs w:val="14"/>
                <w:color w:val="auto"/>
              </w:rPr>
              <w:t>those set forth on Exhibit D attached hereto (collectively, the “Mask Works”);</w:t>
            </w:r>
          </w:p>
        </w:tc>
      </w:tr>
      <w:tr>
        <w:trPr>
          <w:trHeight w:val="20"/>
        </w:trPr>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r>
      <w:tr>
        <w:trPr>
          <w:trHeight w:val="302"/>
        </w:trPr>
        <w:tc>
          <w:tcPr>
            <w:tcW w:w="360" w:type="dxa"/>
            <w:vAlign w:val="bottom"/>
          </w:tcPr>
          <w:p>
            <w:pPr>
              <w:spacing w:after="0"/>
              <w:rPr>
                <w:sz w:val="20"/>
                <w:szCs w:val="20"/>
                <w:color w:val="auto"/>
              </w:rPr>
            </w:pPr>
            <w:r>
              <w:rPr>
                <w:rFonts w:ascii="Arial" w:cs="Arial" w:eastAsia="Arial" w:hAnsi="Arial"/>
                <w:sz w:val="14"/>
                <w:szCs w:val="14"/>
                <w:color w:val="auto"/>
              </w:rPr>
              <w:t>(g)</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6"/>
          </w:tcPr>
          <w:p>
            <w:pPr>
              <w:ind w:left="380"/>
              <w:spacing w:after="0"/>
              <w:rPr>
                <w:sz w:val="20"/>
                <w:szCs w:val="20"/>
                <w:color w:val="auto"/>
              </w:rPr>
            </w:pPr>
            <w:r>
              <w:rPr>
                <w:rFonts w:ascii="Arial" w:cs="Arial" w:eastAsia="Arial" w:hAnsi="Arial"/>
                <w:sz w:val="14"/>
                <w:szCs w:val="14"/>
                <w:color w:val="auto"/>
                <w:w w:val="95"/>
              </w:rPr>
              <w:t>Any and all claims for damages by way of past, present and future infringements of any of the rights included above, with the right, but not the</w:t>
            </w:r>
          </w:p>
        </w:tc>
      </w:tr>
      <w:tr>
        <w:trPr>
          <w:trHeight w:val="179"/>
        </w:trPr>
        <w:tc>
          <w:tcPr>
            <w:tcW w:w="360" w:type="dxa"/>
            <w:vAlign w:val="bottom"/>
          </w:tcPr>
          <w:p>
            <w:pPr>
              <w:spacing w:after="0"/>
              <w:rPr>
                <w:sz w:val="15"/>
                <w:szCs w:val="15"/>
                <w:color w:val="auto"/>
              </w:rPr>
            </w:pPr>
          </w:p>
        </w:tc>
        <w:tc>
          <w:tcPr>
            <w:tcW w:w="10780" w:type="dxa"/>
            <w:vAlign w:val="bottom"/>
            <w:gridSpan w:val="9"/>
          </w:tcPr>
          <w:p>
            <w:pPr>
              <w:ind w:left="1020"/>
              <w:spacing w:after="0"/>
              <w:rPr>
                <w:sz w:val="20"/>
                <w:szCs w:val="20"/>
                <w:color w:val="auto"/>
              </w:rPr>
            </w:pPr>
            <w:r>
              <w:rPr>
                <w:rFonts w:ascii="Arial" w:cs="Arial" w:eastAsia="Arial" w:hAnsi="Arial"/>
                <w:sz w:val="14"/>
                <w:szCs w:val="14"/>
                <w:color w:val="auto"/>
              </w:rPr>
              <w:t>obligation, to sue for and collect such damages for said use or infringement of the intellectual property rights identified above;</w:t>
            </w:r>
          </w:p>
        </w:tc>
      </w:tr>
      <w:tr>
        <w:trPr>
          <w:trHeight w:val="299"/>
        </w:trPr>
        <w:tc>
          <w:tcPr>
            <w:tcW w:w="360" w:type="dxa"/>
            <w:vAlign w:val="bottom"/>
          </w:tcPr>
          <w:p>
            <w:pPr>
              <w:spacing w:after="0"/>
              <w:rPr>
                <w:sz w:val="20"/>
                <w:szCs w:val="20"/>
                <w:color w:val="auto"/>
              </w:rPr>
            </w:pPr>
            <w:r>
              <w:rPr>
                <w:rFonts w:ascii="Arial" w:cs="Arial" w:eastAsia="Arial" w:hAnsi="Arial"/>
                <w:sz w:val="14"/>
                <w:szCs w:val="14"/>
                <w:color w:val="auto"/>
              </w:rPr>
              <w:t>(h)</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6"/>
          </w:tcPr>
          <w:p>
            <w:pPr>
              <w:ind w:left="380"/>
              <w:spacing w:after="0"/>
              <w:rPr>
                <w:sz w:val="20"/>
                <w:szCs w:val="20"/>
                <w:color w:val="auto"/>
              </w:rPr>
            </w:pPr>
            <w:r>
              <w:rPr>
                <w:rFonts w:ascii="Arial" w:cs="Arial" w:eastAsia="Arial" w:hAnsi="Arial"/>
                <w:sz w:val="14"/>
                <w:szCs w:val="14"/>
                <w:color w:val="auto"/>
                <w:w w:val="89"/>
              </w:rPr>
              <w:t>All licenses or other rights to use any of the Copyrights, Patents, Trademarks, or Mask Works and all license fees and royalties arising from such use to</w:t>
            </w:r>
          </w:p>
        </w:tc>
      </w:tr>
      <w:tr>
        <w:trPr>
          <w:trHeight w:val="179"/>
        </w:trPr>
        <w:tc>
          <w:tcPr>
            <w:tcW w:w="360" w:type="dxa"/>
            <w:vAlign w:val="bottom"/>
          </w:tcPr>
          <w:p>
            <w:pPr>
              <w:spacing w:after="0"/>
              <w:rPr>
                <w:sz w:val="15"/>
                <w:szCs w:val="15"/>
                <w:color w:val="auto"/>
              </w:rPr>
            </w:pPr>
          </w:p>
        </w:tc>
        <w:tc>
          <w:tcPr>
            <w:tcW w:w="10780" w:type="dxa"/>
            <w:vAlign w:val="bottom"/>
            <w:gridSpan w:val="9"/>
          </w:tcPr>
          <w:p>
            <w:pPr>
              <w:ind w:left="1020"/>
              <w:spacing w:after="0"/>
              <w:rPr>
                <w:sz w:val="20"/>
                <w:szCs w:val="20"/>
                <w:color w:val="auto"/>
              </w:rPr>
            </w:pPr>
            <w:r>
              <w:rPr>
                <w:rFonts w:ascii="Arial" w:cs="Arial" w:eastAsia="Arial" w:hAnsi="Arial"/>
                <w:sz w:val="14"/>
                <w:szCs w:val="14"/>
                <w:color w:val="auto"/>
              </w:rPr>
              <w:t>the extent permitted by such license or rights;</w:t>
            </w:r>
          </w:p>
        </w:tc>
      </w:tr>
    </w:tbl>
    <w:p>
      <w:pPr>
        <w:spacing w:after="0" w:line="146" w:lineRule="exact"/>
        <w:rPr>
          <w:sz w:val="20"/>
          <w:szCs w:val="20"/>
          <w:color w:val="auto"/>
        </w:rPr>
      </w:pPr>
    </w:p>
    <w:p>
      <w:pPr>
        <w:ind w:left="3180" w:hanging="817"/>
        <w:spacing w:after="0"/>
        <w:tabs>
          <w:tab w:leader="none" w:pos="31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All amendments, extensions, renewals and extensions of any of the Copyrights,</w:t>
      </w:r>
    </w:p>
    <w:p>
      <w:pPr>
        <w:spacing w:after="0" w:line="3" w:lineRule="exact"/>
        <w:rPr>
          <w:rFonts w:ascii="Arial" w:cs="Arial" w:eastAsia="Arial" w:hAnsi="Arial"/>
          <w:sz w:val="14"/>
          <w:szCs w:val="14"/>
          <w:color w:val="auto"/>
        </w:rPr>
      </w:pPr>
    </w:p>
    <w:p>
      <w:pPr>
        <w:ind w:left="740"/>
        <w:spacing w:after="0"/>
        <w:rPr>
          <w:rFonts w:ascii="Arial" w:cs="Arial" w:eastAsia="Arial" w:hAnsi="Arial"/>
          <w:sz w:val="14"/>
          <w:szCs w:val="14"/>
          <w:color w:val="auto"/>
        </w:rPr>
      </w:pPr>
      <w:r>
        <w:rPr>
          <w:rFonts w:ascii="Arial" w:cs="Arial" w:eastAsia="Arial" w:hAnsi="Arial"/>
          <w:sz w:val="14"/>
          <w:szCs w:val="14"/>
          <w:color w:val="auto"/>
        </w:rPr>
        <w:t>Trademarks, Patents, or Mask Works; and</w:t>
      </w:r>
    </w:p>
    <w:p>
      <w:pPr>
        <w:sectPr>
          <w:pgSz w:w="11900" w:h="16838" w:orient="portrait"/>
          <w:cols w:equalWidth="0" w:num="1">
            <w:col w:w="11340"/>
          </w:cols>
          <w:pgMar w:left="240" w:top="165" w:right="319" w:bottom="1440" w:gutter="0" w:footer="0" w:header="0"/>
        </w:sectPr>
      </w:pPr>
    </w:p>
    <w:p>
      <w:pPr>
        <w:spacing w:after="0" w:line="142"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(j)</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2"/>
          <w:szCs w:val="12"/>
          <w:color w:val="auto"/>
        </w:rPr>
        <w:t>payable in respect of any of the foregoing.</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All proceeds and products of the foregoing, including without limitation all payments under insurance or any indemnity or warranty</w:t>
      </w:r>
    </w:p>
    <w:p>
      <w:pPr>
        <w:spacing w:after="0" w:line="349" w:lineRule="exact"/>
        <w:rPr>
          <w:sz w:val="20"/>
          <w:szCs w:val="20"/>
          <w:color w:val="auto"/>
        </w:rPr>
      </w:pPr>
    </w:p>
    <w:p>
      <w:pPr>
        <w:sectPr>
          <w:pgSz w:w="11900" w:h="16838" w:orient="portrait"/>
          <w:cols w:equalWidth="0" w:num="2">
            <w:col w:w="3460" w:space="720"/>
            <w:col w:w="7160"/>
          </w:cols>
          <w:pgMar w:left="240" w:top="165" w:right="319" w:bottom="1440" w:gutter="0" w:footer="0" w:header="0"/>
          <w:type w:val="continuous"/>
        </w:sectPr>
      </w:pPr>
    </w:p>
    <w:p>
      <w:pPr>
        <w:jc w:val="both"/>
        <w:ind w:left="740" w:firstLine="751"/>
        <w:spacing w:after="0" w:line="246" w:lineRule="auto"/>
        <w:rPr>
          <w:sz w:val="20"/>
          <w:szCs w:val="20"/>
          <w:color w:val="auto"/>
        </w:rPr>
      </w:pPr>
      <w:r>
        <w:rPr>
          <w:rFonts w:ascii="Arial" w:cs="Arial" w:eastAsia="Arial" w:hAnsi="Arial"/>
          <w:sz w:val="14"/>
          <w:szCs w:val="14"/>
          <w:color w:val="auto"/>
        </w:rPr>
        <w:t>The security interest granted under this Intellectual Property Security Agreement is granted in conjunction with the security interest granted to Agent, for the ratable benefit of the Lenders, under the Credit Agreement. The rights and remedies of Agent with respect to the security interest granted hereby are in addition to those set forth in the Credit Agreement and the other Financing Documents, and those which are now or hereafter available to Agent as a matter of law or equity. Each right, power and remedy of Agent provided for herein or in the Credit Agreement or any of the Financing Documents, or now or hereafter existing at law or in equity shall be cumulative and concurrent and shall be in addition to every right, power or remedy provided for herein and the exercise by Agent of any one or more of the rights, powers or remedies provided for in this Intellectual Property Security Agreement, the Credit Agreement or any of the other Financing Documents, or now or hereafter existing at law or in equity, shall not preclude the simultaneous or later exercise by any person, including Agent, of any or all other rights, powers or remedies.</w:t>
      </w:r>
    </w:p>
    <w:p>
      <w:pPr>
        <w:spacing w:after="0" w:line="134" w:lineRule="exact"/>
        <w:rPr>
          <w:sz w:val="20"/>
          <w:szCs w:val="20"/>
          <w:color w:val="auto"/>
        </w:rPr>
      </w:pPr>
    </w:p>
    <w:p>
      <w:pPr>
        <w:jc w:val="both"/>
        <w:ind w:left="740" w:firstLine="751"/>
        <w:spacing w:after="0" w:line="255" w:lineRule="auto"/>
        <w:rPr>
          <w:sz w:val="20"/>
          <w:szCs w:val="20"/>
          <w:color w:val="auto"/>
        </w:rPr>
      </w:pPr>
      <w:r>
        <w:rPr>
          <w:rFonts w:ascii="Arial" w:cs="Arial" w:eastAsia="Arial" w:hAnsi="Arial"/>
          <w:sz w:val="14"/>
          <w:szCs w:val="14"/>
          <w:color w:val="auto"/>
        </w:rPr>
        <w:t>THIS INTELLECTUAL PROPERTY SECURITY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 IP Security Agreement</w:t>
      </w:r>
    </w:p>
    <w:p>
      <w:pPr>
        <w:ind w:left="60"/>
        <w:spacing w:after="0"/>
        <w:rPr>
          <w:sz w:val="20"/>
          <w:szCs w:val="20"/>
          <w:color w:val="auto"/>
        </w:rPr>
      </w:pPr>
      <w:r>
        <w:rPr>
          <w:rFonts w:ascii="Arial" w:cs="Arial" w:eastAsia="Arial" w:hAnsi="Arial"/>
          <w:sz w:val="10"/>
          <w:szCs w:val="10"/>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type w:val="continuous"/>
        </w:sectPr>
      </w:pPr>
    </w:p>
    <w:bookmarkStart w:id="169" w:name="page170"/>
    <w:bookmarkEnd w:id="169"/>
    <w:p>
      <w:pPr>
        <w:jc w:val="both"/>
        <w:ind w:left="740" w:firstLine="751"/>
        <w:spacing w:after="0" w:line="283" w:lineRule="auto"/>
        <w:rPr>
          <w:sz w:val="20"/>
          <w:szCs w:val="20"/>
          <w:color w:val="auto"/>
        </w:rPr>
      </w:pPr>
      <w:r>
        <w:rPr>
          <w:rFonts w:ascii="Arial" w:cs="Arial" w:eastAsia="Arial" w:hAnsi="Arial"/>
          <w:sz w:val="13"/>
          <w:szCs w:val="13"/>
          <w:color w:val="auto"/>
        </w:rPr>
        <w:t>This Intellectual Property Security Agreement may be signed in any number of counterparts, each of which shall be deemed an original and all of which when taken together shall constitute one and the same instrument. Delivery of an executed counterpart of this Intellectual Property Security Agreement by facsimile or by electronic mail delivery of an electronic version (e.g., .pdf or .tif file) of an executed signature page shall be effective as delivery of an original executed counterpart hereof and shall bind the parties hereto.</w:t>
      </w:r>
    </w:p>
    <w:p>
      <w:pPr>
        <w:spacing w:after="0" w:line="120" w:lineRule="exact"/>
        <w:rPr>
          <w:sz w:val="20"/>
          <w:szCs w:val="20"/>
          <w:color w:val="auto"/>
        </w:rPr>
      </w:pPr>
    </w:p>
    <w:p>
      <w:pPr>
        <w:ind w:left="5320"/>
        <w:spacing w:after="0"/>
        <w:rPr>
          <w:sz w:val="20"/>
          <w:szCs w:val="20"/>
          <w:color w:val="auto"/>
        </w:rPr>
      </w:pPr>
      <w:r>
        <w:rPr>
          <w:rFonts w:ascii="Arial" w:cs="Arial" w:eastAsia="Arial" w:hAnsi="Arial"/>
          <w:sz w:val="14"/>
          <w:szCs w:val="14"/>
          <w:color w:val="auto"/>
        </w:rPr>
        <w:t>[Signature page follows.]</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MidCap / Aptevo / IP Security Agreement</w:t>
      </w:r>
    </w:p>
    <w:p>
      <w:pPr>
        <w:ind w:left="60"/>
        <w:spacing w:after="0"/>
        <w:rPr>
          <w:sz w:val="20"/>
          <w:szCs w:val="20"/>
          <w:color w:val="auto"/>
        </w:rPr>
      </w:pPr>
      <w:r>
        <w:rPr>
          <w:rFonts w:ascii="Arial" w:cs="Arial" w:eastAsia="Arial" w:hAnsi="Arial"/>
          <w:sz w:val="10"/>
          <w:szCs w:val="10"/>
          <w:color w:val="auto"/>
        </w:rPr>
        <w:t>\\DC - 036639/000031 - 10307000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323215</wp:posOffset>
            </wp:positionV>
            <wp:extent cx="732409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340"/>
          </w:cols>
          <w:pgMar w:left="240" w:top="165" w:right="319" w:bottom="1440" w:gutter="0" w:footer="0" w:header="0"/>
        </w:sectPr>
      </w:pPr>
    </w:p>
    <w:bookmarkStart w:id="170" w:name="page171"/>
    <w:bookmarkEnd w:id="170"/>
    <w:p>
      <w:pPr>
        <w:ind w:left="1040" w:firstLine="690"/>
        <w:spacing w:after="0" w:line="279" w:lineRule="auto"/>
        <w:rPr>
          <w:sz w:val="20"/>
          <w:szCs w:val="20"/>
          <w:color w:val="auto"/>
        </w:rPr>
      </w:pPr>
      <w:r>
        <w:rPr>
          <w:rFonts w:ascii="Arial" w:cs="Arial" w:eastAsia="Arial" w:hAnsi="Arial"/>
          <w:sz w:val="13"/>
          <w:szCs w:val="13"/>
          <w:color w:val="2F3431"/>
        </w:rPr>
        <w:t>IN WITNESS WHEREOF, the parties have caused this Intellectual Property Security Agreement to be duly executed by its officers thereunto duly authorized as of the first date written above.</w:t>
      </w:r>
    </w:p>
    <w:p>
      <w:pPr>
        <w:spacing w:after="0" w:line="187" w:lineRule="exact"/>
        <w:rPr>
          <w:sz w:val="20"/>
          <w:szCs w:val="20"/>
          <w:color w:val="auto"/>
        </w:rPr>
      </w:pPr>
    </w:p>
    <w:p>
      <w:pPr>
        <w:ind w:left="1040"/>
        <w:spacing w:after="0"/>
        <w:tabs>
          <w:tab w:leader="none" w:pos="4300" w:val="left"/>
        </w:tabs>
        <w:rPr>
          <w:sz w:val="20"/>
          <w:szCs w:val="20"/>
          <w:color w:val="auto"/>
        </w:rPr>
      </w:pPr>
      <w:r>
        <w:rPr>
          <w:rFonts w:ascii="Arial" w:cs="Arial" w:eastAsia="Arial" w:hAnsi="Arial"/>
          <w:sz w:val="14"/>
          <w:szCs w:val="14"/>
          <w:b w:val="1"/>
          <w:bCs w:val="1"/>
          <w:color w:val="2F3431"/>
        </w:rPr>
        <w:t>GRANTORS:</w:t>
      </w:r>
      <w:r>
        <w:rPr>
          <w:sz w:val="20"/>
          <w:szCs w:val="20"/>
          <w:color w:val="auto"/>
        </w:rPr>
        <w:tab/>
      </w:r>
      <w:r>
        <w:rPr>
          <w:rFonts w:ascii="Arial" w:cs="Arial" w:eastAsia="Arial" w:hAnsi="Arial"/>
          <w:sz w:val="14"/>
          <w:szCs w:val="14"/>
          <w:b w:val="1"/>
          <w:bCs w:val="1"/>
          <w:color w:val="auto"/>
        </w:rPr>
        <w:t>APTEVO THERAPEUTICS INC.</w:t>
      </w:r>
    </w:p>
    <w:p>
      <w:pPr>
        <w:spacing w:after="0" w:line="397"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Title: Treasurer</w:t>
      </w: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APTEVO BIOTHERAPEUTICS LLC</w:t>
      </w:r>
    </w:p>
    <w:p>
      <w:pPr>
        <w:spacing w:after="0" w:line="397"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Title: Treasurer</w:t>
      </w:r>
    </w:p>
    <w:p>
      <w:pPr>
        <w:spacing w:after="0" w:line="21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APTEVO RESEARCH AND</w:t>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DEVELOPMENT LLC</w:t>
      </w:r>
    </w:p>
    <w:p>
      <w:pPr>
        <w:spacing w:after="0" w:line="152"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/s/Jeff Lamothe</w:t>
      </w:r>
    </w:p>
    <w:p>
      <w:pPr>
        <w:spacing w:after="0" w:line="13"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Name: Jeff Lamothe</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color w:val="2F3431"/>
        </w:rPr>
        <w:t>MidCap / Aptevo / IP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254635</wp:posOffset>
            </wp:positionV>
            <wp:extent cx="732409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160"/>
          </w:cols>
          <w:pgMar w:left="240" w:top="209" w:right="499" w:bottom="1440" w:gutter="0" w:footer="0" w:header="0"/>
        </w:sectPr>
      </w:pPr>
    </w:p>
    <w:bookmarkStart w:id="171" w:name="page172"/>
    <w:bookmarkEnd w:id="171"/>
    <w:p>
      <w:pPr>
        <w:spacing w:after="0"/>
        <w:tabs>
          <w:tab w:leader="none" w:pos="1140" w:val="left"/>
        </w:tabs>
        <w:rPr>
          <w:sz w:val="20"/>
          <w:szCs w:val="20"/>
          <w:color w:val="auto"/>
        </w:rPr>
      </w:pPr>
      <w:r>
        <w:rPr>
          <w:rFonts w:ascii="Arial" w:cs="Arial" w:eastAsia="Arial" w:hAnsi="Arial"/>
          <w:sz w:val="13"/>
          <w:szCs w:val="13"/>
          <w:b w:val="1"/>
          <w:bCs w:val="1"/>
          <w:color w:val="131313"/>
        </w:rPr>
        <w:t>AGENT:</w:t>
      </w:r>
      <w:r>
        <w:rPr>
          <w:sz w:val="20"/>
          <w:szCs w:val="20"/>
          <w:color w:val="auto"/>
        </w:rPr>
        <w:tab/>
      </w:r>
      <w:r>
        <w:rPr>
          <w:rFonts w:ascii="Arial" w:cs="Arial" w:eastAsia="Arial" w:hAnsi="Arial"/>
          <w:sz w:val="14"/>
          <w:szCs w:val="14"/>
          <w:b w:val="1"/>
          <w:bCs w:val="1"/>
          <w:color w:val="auto"/>
        </w:rPr>
        <w:t>MIDCAP FINANCIAL TRUST</w:t>
      </w:r>
    </w:p>
    <w:p>
      <w:pPr>
        <w:spacing w:after="0" w:line="16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By: Apollo Capital Management, L.P.,</w:t>
      </w:r>
    </w:p>
    <w:p>
      <w:pPr>
        <w:spacing w:after="0" w:line="13"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its investment manager</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By: Apollo Capital Management GP, LLC,</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its general partner</w:t>
      </w:r>
    </w:p>
    <w:p>
      <w:pPr>
        <w:spacing w:after="0" w:line="3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/s/Maurice Amsellem</w:t>
      </w:r>
    </w:p>
    <w:p>
      <w:pPr>
        <w:spacing w:after="0" w:line="1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Name: Maurice Amsellem</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Title:  Authorized Signatory</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0"/>
          <w:szCs w:val="10"/>
          <w:color w:val="010101"/>
        </w:rPr>
        <w:t xml:space="preserve">MidCap / Aptevo </w:t>
      </w:r>
      <w:r>
        <w:rPr>
          <w:rFonts w:ascii="Arial" w:cs="Arial" w:eastAsia="Arial" w:hAnsi="Arial"/>
          <w:sz w:val="10"/>
          <w:szCs w:val="10"/>
          <w:color w:val="131313"/>
        </w:rPr>
        <w:t>/</w:t>
      </w:r>
      <w:r>
        <w:rPr>
          <w:rFonts w:ascii="Arial" w:cs="Arial" w:eastAsia="Arial" w:hAnsi="Arial"/>
          <w:sz w:val="10"/>
          <w:szCs w:val="10"/>
          <w:color w:val="010101"/>
        </w:rPr>
        <w:t xml:space="preserve"> IP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254635</wp:posOffset>
            </wp:positionV>
            <wp:extent cx="732409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90" w:right="1440"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EXHIBIT A</w:t>
            </w:r>
          </w:p>
        </w:tc>
        <w:tc>
          <w:tcPr>
            <w:tcW w:w="5100" w:type="dxa"/>
            <w:vAlign w:val="bottom"/>
            <w:gridSpan w:val="3"/>
          </w:tcPr>
          <w:p>
            <w:pPr>
              <w:spacing w:after="0"/>
              <w:rPr>
                <w:sz w:val="14"/>
                <w:szCs w:val="14"/>
                <w:color w:val="auto"/>
              </w:rPr>
            </w:pPr>
          </w:p>
        </w:tc>
      </w:tr>
      <w:tr>
        <w:trPr>
          <w:trHeight w:val="318"/>
        </w:trPr>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00" w:type="dxa"/>
            <w:vAlign w:val="bottom"/>
            <w:gridSpan w:val="5"/>
          </w:tcPr>
          <w:p>
            <w:pPr>
              <w:ind w:left="40"/>
              <w:spacing w:after="0"/>
              <w:rPr>
                <w:sz w:val="20"/>
                <w:szCs w:val="20"/>
                <w:color w:val="auto"/>
              </w:rPr>
            </w:pPr>
            <w:r>
              <w:rPr>
                <w:rFonts w:ascii="Arial" w:cs="Arial" w:eastAsia="Arial" w:hAnsi="Arial"/>
                <w:sz w:val="14"/>
                <w:szCs w:val="14"/>
                <w:color w:val="auto"/>
              </w:rPr>
              <w:t>Copyrights</w:t>
            </w:r>
          </w:p>
        </w:tc>
      </w:tr>
      <w:tr>
        <w:trPr>
          <w:trHeight w:val="684"/>
        </w:trPr>
        <w:tc>
          <w:tcPr>
            <w:tcW w:w="3280" w:type="dxa"/>
            <w:vAlign w:val="bottom"/>
            <w:gridSpan w:val="3"/>
          </w:tcPr>
          <w:p>
            <w:pPr>
              <w:ind w:left="680"/>
              <w:spacing w:after="0"/>
              <w:rPr>
                <w:sz w:val="20"/>
                <w:szCs w:val="20"/>
                <w:color w:val="auto"/>
              </w:rPr>
            </w:pPr>
            <w:r>
              <w:rPr>
                <w:rFonts w:ascii="Arial" w:cs="Arial" w:eastAsia="Arial" w:hAnsi="Arial"/>
                <w:sz w:val="14"/>
                <w:szCs w:val="14"/>
                <w:color w:val="auto"/>
              </w:rPr>
              <w:t>Description</w:t>
            </w:r>
          </w:p>
        </w:tc>
        <w:tc>
          <w:tcPr>
            <w:tcW w:w="8220" w:type="dxa"/>
            <w:vAlign w:val="bottom"/>
            <w:gridSpan w:val="6"/>
          </w:tcPr>
          <w:p>
            <w:pPr>
              <w:ind w:left="1940"/>
              <w:spacing w:after="0"/>
              <w:rPr>
                <w:sz w:val="20"/>
                <w:szCs w:val="20"/>
                <w:color w:val="auto"/>
              </w:rPr>
            </w:pPr>
            <w:r>
              <w:rPr>
                <w:rFonts w:ascii="Arial" w:cs="Arial" w:eastAsia="Arial" w:hAnsi="Arial"/>
                <w:sz w:val="14"/>
                <w:szCs w:val="14"/>
                <w:color w:val="auto"/>
              </w:rPr>
              <w:t>Registration/</w:t>
            </w:r>
          </w:p>
        </w:tc>
      </w:tr>
      <w:tr>
        <w:trPr>
          <w:trHeight w:val="133"/>
        </w:trPr>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8220" w:type="dxa"/>
            <w:vAlign w:val="bottom"/>
            <w:gridSpan w:val="6"/>
          </w:tcPr>
          <w:p>
            <w:pPr>
              <w:jc w:val="right"/>
              <w:ind w:right="5100"/>
              <w:spacing w:after="0" w:line="133" w:lineRule="exact"/>
              <w:rPr>
                <w:sz w:val="20"/>
                <w:szCs w:val="20"/>
                <w:color w:val="auto"/>
              </w:rPr>
            </w:pPr>
            <w:r>
              <w:rPr>
                <w:rFonts w:ascii="Arial" w:cs="Arial" w:eastAsia="Arial" w:hAnsi="Arial"/>
                <w:sz w:val="14"/>
                <w:szCs w:val="14"/>
                <w:color w:val="auto"/>
              </w:rPr>
              <w:t>Application Number</w:t>
            </w:r>
          </w:p>
        </w:tc>
      </w:tr>
      <w:tr>
        <w:trPr>
          <w:trHeight w:val="238"/>
        </w:trPr>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100" w:type="dxa"/>
            <w:vAlign w:val="bottom"/>
            <w:gridSpan w:val="3"/>
          </w:tcPr>
          <w:p>
            <w:pPr>
              <w:ind w:left="2220"/>
              <w:spacing w:after="0"/>
              <w:rPr>
                <w:sz w:val="20"/>
                <w:szCs w:val="20"/>
                <w:color w:val="auto"/>
              </w:rPr>
            </w:pPr>
            <w:r>
              <w:rPr>
                <w:rFonts w:ascii="Arial" w:cs="Arial" w:eastAsia="Arial" w:hAnsi="Arial"/>
                <w:sz w:val="14"/>
                <w:szCs w:val="14"/>
                <w:color w:val="auto"/>
              </w:rPr>
              <w:t>Registration/ Application Date</w:t>
            </w:r>
          </w:p>
        </w:tc>
      </w:tr>
      <w:tr>
        <w:trPr>
          <w:trHeight w:val="433"/>
        </w:trPr>
        <w:tc>
          <w:tcPr>
            <w:tcW w:w="680" w:type="dxa"/>
            <w:vAlign w:val="bottom"/>
          </w:tcPr>
          <w:p>
            <w:pPr>
              <w:spacing w:after="0"/>
              <w:rPr>
                <w:sz w:val="24"/>
                <w:szCs w:val="24"/>
                <w:color w:val="auto"/>
              </w:rPr>
            </w:pPr>
          </w:p>
        </w:tc>
        <w:tc>
          <w:tcPr>
            <w:tcW w:w="2600" w:type="dxa"/>
            <w:vAlign w:val="bottom"/>
            <w:gridSpan w:val="2"/>
          </w:tcPr>
          <w:p>
            <w:pPr>
              <w:ind w:left="220"/>
              <w:spacing w:after="0"/>
              <w:rPr>
                <w:sz w:val="20"/>
                <w:szCs w:val="20"/>
                <w:color w:val="auto"/>
              </w:rPr>
            </w:pPr>
            <w:r>
              <w:rPr>
                <w:rFonts w:ascii="Arial" w:cs="Arial" w:eastAsia="Arial" w:hAnsi="Arial"/>
                <w:sz w:val="14"/>
                <w:szCs w:val="14"/>
                <w:color w:val="auto"/>
              </w:rPr>
              <w:t>None.</w:t>
            </w: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483"/>
        </w:trPr>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51" w:right="17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EXHIBIT B</w:t>
            </w:r>
          </w:p>
        </w:tc>
        <w:tc>
          <w:tcPr>
            <w:tcW w:w="5100" w:type="dxa"/>
            <w:vAlign w:val="bottom"/>
            <w:gridSpan w:val="4"/>
          </w:tcPr>
          <w:p>
            <w:pPr>
              <w:spacing w:after="0"/>
              <w:rPr>
                <w:sz w:val="14"/>
                <w:szCs w:val="14"/>
                <w:color w:val="auto"/>
              </w:rPr>
            </w:pPr>
          </w:p>
        </w:tc>
      </w:tr>
      <w:tr>
        <w:trPr>
          <w:trHeight w:val="318"/>
        </w:trPr>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0" w:type="dxa"/>
            <w:vAlign w:val="bottom"/>
            <w:gridSpan w:val="6"/>
          </w:tcPr>
          <w:p>
            <w:pPr>
              <w:ind w:left="140"/>
              <w:spacing w:after="0"/>
              <w:rPr>
                <w:sz w:val="20"/>
                <w:szCs w:val="20"/>
                <w:color w:val="auto"/>
              </w:rPr>
            </w:pPr>
            <w:r>
              <w:rPr>
                <w:rFonts w:ascii="Arial" w:cs="Arial" w:eastAsia="Arial" w:hAnsi="Arial"/>
                <w:sz w:val="14"/>
                <w:szCs w:val="14"/>
                <w:color w:val="auto"/>
              </w:rPr>
              <w:t>Patents</w:t>
            </w:r>
          </w:p>
        </w:tc>
      </w:tr>
      <w:tr>
        <w:trPr>
          <w:trHeight w:val="684"/>
        </w:trPr>
        <w:tc>
          <w:tcPr>
            <w:tcW w:w="3480" w:type="dxa"/>
            <w:vAlign w:val="bottom"/>
            <w:gridSpan w:val="3"/>
          </w:tcPr>
          <w:p>
            <w:pPr>
              <w:ind w:left="680"/>
              <w:spacing w:after="0"/>
              <w:rPr>
                <w:sz w:val="20"/>
                <w:szCs w:val="20"/>
                <w:color w:val="auto"/>
              </w:rPr>
            </w:pPr>
            <w:r>
              <w:rPr>
                <w:rFonts w:ascii="Arial" w:cs="Arial" w:eastAsia="Arial" w:hAnsi="Arial"/>
                <w:sz w:val="14"/>
                <w:szCs w:val="14"/>
                <w:color w:val="auto"/>
              </w:rPr>
              <w:t>Description</w:t>
            </w:r>
          </w:p>
        </w:tc>
        <w:tc>
          <w:tcPr>
            <w:tcW w:w="8020" w:type="dxa"/>
            <w:vAlign w:val="bottom"/>
            <w:gridSpan w:val="7"/>
          </w:tcPr>
          <w:p>
            <w:pPr>
              <w:ind w:left="1740"/>
              <w:spacing w:after="0"/>
              <w:rPr>
                <w:sz w:val="20"/>
                <w:szCs w:val="20"/>
                <w:color w:val="auto"/>
              </w:rPr>
            </w:pPr>
            <w:r>
              <w:rPr>
                <w:rFonts w:ascii="Arial" w:cs="Arial" w:eastAsia="Arial" w:hAnsi="Arial"/>
                <w:sz w:val="14"/>
                <w:szCs w:val="14"/>
                <w:color w:val="auto"/>
              </w:rPr>
              <w:t>Registration/</w:t>
            </w:r>
          </w:p>
        </w:tc>
      </w:tr>
      <w:tr>
        <w:trPr>
          <w:trHeight w:val="133"/>
        </w:trPr>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8020" w:type="dxa"/>
            <w:vAlign w:val="bottom"/>
            <w:gridSpan w:val="7"/>
          </w:tcPr>
          <w:p>
            <w:pPr>
              <w:jc w:val="right"/>
              <w:ind w:right="5100"/>
              <w:spacing w:after="0" w:line="133" w:lineRule="exact"/>
              <w:rPr>
                <w:sz w:val="20"/>
                <w:szCs w:val="20"/>
                <w:color w:val="auto"/>
              </w:rPr>
            </w:pPr>
            <w:r>
              <w:rPr>
                <w:rFonts w:ascii="Arial" w:cs="Arial" w:eastAsia="Arial" w:hAnsi="Arial"/>
                <w:sz w:val="14"/>
                <w:szCs w:val="14"/>
                <w:color w:val="auto"/>
              </w:rPr>
              <w:t>Application Number</w:t>
            </w:r>
          </w:p>
        </w:tc>
      </w:tr>
      <w:tr>
        <w:trPr>
          <w:trHeight w:val="238"/>
        </w:trPr>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80" w:type="dxa"/>
            <w:vAlign w:val="bottom"/>
            <w:gridSpan w:val="3"/>
          </w:tcPr>
          <w:p>
            <w:pPr>
              <w:ind w:left="2200"/>
              <w:spacing w:after="0"/>
              <w:rPr>
                <w:sz w:val="20"/>
                <w:szCs w:val="20"/>
                <w:color w:val="auto"/>
              </w:rPr>
            </w:pPr>
            <w:r>
              <w:rPr>
                <w:rFonts w:ascii="Arial" w:cs="Arial" w:eastAsia="Arial" w:hAnsi="Arial"/>
                <w:sz w:val="14"/>
                <w:szCs w:val="14"/>
                <w:color w:val="auto"/>
              </w:rPr>
              <w:t>Registration/ Application Date</w:t>
            </w:r>
          </w:p>
        </w:tc>
      </w:tr>
      <w:tr>
        <w:trPr>
          <w:trHeight w:val="433"/>
        </w:trPr>
        <w:tc>
          <w:tcPr>
            <w:tcW w:w="680" w:type="dxa"/>
            <w:vAlign w:val="bottom"/>
          </w:tcPr>
          <w:p>
            <w:pPr>
              <w:spacing w:after="0"/>
              <w:rPr>
                <w:sz w:val="24"/>
                <w:szCs w:val="24"/>
                <w:color w:val="auto"/>
              </w:rPr>
            </w:pPr>
          </w:p>
        </w:tc>
        <w:tc>
          <w:tcPr>
            <w:tcW w:w="2800" w:type="dxa"/>
            <w:vAlign w:val="bottom"/>
            <w:gridSpan w:val="2"/>
          </w:tcPr>
          <w:p>
            <w:pPr>
              <w:ind w:left="220"/>
              <w:spacing w:after="0"/>
              <w:rPr>
                <w:sz w:val="20"/>
                <w:szCs w:val="20"/>
                <w:color w:val="auto"/>
              </w:rPr>
            </w:pPr>
            <w:r>
              <w:rPr>
                <w:rFonts w:ascii="Arial" w:cs="Arial" w:eastAsia="Arial" w:hAnsi="Arial"/>
                <w:sz w:val="14"/>
                <w:szCs w:val="14"/>
                <w:color w:val="auto"/>
              </w:rPr>
              <w:t>[See attached.]</w:t>
            </w: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483"/>
        </w:trPr>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51" w:right="179" w:bottom="1440" w:gutter="0" w:footer="0" w:header="0"/>
        </w:sectPr>
      </w:pPr>
    </w:p>
    <w:bookmarkStart w:id="174" w:name="page175"/>
    <w:bookmarkEnd w:id="174"/>
    <w:p>
      <w:pPr>
        <w:ind w:left="620"/>
        <w:spacing w:after="0"/>
        <w:rPr>
          <w:sz w:val="20"/>
          <w:szCs w:val="20"/>
          <w:color w:val="auto"/>
        </w:rPr>
      </w:pPr>
      <w:r>
        <w:rPr>
          <w:rFonts w:ascii="Arial" w:cs="Arial" w:eastAsia="Arial" w:hAnsi="Arial"/>
          <w:sz w:val="14"/>
          <w:szCs w:val="14"/>
          <w:b w:val="1"/>
          <w:bCs w:val="1"/>
          <w:u w:val="single" w:color="auto"/>
          <w:color w:val="auto"/>
        </w:rPr>
        <w:t>Dated: July 30, 2018</w:t>
      </w:r>
    </w:p>
    <w:p>
      <w:pPr>
        <w:spacing w:after="0" w:line="156" w:lineRule="exact"/>
        <w:rPr>
          <w:sz w:val="20"/>
          <w:szCs w:val="20"/>
          <w:color w:val="auto"/>
        </w:rPr>
      </w:pPr>
    </w:p>
    <w:p>
      <w:pPr>
        <w:ind w:left="940" w:hanging="320"/>
        <w:spacing w:after="0"/>
        <w:tabs>
          <w:tab w:leader="none" w:pos="940"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FIX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5613400" cy="10731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13400" cy="107315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3"/>
          <w:szCs w:val="13"/>
          <w:b w:val="1"/>
          <w:bCs w:val="1"/>
          <w:color w:val="auto"/>
        </w:rPr>
        <w:t>rPROTEIN</w:t>
      </w:r>
    </w:p>
    <w:p>
      <w:pPr>
        <w:spacing w:after="0" w:line="2" w:lineRule="exact"/>
        <w:rPr>
          <w:sz w:val="20"/>
          <w:szCs w:val="20"/>
          <w:color w:val="auto"/>
        </w:rPr>
      </w:pPr>
    </w:p>
    <w:p>
      <w:pPr>
        <w:jc w:val="center"/>
        <w:ind w:right="1259"/>
        <w:spacing w:after="0"/>
        <w:rPr>
          <w:sz w:val="20"/>
          <w:szCs w:val="20"/>
          <w:color w:val="auto"/>
        </w:rPr>
      </w:pPr>
      <w:r>
        <w:rPr>
          <w:rFonts w:ascii="Arial" w:cs="Arial" w:eastAsia="Arial" w:hAnsi="Arial"/>
          <w:sz w:val="13"/>
          <w:szCs w:val="13"/>
          <w:b w:val="1"/>
          <w:bCs w:val="1"/>
          <w:color w:val="auto"/>
        </w:rPr>
        <w:t>Method of producing biologically active vitamin K dependent proteins by recombinant methods</w:t>
      </w:r>
    </w:p>
    <w:p>
      <w:pPr>
        <w:spacing w:after="0" w:line="14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APVO.40900</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Country</w:t>
            </w:r>
          </w:p>
        </w:tc>
        <w:tc>
          <w:tcPr>
            <w:tcW w:w="5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3"/>
                <w:szCs w:val="13"/>
                <w:b w:val="1"/>
                <w:bCs w:val="1"/>
                <w:color w:val="auto"/>
                <w:w w:val="89"/>
              </w:rPr>
              <w:t>Subcase</w:t>
            </w:r>
          </w:p>
        </w:tc>
        <w:tc>
          <w:tcPr>
            <w:tcW w:w="4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w w:val="89"/>
              </w:rPr>
              <w:t>Case Type</w:t>
            </w:r>
          </w:p>
        </w:tc>
        <w:tc>
          <w:tcPr>
            <w:tcW w:w="13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w w:val="99"/>
              </w:rPr>
              <w:t>Application Status</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Application</w:t>
            </w:r>
          </w:p>
        </w:tc>
        <w:tc>
          <w:tcPr>
            <w:tcW w:w="9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1040" w:type="dxa"/>
            <w:vAlign w:val="bottom"/>
            <w:tcBorders>
              <w:top w:val="single" w:sz="8" w:color="auto"/>
              <w:right w:val="single" w:sz="8" w:color="auto"/>
            </w:tcBorders>
            <w:vMerge w:val="restart"/>
          </w:tcPr>
          <w:p>
            <w:pPr>
              <w:jc w:val="right"/>
              <w:ind w:right="56"/>
              <w:spacing w:after="0"/>
              <w:rPr>
                <w:sz w:val="20"/>
                <w:szCs w:val="20"/>
                <w:color w:val="auto"/>
              </w:rPr>
            </w:pPr>
            <w:r>
              <w:rPr>
                <w:rFonts w:ascii="Arial" w:cs="Arial" w:eastAsia="Arial" w:hAnsi="Arial"/>
                <w:sz w:val="13"/>
                <w:szCs w:val="13"/>
                <w:b w:val="1"/>
                <w:bCs w:val="1"/>
                <w:color w:val="auto"/>
                <w:w w:val="97"/>
              </w:rPr>
              <w:t>Patent Number</w:t>
            </w: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ind w:left="28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46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Number</w:t>
            </w:r>
          </w:p>
        </w:tc>
        <w:tc>
          <w:tcPr>
            <w:tcW w:w="90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6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60" w:type="dxa"/>
            <w:vAlign w:val="bottom"/>
          </w:tcPr>
          <w:p>
            <w:pPr>
              <w:jc w:val="right"/>
              <w:ind w:right="444"/>
              <w:spacing w:after="0"/>
              <w:rPr>
                <w:sz w:val="20"/>
                <w:szCs w:val="20"/>
                <w:color w:val="auto"/>
              </w:rPr>
            </w:pPr>
            <w:r>
              <w:rPr>
                <w:rFonts w:ascii="Arial" w:cs="Arial" w:eastAsia="Arial" w:hAnsi="Arial"/>
                <w:sz w:val="10"/>
                <w:szCs w:val="10"/>
                <w:color w:val="auto"/>
                <w:w w:val="71"/>
              </w:rPr>
              <w:t>3</w:t>
            </w:r>
          </w:p>
        </w:tc>
        <w:tc>
          <w:tcPr>
            <w:tcW w:w="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820" w:type="dxa"/>
            <w:vAlign w:val="bottom"/>
            <w:tcBorders>
              <w:right w:val="single" w:sz="8" w:color="auto"/>
            </w:tcBorders>
          </w:tcPr>
          <w:p>
            <w:pPr>
              <w:jc w:val="right"/>
              <w:ind w:right="176"/>
              <w:spacing w:after="0"/>
              <w:rPr>
                <w:sz w:val="20"/>
                <w:szCs w:val="20"/>
                <w:color w:val="auto"/>
              </w:rPr>
            </w:pPr>
            <w:r>
              <w:rPr>
                <w:rFonts w:ascii="Arial" w:cs="Arial" w:eastAsia="Arial" w:hAnsi="Arial"/>
                <w:sz w:val="13"/>
                <w:szCs w:val="13"/>
                <w:color w:val="auto"/>
                <w:w w:val="86"/>
              </w:rPr>
              <w:t>15/875,373</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19-Jan-2018</w:t>
            </w:r>
          </w:p>
        </w:tc>
        <w:tc>
          <w:tcPr>
            <w:tcW w:w="10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8"/>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60" w:type="dxa"/>
            <w:vAlign w:val="bottom"/>
            <w:tcBorders>
              <w:left w:val="single" w:sz="8" w:color="auto"/>
            </w:tcBorders>
          </w:tcPr>
          <w:p>
            <w:pPr>
              <w:spacing w:after="0"/>
              <w:rPr>
                <w:sz w:val="13"/>
                <w:szCs w:val="13"/>
                <w:color w:val="auto"/>
              </w:rPr>
            </w:pPr>
          </w:p>
        </w:tc>
        <w:tc>
          <w:tcPr>
            <w:tcW w:w="5960" w:type="dxa"/>
            <w:vAlign w:val="bottom"/>
            <w:gridSpan w:val="8"/>
          </w:tcPr>
          <w:p>
            <w:pPr>
              <w:ind w:left="520"/>
              <w:spacing w:after="0"/>
              <w:rPr>
                <w:sz w:val="20"/>
                <w:szCs w:val="20"/>
                <w:color w:val="auto"/>
              </w:rPr>
            </w:pPr>
            <w:r>
              <w:rPr>
                <w:rFonts w:ascii="Arial" w:cs="Arial" w:eastAsia="Arial" w:hAnsi="Arial"/>
                <w:sz w:val="13"/>
                <w:szCs w:val="13"/>
                <w:b w:val="1"/>
                <w:bCs w:val="1"/>
                <w:color w:val="auto"/>
              </w:rPr>
              <w:t>METHOD OF PRODUCING RECOMBINANT VITAMIN K DEPENDENT PROTEINS</w:t>
            </w:r>
          </w:p>
        </w:tc>
        <w:tc>
          <w:tcPr>
            <w:tcW w:w="14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140" w:type="dxa"/>
            <w:vAlign w:val="bottom"/>
            <w:gridSpan w:val="2"/>
          </w:tcPr>
          <w:p>
            <w:pPr>
              <w:jc w:val="right"/>
              <w:ind w:right="656"/>
              <w:spacing w:after="0"/>
              <w:rPr>
                <w:sz w:val="20"/>
                <w:szCs w:val="20"/>
                <w:color w:val="auto"/>
              </w:rPr>
            </w:pPr>
            <w:r>
              <w:rPr>
                <w:rFonts w:ascii="Arial" w:cs="Arial" w:eastAsia="Arial" w:hAnsi="Arial"/>
                <w:sz w:val="13"/>
                <w:szCs w:val="13"/>
                <w:b w:val="1"/>
                <w:bCs w:val="1"/>
                <w:color w:val="auto"/>
              </w:rPr>
              <w:t>APVO.40901</w:t>
            </w: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460" w:type="dxa"/>
            <w:vAlign w:val="bottom"/>
            <w:tcBorders>
              <w:left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Country</w:t>
            </w:r>
          </w:p>
        </w:tc>
        <w:tc>
          <w:tcPr>
            <w:tcW w:w="560" w:type="dxa"/>
            <w:vAlign w:val="bottom"/>
            <w:tcBorders>
              <w:right w:val="single" w:sz="8" w:color="auto"/>
            </w:tcBorders>
            <w:vMerge w:val="restart"/>
          </w:tcPr>
          <w:p>
            <w:pPr>
              <w:jc w:val="right"/>
              <w:ind w:right="4"/>
              <w:spacing w:after="0"/>
              <w:rPr>
                <w:sz w:val="20"/>
                <w:szCs w:val="20"/>
                <w:color w:val="auto"/>
              </w:rPr>
            </w:pPr>
            <w:r>
              <w:rPr>
                <w:rFonts w:ascii="Arial" w:cs="Arial" w:eastAsia="Arial" w:hAnsi="Arial"/>
                <w:sz w:val="13"/>
                <w:szCs w:val="13"/>
                <w:b w:val="1"/>
                <w:bCs w:val="1"/>
                <w:color w:val="auto"/>
                <w:w w:val="89"/>
              </w:rPr>
              <w:t>Subcase</w:t>
            </w:r>
          </w:p>
        </w:tc>
        <w:tc>
          <w:tcPr>
            <w:tcW w:w="40" w:type="dxa"/>
            <w:vAlign w:val="bottom"/>
          </w:tcPr>
          <w:p>
            <w:pPr>
              <w:spacing w:after="0"/>
              <w:rPr>
                <w:sz w:val="11"/>
                <w:szCs w:val="11"/>
                <w:color w:val="auto"/>
              </w:rPr>
            </w:pPr>
          </w:p>
        </w:tc>
        <w:tc>
          <w:tcPr>
            <w:tcW w:w="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w w:val="92"/>
              </w:rPr>
              <w:t>Case Type</w:t>
            </w:r>
          </w:p>
        </w:tc>
        <w:tc>
          <w:tcPr>
            <w:tcW w:w="13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3"/>
                <w:szCs w:val="13"/>
                <w:b w:val="1"/>
                <w:bCs w:val="1"/>
                <w:color w:val="auto"/>
              </w:rPr>
              <w:t>Application Status</w:t>
            </w:r>
          </w:p>
        </w:tc>
        <w:tc>
          <w:tcPr>
            <w:tcW w:w="820" w:type="dxa"/>
            <w:vAlign w:val="bottom"/>
            <w:tcBorders>
              <w:right w:val="single" w:sz="8" w:color="auto"/>
            </w:tcBorders>
          </w:tcPr>
          <w:p>
            <w:pPr>
              <w:jc w:val="center"/>
              <w:ind w:right="16"/>
              <w:spacing w:after="0" w:line="129" w:lineRule="exact"/>
              <w:rPr>
                <w:sz w:val="20"/>
                <w:szCs w:val="20"/>
                <w:color w:val="auto"/>
              </w:rPr>
            </w:pPr>
            <w:r>
              <w:rPr>
                <w:rFonts w:ascii="Arial" w:cs="Arial" w:eastAsia="Arial" w:hAnsi="Arial"/>
                <w:sz w:val="13"/>
                <w:szCs w:val="13"/>
                <w:b w:val="1"/>
                <w:bCs w:val="1"/>
                <w:color w:val="auto"/>
                <w:w w:val="87"/>
              </w:rPr>
              <w:t>Application</w:t>
            </w:r>
          </w:p>
        </w:tc>
        <w:tc>
          <w:tcPr>
            <w:tcW w:w="90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Patent Number</w:t>
            </w:r>
          </w:p>
        </w:tc>
        <w:tc>
          <w:tcPr>
            <w:tcW w:w="14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460" w:type="dxa"/>
            <w:vAlign w:val="bottom"/>
            <w:tcBorders>
              <w:left w:val="single" w:sz="8" w:color="auto"/>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restart"/>
          </w:tcPr>
          <w:p>
            <w:pPr>
              <w:jc w:val="center"/>
              <w:ind w:right="16"/>
              <w:spacing w:after="0"/>
              <w:rPr>
                <w:sz w:val="20"/>
                <w:szCs w:val="20"/>
                <w:color w:val="auto"/>
              </w:rPr>
            </w:pPr>
            <w:r>
              <w:rPr>
                <w:rFonts w:ascii="Arial" w:cs="Arial" w:eastAsia="Arial" w:hAnsi="Arial"/>
                <w:sz w:val="13"/>
                <w:szCs w:val="13"/>
                <w:b w:val="1"/>
                <w:bCs w:val="1"/>
                <w:color w:val="auto"/>
                <w:w w:val="93"/>
              </w:rPr>
              <w:t>Number</w:t>
            </w:r>
          </w:p>
        </w:tc>
        <w:tc>
          <w:tcPr>
            <w:tcW w:w="900" w:type="dxa"/>
            <w:vAlign w:val="bottom"/>
            <w:tcBorders>
              <w:right w:val="single" w:sz="8" w:color="auto"/>
            </w:tcBorders>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6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gridSpan w:val="2"/>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APVO.40901</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60" w:type="dxa"/>
            <w:vAlign w:val="bottom"/>
            <w:tcBorders>
              <w:right w:val="single" w:sz="8" w:color="auto"/>
            </w:tcBorders>
          </w:tcPr>
          <w:p>
            <w:pPr>
              <w:jc w:val="right"/>
              <w:ind w:right="444"/>
              <w:spacing w:after="0"/>
              <w:rPr>
                <w:sz w:val="20"/>
                <w:szCs w:val="20"/>
                <w:color w:val="auto"/>
              </w:rPr>
            </w:pPr>
            <w:r>
              <w:rPr>
                <w:rFonts w:ascii="Arial" w:cs="Arial" w:eastAsia="Arial" w:hAnsi="Arial"/>
                <w:sz w:val="10"/>
                <w:szCs w:val="10"/>
                <w:color w:val="auto"/>
                <w:w w:val="71"/>
              </w:rPr>
              <w:t>2</w:t>
            </w: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820" w:type="dxa"/>
            <w:vAlign w:val="bottom"/>
            <w:tcBorders>
              <w:right w:val="single" w:sz="8" w:color="auto"/>
            </w:tcBorders>
          </w:tcPr>
          <w:p>
            <w:pPr>
              <w:jc w:val="right"/>
              <w:ind w:right="196"/>
              <w:spacing w:after="0"/>
              <w:rPr>
                <w:sz w:val="20"/>
                <w:szCs w:val="20"/>
                <w:color w:val="auto"/>
              </w:rPr>
            </w:pPr>
            <w:r>
              <w:rPr>
                <w:rFonts w:ascii="Arial" w:cs="Arial" w:eastAsia="Arial" w:hAnsi="Arial"/>
                <w:sz w:val="13"/>
                <w:szCs w:val="13"/>
                <w:color w:val="auto"/>
                <w:w w:val="82"/>
              </w:rPr>
              <w:t>14/475,881</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03-Sep-2014</w:t>
            </w:r>
          </w:p>
        </w:tc>
        <w:tc>
          <w:tcPr>
            <w:tcW w:w="1040" w:type="dxa"/>
            <w:vAlign w:val="bottom"/>
          </w:tcPr>
          <w:p>
            <w:pPr>
              <w:jc w:val="right"/>
              <w:ind w:right="436"/>
              <w:spacing w:after="0"/>
              <w:rPr>
                <w:sz w:val="20"/>
                <w:szCs w:val="20"/>
                <w:color w:val="auto"/>
              </w:rPr>
            </w:pPr>
            <w:r>
              <w:rPr>
                <w:rFonts w:ascii="Arial" w:cs="Arial" w:eastAsia="Arial" w:hAnsi="Arial"/>
                <w:sz w:val="13"/>
                <w:szCs w:val="13"/>
                <w:color w:val="auto"/>
                <w:w w:val="89"/>
              </w:rPr>
              <w:t>9,587,008</w:t>
            </w:r>
          </w:p>
        </w:tc>
        <w:tc>
          <w:tcPr>
            <w:tcW w:w="14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07-Mar-2017</w:t>
            </w:r>
          </w:p>
        </w:tc>
        <w:tc>
          <w:tcPr>
            <w:tcW w:w="0" w:type="dxa"/>
            <w:vAlign w:val="bottom"/>
          </w:tcPr>
          <w:p>
            <w:pPr>
              <w:spacing w:after="0"/>
              <w:rPr>
                <w:sz w:val="1"/>
                <w:szCs w:val="1"/>
                <w:color w:val="auto"/>
              </w:rPr>
            </w:pPr>
          </w:p>
        </w:tc>
      </w:tr>
      <w:tr>
        <w:trPr>
          <w:trHeight w:val="144"/>
        </w:trPr>
        <w:tc>
          <w:tcPr>
            <w:tcW w:w="14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STABILIZED FACTOR IX FORMULATIONS CONTAINING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5613400" cy="3816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13400" cy="38163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3"/>
          <w:szCs w:val="13"/>
          <w:b w:val="1"/>
          <w:bCs w:val="1"/>
          <w:color w:val="auto"/>
        </w:rPr>
        <w:t>TREHALOSE</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APVO.40902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340995</wp:posOffset>
            </wp:positionV>
            <wp:extent cx="732409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099"/>
          </w:cols>
          <w:pgMar w:left="360" w:top="286" w:right="1440" w:bottom="1440" w:gutter="0" w:footer="0" w:header="0"/>
        </w:sectPr>
      </w:pPr>
    </w:p>
    <w:bookmarkStart w:id="175" w:name="page176"/>
    <w:bookmarkEnd w:id="175"/>
    <w:tbl>
      <w:tblPr>
        <w:tblLayout w:type="fixed"/>
        <w:tblInd w:w="150" w:type="dxa"/>
        <w:tblCellMar>
          <w:top w:w="0" w:type="dxa"/>
          <w:left w:w="0" w:type="dxa"/>
          <w:bottom w:w="0" w:type="dxa"/>
          <w:right w:w="0" w:type="dxa"/>
        </w:tblCellMar>
      </w:tblPr>
      <w:tr>
        <w:trPr>
          <w:trHeight w:val="149"/>
        </w:trPr>
        <w:tc>
          <w:tcPr>
            <w:tcW w:w="1460" w:type="dxa"/>
            <w:vAlign w:val="bottom"/>
            <w:tcBorders>
              <w:top w:val="single" w:sz="8" w:color="auto"/>
              <w:left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Country</w:t>
            </w:r>
          </w:p>
        </w:tc>
        <w:tc>
          <w:tcPr>
            <w:tcW w:w="540" w:type="dxa"/>
            <w:vAlign w:val="bottom"/>
            <w:tcBorders>
              <w:top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w w:val="85"/>
              </w:rPr>
              <w:t>Subcase</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Case Type</w:t>
            </w:r>
          </w:p>
        </w:tc>
        <w:tc>
          <w:tcPr>
            <w:tcW w:w="1200" w:type="dxa"/>
            <w:vAlign w:val="bottom"/>
            <w:tcBorders>
              <w:top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w w:val="94"/>
              </w:rPr>
              <w:t>Application Status</w:t>
            </w:r>
          </w:p>
        </w:tc>
        <w:tc>
          <w:tcPr>
            <w:tcW w:w="840" w:type="dxa"/>
            <w:vAlign w:val="bottom"/>
            <w:tcBorders>
              <w:top w:val="single" w:sz="8" w:color="auto"/>
              <w:right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8"/>
              </w:rPr>
              <w:t>Application</w:t>
            </w:r>
          </w:p>
        </w:tc>
        <w:tc>
          <w:tcPr>
            <w:tcW w:w="7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3"/>
                <w:szCs w:val="13"/>
                <w:b w:val="1"/>
                <w:bCs w:val="1"/>
                <w:color w:val="auto"/>
                <w:w w:val="90"/>
              </w:rPr>
              <w:t>Filing Date</w:t>
            </w:r>
          </w:p>
        </w:tc>
        <w:tc>
          <w:tcPr>
            <w:tcW w:w="14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Patent Number</w:t>
            </w:r>
          </w:p>
        </w:tc>
        <w:tc>
          <w:tcPr>
            <w:tcW w:w="1320" w:type="dxa"/>
            <w:vAlign w:val="bottom"/>
            <w:tcBorders>
              <w:top w:val="single" w:sz="8" w:color="auto"/>
              <w:right w:val="single" w:sz="8" w:color="auto"/>
            </w:tcBorders>
            <w:gridSpan w:val="2"/>
            <w:vMerge w:val="restart"/>
          </w:tcPr>
          <w:p>
            <w:pPr>
              <w:ind w:left="36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46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gridSpan w:val="2"/>
            <w:vMerge w:val="continue"/>
          </w:tcPr>
          <w:p>
            <w:pPr>
              <w:spacing w:after="0"/>
              <w:rPr>
                <w:sz w:val="7"/>
                <w:szCs w:val="7"/>
                <w:color w:val="auto"/>
              </w:rPr>
            </w:pPr>
          </w:p>
        </w:tc>
        <w:tc>
          <w:tcPr>
            <w:tcW w:w="540" w:type="dxa"/>
            <w:vAlign w:val="bottom"/>
            <w:tcBorders>
              <w:right w:val="single" w:sz="8" w:color="auto"/>
            </w:tcBorders>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right w:val="single" w:sz="8" w:color="auto"/>
            </w:tcBorders>
            <w:gridSpan w:val="2"/>
            <w:vMerge w:val="continue"/>
          </w:tcPr>
          <w:p>
            <w:pPr>
              <w:spacing w:after="0"/>
              <w:rPr>
                <w:sz w:val="7"/>
                <w:szCs w:val="7"/>
                <w:color w:val="auto"/>
              </w:rPr>
            </w:pPr>
          </w:p>
        </w:tc>
        <w:tc>
          <w:tcPr>
            <w:tcW w:w="1200" w:type="dxa"/>
            <w:vAlign w:val="bottom"/>
            <w:tcBorders>
              <w:right w:val="single" w:sz="8" w:color="auto"/>
            </w:tcBorders>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Number</w:t>
            </w:r>
          </w:p>
        </w:tc>
        <w:tc>
          <w:tcPr>
            <w:tcW w:w="780" w:type="dxa"/>
            <w:vAlign w:val="bottom"/>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gridSpan w:val="2"/>
            <w:vMerge w:val="continue"/>
          </w:tcPr>
          <w:p>
            <w:pPr>
              <w:spacing w:after="0"/>
              <w:rPr>
                <w:sz w:val="7"/>
                <w:szCs w:val="7"/>
                <w:color w:val="auto"/>
              </w:rPr>
            </w:pPr>
          </w:p>
        </w:tc>
        <w:tc>
          <w:tcPr>
            <w:tcW w:w="13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6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460" w:type="dxa"/>
            <w:vAlign w:val="bottom"/>
            <w:tcBorders>
              <w:left w:val="single" w:sz="8" w:color="auto"/>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gridSpan w:val="2"/>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US</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2</w:t>
            </w:r>
          </w:p>
        </w:tc>
        <w:tc>
          <w:tcPr>
            <w:tcW w:w="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CON</w:t>
            </w:r>
          </w:p>
        </w:tc>
        <w:tc>
          <w:tcPr>
            <w:tcW w:w="12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Pending</w:t>
            </w:r>
          </w:p>
        </w:tc>
        <w:tc>
          <w:tcPr>
            <w:tcW w:w="840" w:type="dxa"/>
            <w:vAlign w:val="bottom"/>
            <w:tcBorders>
              <w:right w:val="single" w:sz="8" w:color="auto"/>
            </w:tcBorders>
            <w:gridSpan w:val="2"/>
          </w:tcPr>
          <w:p>
            <w:pPr>
              <w:jc w:val="right"/>
              <w:ind w:right="196"/>
              <w:spacing w:after="0"/>
              <w:rPr>
                <w:sz w:val="20"/>
                <w:szCs w:val="20"/>
                <w:color w:val="auto"/>
              </w:rPr>
            </w:pPr>
            <w:r>
              <w:rPr>
                <w:rFonts w:ascii="Arial" w:cs="Arial" w:eastAsia="Arial" w:hAnsi="Arial"/>
                <w:sz w:val="13"/>
                <w:szCs w:val="13"/>
                <w:color w:val="auto"/>
                <w:w w:val="86"/>
              </w:rPr>
              <w:t>16/028,736</w:t>
            </w:r>
          </w:p>
        </w:tc>
        <w:tc>
          <w:tcPr>
            <w:tcW w:w="780" w:type="dxa"/>
            <w:vAlign w:val="bottom"/>
            <w:gridSpan w:val="2"/>
          </w:tcPr>
          <w:p>
            <w:pPr>
              <w:spacing w:after="0"/>
              <w:rPr>
                <w:sz w:val="20"/>
                <w:szCs w:val="20"/>
                <w:color w:val="auto"/>
              </w:rPr>
            </w:pPr>
            <w:r>
              <w:rPr>
                <w:rFonts w:ascii="Arial" w:cs="Arial" w:eastAsia="Arial" w:hAnsi="Arial"/>
                <w:sz w:val="13"/>
                <w:szCs w:val="13"/>
                <w:color w:val="auto"/>
              </w:rPr>
              <w:t>06-July-2018</w:t>
            </w:r>
          </w:p>
        </w:tc>
        <w:tc>
          <w:tcPr>
            <w:tcW w:w="1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6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gridSpan w:val="2"/>
          </w:tcPr>
          <w:p>
            <w:pPr>
              <w:spacing w:after="0"/>
              <w:rPr>
                <w:sz w:val="12"/>
                <w:szCs w:val="12"/>
                <w:color w:val="auto"/>
              </w:rPr>
            </w:pPr>
          </w:p>
        </w:tc>
        <w:tc>
          <w:tcPr>
            <w:tcW w:w="22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gridSpan w:val="2"/>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860" w:type="dxa"/>
            <w:vAlign w:val="bottom"/>
            <w:tcBorders>
              <w:bottom w:val="single" w:sz="8" w:color="auto"/>
            </w:tcBorders>
            <w:gridSpan w:val="20"/>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860" w:type="dxa"/>
            <w:vAlign w:val="bottom"/>
            <w:tcBorders>
              <w:left w:val="single" w:sz="8" w:color="auto"/>
              <w:right w:val="single" w:sz="8" w:color="auto"/>
            </w:tcBorders>
            <w:gridSpan w:val="20"/>
          </w:tcPr>
          <w:p>
            <w:pPr>
              <w:ind w:left="480"/>
              <w:spacing w:after="0"/>
              <w:rPr>
                <w:sz w:val="20"/>
                <w:szCs w:val="20"/>
                <w:color w:val="auto"/>
              </w:rPr>
            </w:pPr>
            <w:r>
              <w:rPr>
                <w:rFonts w:ascii="Arial" w:cs="Arial" w:eastAsia="Arial" w:hAnsi="Arial"/>
                <w:sz w:val="13"/>
                <w:szCs w:val="13"/>
                <w:b w:val="1"/>
                <w:bCs w:val="1"/>
                <w:color w:val="auto"/>
              </w:rPr>
              <w:t>RECOMBINANT VITAMIN K DEPENDENT PROTEINS WITH HIGH SIALIC ACID CONTENT AND METHODS OF PREPARING SAME</w:t>
            </w: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right"/>
              <w:ind w:right="736"/>
              <w:spacing w:after="0"/>
              <w:rPr>
                <w:sz w:val="20"/>
                <w:szCs w:val="20"/>
                <w:color w:val="auto"/>
              </w:rPr>
            </w:pPr>
            <w:r>
              <w:rPr>
                <w:rFonts w:ascii="Arial" w:cs="Arial" w:eastAsia="Arial" w:hAnsi="Arial"/>
                <w:sz w:val="13"/>
                <w:szCs w:val="13"/>
                <w:b w:val="1"/>
                <w:bCs w:val="1"/>
                <w:color w:val="auto"/>
              </w:rPr>
              <w:t>APVO.40903</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60" w:type="dxa"/>
            <w:vAlign w:val="bottom"/>
            <w:tcBorders>
              <w:left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spacing w:after="0"/>
              <w:rPr>
                <w:sz w:val="10"/>
                <w:szCs w:val="10"/>
                <w:color w:val="auto"/>
              </w:rPr>
            </w:pPr>
          </w:p>
        </w:tc>
        <w:tc>
          <w:tcPr>
            <w:tcW w:w="1180" w:type="dxa"/>
            <w:vAlign w:val="bottom"/>
            <w:tcBorders>
              <w:bottom w:val="single" w:sz="8" w:color="auto"/>
            </w:tcBorders>
            <w:gridSpan w:val="2"/>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940" w:type="dxa"/>
            <w:vAlign w:val="bottom"/>
            <w:tcBorders>
              <w:bottom w:val="single" w:sz="8" w:color="auto"/>
            </w:tcBorders>
            <w:gridSpan w:val="2"/>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60" w:type="dxa"/>
            <w:vAlign w:val="bottom"/>
            <w:tcBorders>
              <w:left w:val="single" w:sz="8" w:color="auto"/>
            </w:tcBorders>
          </w:tcPr>
          <w:p>
            <w:pPr>
              <w:ind w:left="340"/>
              <w:spacing w:after="0"/>
              <w:rPr>
                <w:sz w:val="20"/>
                <w:szCs w:val="20"/>
                <w:color w:val="auto"/>
              </w:rPr>
            </w:pPr>
            <w:r>
              <w:rPr>
                <w:rFonts w:ascii="Arial" w:cs="Arial" w:eastAsia="Arial" w:hAnsi="Arial"/>
                <w:sz w:val="13"/>
                <w:szCs w:val="13"/>
                <w:b w:val="1"/>
                <w:bCs w:val="1"/>
                <w:color w:val="auto"/>
              </w:rPr>
              <w:t>Docket Number</w:t>
            </w:r>
          </w:p>
        </w:tc>
        <w:tc>
          <w:tcPr>
            <w:tcW w:w="1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gridSpan w:val="2"/>
          </w:tcPr>
          <w:p>
            <w:pPr>
              <w:jc w:val="right"/>
              <w:ind w:right="44"/>
              <w:spacing w:after="0"/>
              <w:rPr>
                <w:sz w:val="20"/>
                <w:szCs w:val="20"/>
                <w:color w:val="auto"/>
              </w:rPr>
            </w:pPr>
            <w:r>
              <w:rPr>
                <w:rFonts w:ascii="Arial" w:cs="Arial" w:eastAsia="Arial" w:hAnsi="Arial"/>
                <w:sz w:val="13"/>
                <w:szCs w:val="13"/>
                <w:b w:val="1"/>
                <w:bCs w:val="1"/>
                <w:color w:val="auto"/>
              </w:rPr>
              <w:t>Country</w:t>
            </w:r>
          </w:p>
        </w:tc>
        <w:tc>
          <w:tcPr>
            <w:tcW w:w="8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auto"/>
                <w:w w:val="78"/>
              </w:rPr>
              <w:t>Subcase</w:t>
            </w:r>
          </w:p>
        </w:tc>
        <w:tc>
          <w:tcPr>
            <w:tcW w:w="1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Case Type</w:t>
            </w:r>
          </w:p>
        </w:tc>
        <w:tc>
          <w:tcPr>
            <w:tcW w:w="1180" w:type="dxa"/>
            <w:vAlign w:val="bottom"/>
            <w:tcBorders>
              <w:right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w w:val="92"/>
              </w:rPr>
              <w:t>Application Status</w:t>
            </w:r>
          </w:p>
        </w:tc>
        <w:tc>
          <w:tcPr>
            <w:tcW w:w="130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7"/>
              </w:rPr>
              <w:t>Application Number</w:t>
            </w:r>
          </w:p>
        </w:tc>
        <w:tc>
          <w:tcPr>
            <w:tcW w:w="120" w:type="dxa"/>
            <w:vAlign w:val="bottom"/>
          </w:tcPr>
          <w:p>
            <w:pPr>
              <w:spacing w:after="0"/>
              <w:rPr>
                <w:sz w:val="13"/>
                <w:szCs w:val="13"/>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Filing Date</w:t>
            </w:r>
          </w:p>
        </w:tc>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5"/>
              </w:rPr>
              <w:t>Patent Number</w:t>
            </w:r>
          </w:p>
        </w:tc>
        <w:tc>
          <w:tcPr>
            <w:tcW w:w="8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150"/>
        </w:trPr>
        <w:tc>
          <w:tcPr>
            <w:tcW w:w="1460" w:type="dxa"/>
            <w:vAlign w:val="bottom"/>
            <w:tcBorders>
              <w:left w:val="single" w:sz="8" w:color="auto"/>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gridSpan w:val="3"/>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6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100" w:type="dxa"/>
            <w:vAlign w:val="bottom"/>
            <w:tcBorders>
              <w:right w:val="single" w:sz="8" w:color="auto"/>
            </w:tcBorders>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US</w:t>
            </w:r>
          </w:p>
        </w:tc>
        <w:tc>
          <w:tcPr>
            <w:tcW w:w="120" w:type="dxa"/>
            <w:vAlign w:val="bottom"/>
            <w:tcBorders>
              <w:right w:val="single" w:sz="8" w:color="auto"/>
            </w:tcBorders>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CON</w:t>
            </w:r>
          </w:p>
        </w:tc>
        <w:tc>
          <w:tcPr>
            <w:tcW w:w="220" w:type="dxa"/>
            <w:vAlign w:val="bottom"/>
            <w:tcBorders>
              <w:right w:val="single" w:sz="8" w:color="auto"/>
            </w:tcBorders>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Pending</w:t>
            </w:r>
          </w:p>
        </w:tc>
        <w:tc>
          <w:tcPr>
            <w:tcW w:w="20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w w:val="92"/>
              </w:rPr>
              <w:t>14/860,042</w:t>
            </w:r>
          </w:p>
        </w:tc>
        <w:tc>
          <w:tcPr>
            <w:tcW w:w="66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21-Sep-2015</w:t>
            </w:r>
          </w:p>
        </w:tc>
        <w:tc>
          <w:tcPr>
            <w:tcW w:w="44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60" w:type="dxa"/>
            <w:vAlign w:val="bottom"/>
            <w:tcBorders>
              <w:left w:val="single" w:sz="8" w:color="auto"/>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40"/>
        <w:spacing w:after="0"/>
        <w:rPr>
          <w:sz w:val="20"/>
          <w:szCs w:val="20"/>
          <w:color w:val="auto"/>
        </w:rPr>
      </w:pPr>
      <w:r>
        <w:rPr>
          <w:rFonts w:ascii="Arial" w:cs="Arial" w:eastAsia="Arial" w:hAnsi="Arial"/>
          <w:sz w:val="13"/>
          <w:szCs w:val="13"/>
          <w:b w:val="1"/>
          <w:bCs w:val="1"/>
          <w:color w:val="auto"/>
        </w:rPr>
        <w:t>BINDING DOMAIN-IMMUNOGLOBULIN FUSION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25440" cy="1388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25440" cy="1388110"/>
                    </a:xfrm>
                    <a:prstGeom prst="rect">
                      <a:avLst/>
                    </a:prstGeom>
                    <a:noFill/>
                  </pic:spPr>
                </pic:pic>
              </a:graphicData>
            </a:graphic>
          </wp:anchor>
        </w:drawing>
      </w:r>
    </w:p>
    <w:p>
      <w:pPr>
        <w:spacing w:after="0" w:line="126"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APVO.80011a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12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89"/>
              </w:rPr>
              <w:t>Subcase</w:t>
            </w:r>
          </w:p>
        </w:tc>
        <w:tc>
          <w:tcPr>
            <w:tcW w:w="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Case Type</w:t>
            </w:r>
          </w:p>
        </w:tc>
        <w:tc>
          <w:tcPr>
            <w:tcW w:w="1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6"/>
              </w:rPr>
              <w:t>Application Status</w:t>
            </w:r>
          </w:p>
        </w:tc>
        <w:tc>
          <w:tcPr>
            <w:tcW w:w="13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8"/>
              </w:rPr>
              <w:t>Application Number</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5"/>
                <w:szCs w:val="15"/>
                <w:color w:val="auto"/>
              </w:rPr>
            </w:pPr>
          </w:p>
        </w:tc>
      </w:tr>
      <w:tr>
        <w:trPr>
          <w:trHeight w:val="140"/>
        </w:trPr>
        <w:tc>
          <w:tcPr>
            <w:tcW w:w="66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60" w:type="dxa"/>
            <w:vAlign w:val="bottom"/>
          </w:tcPr>
          <w:p>
            <w:pPr>
              <w:spacing w:after="0"/>
              <w:rPr>
                <w:sz w:val="13"/>
                <w:szCs w:val="13"/>
                <w:color w:val="auto"/>
              </w:rPr>
            </w:pP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11/088693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23-Mar-2005</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8,106,161</w:t>
            </w:r>
          </w:p>
        </w:tc>
        <w:tc>
          <w:tcPr>
            <w:tcW w:w="900" w:type="dxa"/>
            <w:vAlign w:val="bottom"/>
          </w:tcPr>
          <w:p>
            <w:pPr>
              <w:spacing w:after="0"/>
              <w:rPr>
                <w:sz w:val="20"/>
                <w:szCs w:val="20"/>
                <w:color w:val="auto"/>
              </w:rPr>
            </w:pPr>
            <w:r>
              <w:rPr>
                <w:rFonts w:ascii="Arial" w:cs="Arial" w:eastAsia="Arial" w:hAnsi="Arial"/>
                <w:sz w:val="13"/>
                <w:szCs w:val="13"/>
                <w:color w:val="auto"/>
              </w:rPr>
              <w:t>31-Jan-2012</w:t>
            </w:r>
          </w:p>
        </w:tc>
        <w:tc>
          <w:tcPr>
            <w:tcW w:w="2300" w:type="dxa"/>
            <w:vAlign w:val="bottom"/>
          </w:tcPr>
          <w:p>
            <w:pPr>
              <w:spacing w:after="0"/>
              <w:rPr>
                <w:sz w:val="13"/>
                <w:szCs w:val="13"/>
                <w:color w:val="auto"/>
              </w:rPr>
            </w:pPr>
          </w:p>
        </w:tc>
      </w:tr>
      <w:tr>
        <w:trPr>
          <w:trHeight w:val="144"/>
        </w:trPr>
        <w:tc>
          <w:tcPr>
            <w:tcW w:w="66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60" w:type="dxa"/>
            <w:vAlign w:val="bottom"/>
          </w:tcPr>
          <w:p>
            <w:pPr>
              <w:spacing w:after="0"/>
              <w:rPr>
                <w:sz w:val="13"/>
                <w:szCs w:val="13"/>
                <w:color w:val="auto"/>
              </w:rPr>
            </w:pP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12/901,297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08-Oct-2010</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8,197,810</w:t>
            </w:r>
          </w:p>
        </w:tc>
        <w:tc>
          <w:tcPr>
            <w:tcW w:w="900" w:type="dxa"/>
            <w:vAlign w:val="bottom"/>
          </w:tcPr>
          <w:p>
            <w:pPr>
              <w:spacing w:after="0"/>
              <w:rPr>
                <w:sz w:val="20"/>
                <w:szCs w:val="20"/>
                <w:color w:val="auto"/>
              </w:rPr>
            </w:pPr>
            <w:r>
              <w:rPr>
                <w:rFonts w:ascii="Arial" w:cs="Arial" w:eastAsia="Arial" w:hAnsi="Arial"/>
                <w:sz w:val="13"/>
                <w:szCs w:val="13"/>
                <w:color w:val="auto"/>
              </w:rPr>
              <w:t>12-Jun-2012</w:t>
            </w:r>
          </w:p>
        </w:tc>
        <w:tc>
          <w:tcPr>
            <w:tcW w:w="2300" w:type="dxa"/>
            <w:vAlign w:val="bottom"/>
          </w:tcPr>
          <w:p>
            <w:pPr>
              <w:spacing w:after="0"/>
              <w:rPr>
                <w:sz w:val="13"/>
                <w:szCs w:val="13"/>
                <w:color w:val="auto"/>
              </w:rPr>
            </w:pPr>
          </w:p>
        </w:tc>
      </w:tr>
      <w:tr>
        <w:trPr>
          <w:trHeight w:val="144"/>
        </w:trPr>
        <w:tc>
          <w:tcPr>
            <w:tcW w:w="66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60" w:type="dxa"/>
            <w:vAlign w:val="bottom"/>
          </w:tcPr>
          <w:p>
            <w:pPr>
              <w:spacing w:after="0"/>
              <w:rPr>
                <w:sz w:val="13"/>
                <w:szCs w:val="13"/>
                <w:color w:val="auto"/>
              </w:rPr>
            </w:pP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13/451,641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9,005,612</w:t>
            </w:r>
          </w:p>
        </w:tc>
        <w:tc>
          <w:tcPr>
            <w:tcW w:w="900" w:type="dxa"/>
            <w:vAlign w:val="bottom"/>
          </w:tcPr>
          <w:p>
            <w:pPr>
              <w:spacing w:after="0"/>
              <w:rPr>
                <w:sz w:val="20"/>
                <w:szCs w:val="20"/>
                <w:color w:val="auto"/>
              </w:rPr>
            </w:pPr>
            <w:r>
              <w:rPr>
                <w:rFonts w:ascii="Arial" w:cs="Arial" w:eastAsia="Arial" w:hAnsi="Arial"/>
                <w:sz w:val="13"/>
                <w:szCs w:val="13"/>
                <w:color w:val="auto"/>
              </w:rPr>
              <w:t>14-Apr-2015</w:t>
            </w:r>
          </w:p>
        </w:tc>
        <w:tc>
          <w:tcPr>
            <w:tcW w:w="2300" w:type="dxa"/>
            <w:vAlign w:val="bottom"/>
          </w:tcPr>
          <w:p>
            <w:pPr>
              <w:spacing w:after="0"/>
              <w:rPr>
                <w:sz w:val="13"/>
                <w:szCs w:val="13"/>
                <w:color w:val="auto"/>
              </w:rPr>
            </w:pPr>
          </w:p>
        </w:tc>
      </w:tr>
      <w:tr>
        <w:trPr>
          <w:trHeight w:val="154"/>
        </w:trPr>
        <w:tc>
          <w:tcPr>
            <w:tcW w:w="660" w:type="dxa"/>
            <w:vAlign w:val="bottom"/>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51"/>
        </w:trPr>
        <w:tc>
          <w:tcPr>
            <w:tcW w:w="660" w:type="dxa"/>
            <w:vAlign w:val="bottom"/>
          </w:tcPr>
          <w:p>
            <w:pPr>
              <w:spacing w:after="0"/>
              <w:rPr>
                <w:sz w:val="13"/>
                <w:szCs w:val="13"/>
                <w:color w:val="auto"/>
              </w:rPr>
            </w:pP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w:t>
            </w: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12/901295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08-Oct-2010</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8,188,237</w:t>
            </w:r>
          </w:p>
        </w:tc>
        <w:tc>
          <w:tcPr>
            <w:tcW w:w="900" w:type="dxa"/>
            <w:vAlign w:val="bottom"/>
          </w:tcPr>
          <w:p>
            <w:pPr>
              <w:spacing w:after="0"/>
              <w:rPr>
                <w:sz w:val="20"/>
                <w:szCs w:val="20"/>
                <w:color w:val="auto"/>
              </w:rPr>
            </w:pPr>
            <w:r>
              <w:rPr>
                <w:rFonts w:ascii="Arial" w:cs="Arial" w:eastAsia="Arial" w:hAnsi="Arial"/>
                <w:sz w:val="13"/>
                <w:szCs w:val="13"/>
                <w:color w:val="auto"/>
              </w:rPr>
              <w:t>29-May-2012</w:t>
            </w:r>
          </w:p>
        </w:tc>
        <w:tc>
          <w:tcPr>
            <w:tcW w:w="2300" w:type="dxa"/>
            <w:vAlign w:val="bottom"/>
          </w:tcPr>
          <w:p>
            <w:pPr>
              <w:spacing w:after="0"/>
              <w:rPr>
                <w:sz w:val="13"/>
                <w:szCs w:val="13"/>
                <w:color w:val="auto"/>
              </w:rPr>
            </w:pPr>
          </w:p>
        </w:tc>
      </w:tr>
      <w:tr>
        <w:trPr>
          <w:trHeight w:val="144"/>
        </w:trPr>
        <w:tc>
          <w:tcPr>
            <w:tcW w:w="66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391"/>
        </w:trPr>
        <w:tc>
          <w:tcPr>
            <w:tcW w:w="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1" w:right="179" w:bottom="1440" w:gutter="0" w:footer="0" w:header="0"/>
        </w:sectPr>
      </w:pPr>
    </w:p>
    <w:bookmarkStart w:id="176" w:name="page177"/>
    <w:bookmarkEnd w:id="176"/>
    <w:p>
      <w:pPr>
        <w:jc w:val="center"/>
        <w:ind w:right="1640"/>
        <w:spacing w:after="0"/>
        <w:rPr>
          <w:sz w:val="20"/>
          <w:szCs w:val="20"/>
          <w:color w:val="auto"/>
        </w:rPr>
      </w:pPr>
      <w:r>
        <w:rPr>
          <w:rFonts w:ascii="Arial" w:cs="Arial" w:eastAsia="Arial" w:hAnsi="Arial"/>
          <w:sz w:val="13"/>
          <w:szCs w:val="13"/>
          <w:b w:val="1"/>
          <w:bCs w:val="1"/>
          <w:color w:val="auto"/>
        </w:rPr>
        <w:t>BINDING CONSTRUCTS AND METHODS FOR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13375" cy="9880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13375" cy="988060"/>
                    </a:xfrm>
                    <a:prstGeom prst="rect">
                      <a:avLst/>
                    </a:prstGeom>
                    <a:noFill/>
                  </pic:spPr>
                </pic:pic>
              </a:graphicData>
            </a:graphic>
          </wp:anchor>
        </w:drawing>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APVO.80011c</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18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Docket Number</w:t>
            </w:r>
          </w:p>
        </w:tc>
        <w:tc>
          <w:tcPr>
            <w:tcW w:w="40" w:type="dxa"/>
            <w:vAlign w:val="bottom"/>
            <w:tcBorders>
              <w:top w:val="single" w:sz="8" w:color="auto"/>
              <w:right w:val="single" w:sz="8" w:color="auto"/>
            </w:tcBorders>
          </w:tcPr>
          <w:p>
            <w:pPr>
              <w:spacing w:after="0"/>
              <w:rPr>
                <w:sz w:val="15"/>
                <w:szCs w:val="15"/>
                <w:color w:val="auto"/>
              </w:rPr>
            </w:pPr>
          </w:p>
        </w:tc>
        <w:tc>
          <w:tcPr>
            <w:tcW w:w="6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w w:val="92"/>
              </w:rPr>
              <w:t>Country</w:t>
            </w:r>
          </w:p>
        </w:tc>
        <w:tc>
          <w:tcPr>
            <w:tcW w:w="6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5"/>
              </w:rPr>
              <w:t>Subcase</w:t>
            </w:r>
          </w:p>
        </w:tc>
        <w:tc>
          <w:tcPr>
            <w:tcW w:w="7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5"/>
              </w:rPr>
              <w:t>Case Type</w:t>
            </w:r>
          </w:p>
        </w:tc>
        <w:tc>
          <w:tcPr>
            <w:tcW w:w="138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Application Status</w:t>
            </w:r>
          </w:p>
        </w:tc>
        <w:tc>
          <w:tcPr>
            <w:tcW w:w="128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2"/>
              </w:rPr>
              <w:t>Application Number</w:t>
            </w:r>
          </w:p>
        </w:tc>
        <w:tc>
          <w:tcPr>
            <w:tcW w:w="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5"/>
                <w:szCs w:val="15"/>
                <w:color w:val="auto"/>
              </w:rPr>
            </w:pPr>
          </w:p>
        </w:tc>
      </w:tr>
      <w:tr>
        <w:trPr>
          <w:trHeight w:val="140"/>
        </w:trPr>
        <w:tc>
          <w:tcPr>
            <w:tcW w:w="6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APVO.80011c</w:t>
            </w:r>
          </w:p>
        </w:tc>
        <w:tc>
          <w:tcPr>
            <w:tcW w:w="40" w:type="dxa"/>
            <w:vAlign w:val="bottom"/>
            <w:tcBorders>
              <w:right w:val="single" w:sz="8" w:color="auto"/>
            </w:tcBorders>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ind w:right="456"/>
              <w:spacing w:after="0"/>
              <w:rPr>
                <w:sz w:val="20"/>
                <w:szCs w:val="20"/>
                <w:color w:val="auto"/>
              </w:rPr>
            </w:pPr>
            <w:r>
              <w:rPr>
                <w:rFonts w:ascii="Arial" w:cs="Arial" w:eastAsia="Arial" w:hAnsi="Arial"/>
                <w:sz w:val="13"/>
                <w:szCs w:val="13"/>
                <w:color w:val="auto"/>
                <w:w w:val="92"/>
              </w:rPr>
              <w:t>PRI</w:t>
            </w:r>
          </w:p>
        </w:tc>
        <w:tc>
          <w:tcPr>
            <w:tcW w:w="13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10/627,556</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26-Jul-2003</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7,829,084</w:t>
            </w:r>
          </w:p>
        </w:tc>
        <w:tc>
          <w:tcPr>
            <w:tcW w:w="920" w:type="dxa"/>
            <w:vAlign w:val="bottom"/>
          </w:tcPr>
          <w:p>
            <w:pPr>
              <w:spacing w:after="0"/>
              <w:rPr>
                <w:sz w:val="20"/>
                <w:szCs w:val="20"/>
                <w:color w:val="auto"/>
              </w:rPr>
            </w:pPr>
            <w:r>
              <w:rPr>
                <w:rFonts w:ascii="Arial" w:cs="Arial" w:eastAsia="Arial" w:hAnsi="Arial"/>
                <w:sz w:val="13"/>
                <w:szCs w:val="13"/>
                <w:color w:val="auto"/>
              </w:rPr>
              <w:t>09-Nov-2010</w:t>
            </w:r>
          </w:p>
        </w:tc>
        <w:tc>
          <w:tcPr>
            <w:tcW w:w="2300" w:type="dxa"/>
            <w:vAlign w:val="bottom"/>
          </w:tcPr>
          <w:p>
            <w:pPr>
              <w:spacing w:after="0"/>
              <w:rPr>
                <w:sz w:val="13"/>
                <w:szCs w:val="13"/>
                <w:color w:val="auto"/>
              </w:rPr>
            </w:pPr>
          </w:p>
        </w:tc>
      </w:tr>
      <w:tr>
        <w:trPr>
          <w:trHeight w:val="144"/>
        </w:trPr>
        <w:tc>
          <w:tcPr>
            <w:tcW w:w="6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APVO.80011c</w:t>
            </w:r>
          </w:p>
        </w:tc>
        <w:tc>
          <w:tcPr>
            <w:tcW w:w="40" w:type="dxa"/>
            <w:vAlign w:val="bottom"/>
            <w:tcBorders>
              <w:right w:val="single" w:sz="8" w:color="auto"/>
            </w:tcBorders>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jc w:val="right"/>
              <w:ind w:right="464"/>
              <w:spacing w:after="0"/>
              <w:rPr>
                <w:sz w:val="20"/>
                <w:szCs w:val="20"/>
                <w:color w:val="auto"/>
              </w:rPr>
            </w:pPr>
            <w:r>
              <w:rPr>
                <w:rFonts w:ascii="Arial" w:cs="Arial" w:eastAsia="Arial" w:hAnsi="Arial"/>
                <w:sz w:val="10"/>
                <w:szCs w:val="10"/>
                <w:color w:val="auto"/>
                <w:w w:val="71"/>
              </w:rPr>
              <w:t>1</w:t>
            </w:r>
          </w:p>
        </w:tc>
        <w:tc>
          <w:tcPr>
            <w:tcW w:w="720" w:type="dxa"/>
            <w:vAlign w:val="bottom"/>
            <w:tcBorders>
              <w:right w:val="single" w:sz="8" w:color="auto"/>
            </w:tcBorders>
          </w:tcPr>
          <w:p>
            <w:pPr>
              <w:jc w:val="center"/>
              <w:ind w:right="416"/>
              <w:spacing w:after="0"/>
              <w:rPr>
                <w:sz w:val="20"/>
                <w:szCs w:val="20"/>
                <w:color w:val="auto"/>
              </w:rPr>
            </w:pPr>
            <w:r>
              <w:rPr>
                <w:rFonts w:ascii="Arial" w:cs="Arial" w:eastAsia="Arial" w:hAnsi="Arial"/>
                <w:sz w:val="13"/>
                <w:szCs w:val="13"/>
                <w:color w:val="auto"/>
                <w:w w:val="92"/>
              </w:rPr>
              <w:t>PCT</w:t>
            </w:r>
          </w:p>
        </w:tc>
        <w:tc>
          <w:tcPr>
            <w:tcW w:w="13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Expired</w:t>
            </w: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10/566,409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24-Aug-2006</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7,754,209</w:t>
            </w:r>
          </w:p>
        </w:tc>
        <w:tc>
          <w:tcPr>
            <w:tcW w:w="920" w:type="dxa"/>
            <w:vAlign w:val="bottom"/>
          </w:tcPr>
          <w:p>
            <w:pPr>
              <w:spacing w:after="0"/>
              <w:rPr>
                <w:sz w:val="20"/>
                <w:szCs w:val="20"/>
                <w:color w:val="auto"/>
              </w:rPr>
            </w:pPr>
            <w:r>
              <w:rPr>
                <w:rFonts w:ascii="Arial" w:cs="Arial" w:eastAsia="Arial" w:hAnsi="Arial"/>
                <w:sz w:val="13"/>
                <w:szCs w:val="13"/>
                <w:color w:val="auto"/>
              </w:rPr>
              <w:t>13-Jul-2010</w:t>
            </w:r>
          </w:p>
        </w:tc>
        <w:tc>
          <w:tcPr>
            <w:tcW w:w="230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295"/>
        </w:trPr>
        <w:tc>
          <w:tcPr>
            <w:tcW w:w="6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20" w:type="dxa"/>
            <w:vAlign w:val="bottom"/>
            <w:gridSpan w:val="5"/>
          </w:tcPr>
          <w:p>
            <w:pPr>
              <w:jc w:val="center"/>
              <w:ind w:right="516"/>
              <w:spacing w:after="0"/>
              <w:rPr>
                <w:sz w:val="20"/>
                <w:szCs w:val="20"/>
                <w:color w:val="auto"/>
              </w:rPr>
            </w:pPr>
            <w:r>
              <w:rPr>
                <w:rFonts w:ascii="Arial" w:cs="Arial" w:eastAsia="Arial" w:hAnsi="Arial"/>
                <w:sz w:val="13"/>
                <w:szCs w:val="13"/>
                <w:b w:val="1"/>
                <w:bCs w:val="1"/>
                <w:color w:val="auto"/>
                <w:w w:val="96"/>
              </w:rPr>
              <w:t>BINDING CONSTRUCTS AND METHODS FOR USE THEREOF</w:t>
            </w: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gridSpan w:val="3"/>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60" w:type="dxa"/>
            <w:vAlign w:val="bottom"/>
            <w:gridSpan w:val="3"/>
          </w:tcPr>
          <w:p>
            <w:pPr>
              <w:jc w:val="center"/>
              <w:ind w:right="456"/>
              <w:spacing w:after="0"/>
              <w:rPr>
                <w:sz w:val="20"/>
                <w:szCs w:val="20"/>
                <w:color w:val="auto"/>
              </w:rPr>
            </w:pPr>
            <w:r>
              <w:rPr>
                <w:rFonts w:ascii="Arial" w:cs="Arial" w:eastAsia="Arial" w:hAnsi="Arial"/>
                <w:sz w:val="13"/>
                <w:szCs w:val="13"/>
                <w:b w:val="1"/>
                <w:bCs w:val="1"/>
                <w:color w:val="auto"/>
                <w:w w:val="92"/>
              </w:rPr>
              <w:t>APVO.80011b</w:t>
            </w: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Pr>
          <w:p>
            <w:pPr>
              <w:ind w:left="180"/>
              <w:spacing w:after="0"/>
              <w:rPr>
                <w:sz w:val="20"/>
                <w:szCs w:val="20"/>
                <w:color w:val="auto"/>
              </w:rPr>
            </w:pPr>
            <w:r>
              <w:rPr>
                <w:rFonts w:ascii="Arial" w:cs="Arial" w:eastAsia="Arial" w:hAnsi="Arial"/>
                <w:sz w:val="13"/>
                <w:szCs w:val="13"/>
                <w:b w:val="1"/>
                <w:bCs w:val="1"/>
                <w:color w:val="auto"/>
                <w:w w:val="99"/>
              </w:rPr>
              <w:t>Docket Number</w:t>
            </w:r>
          </w:p>
        </w:tc>
        <w:tc>
          <w:tcPr>
            <w:tcW w:w="40" w:type="dxa"/>
            <w:vAlign w:val="bottom"/>
            <w:tcBorders>
              <w:right w:val="single" w:sz="8" w:color="auto"/>
            </w:tcBorders>
          </w:tcPr>
          <w:p>
            <w:pPr>
              <w:spacing w:after="0"/>
              <w:rPr>
                <w:sz w:val="13"/>
                <w:szCs w:val="13"/>
                <w:color w:val="auto"/>
              </w:rPr>
            </w:pP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w w:val="92"/>
              </w:rPr>
              <w:t>Country</w:t>
            </w:r>
          </w:p>
        </w:tc>
        <w:tc>
          <w:tcPr>
            <w:tcW w:w="60" w:type="dxa"/>
            <w:vAlign w:val="bottom"/>
            <w:tcBorders>
              <w:right w:val="single" w:sz="8" w:color="auto"/>
            </w:tcBorders>
          </w:tcPr>
          <w:p>
            <w:pPr>
              <w:spacing w:after="0"/>
              <w:rPr>
                <w:sz w:val="13"/>
                <w:szCs w:val="13"/>
                <w:color w:val="auto"/>
              </w:rPr>
            </w:pPr>
          </w:p>
        </w:tc>
        <w:tc>
          <w:tcPr>
            <w:tcW w:w="580" w:type="dxa"/>
            <w:vAlign w:val="bottom"/>
            <w:tcBorders>
              <w:left w:val="single" w:sz="8" w:color="auto"/>
              <w:right w:val="single" w:sz="8" w:color="auto"/>
            </w:tcBorders>
          </w:tcPr>
          <w:p>
            <w:pPr>
              <w:jc w:val="right"/>
              <w:ind w:right="24"/>
              <w:spacing w:after="0"/>
              <w:rPr>
                <w:sz w:val="20"/>
                <w:szCs w:val="20"/>
                <w:color w:val="auto"/>
              </w:rPr>
            </w:pPr>
            <w:r>
              <w:rPr>
                <w:rFonts w:ascii="Arial" w:cs="Arial" w:eastAsia="Arial" w:hAnsi="Arial"/>
                <w:sz w:val="13"/>
                <w:szCs w:val="13"/>
                <w:b w:val="1"/>
                <w:bCs w:val="1"/>
                <w:color w:val="auto"/>
                <w:w w:val="89"/>
              </w:rPr>
              <w:t>Subcase</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w w:val="98"/>
              </w:rPr>
              <w:t>Case Type</w:t>
            </w:r>
          </w:p>
        </w:tc>
        <w:tc>
          <w:tcPr>
            <w:tcW w:w="134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Application Status</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2"/>
              </w:rPr>
              <w:t>Application Number</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3"/>
                <w:szCs w:val="13"/>
                <w:color w:val="auto"/>
              </w:rPr>
            </w:pPr>
          </w:p>
        </w:tc>
      </w:tr>
      <w:tr>
        <w:trPr>
          <w:trHeight w:val="140"/>
        </w:trPr>
        <w:tc>
          <w:tcPr>
            <w:tcW w:w="68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580" w:type="dxa"/>
            <w:vAlign w:val="bottom"/>
            <w:tcBorders>
              <w:left w:val="single" w:sz="8" w:color="auto"/>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APVO.80011b</w:t>
            </w:r>
          </w:p>
        </w:tc>
        <w:tc>
          <w:tcPr>
            <w:tcW w:w="40" w:type="dxa"/>
            <w:vAlign w:val="bottom"/>
            <w:tcBorders>
              <w:right w:val="single" w:sz="8" w:color="auto"/>
            </w:tcBorders>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580" w:type="dxa"/>
            <w:vAlign w:val="bottom"/>
            <w:tcBorders>
              <w:left w:val="single" w:sz="8" w:color="auto"/>
              <w:right w:val="single" w:sz="8" w:color="auto"/>
            </w:tcBorders>
          </w:tcPr>
          <w:p>
            <w:pPr>
              <w:jc w:val="right"/>
              <w:ind w:right="464"/>
              <w:spacing w:after="0"/>
              <w:rPr>
                <w:sz w:val="20"/>
                <w:szCs w:val="20"/>
                <w:color w:val="auto"/>
              </w:rPr>
            </w:pPr>
            <w:r>
              <w:rPr>
                <w:rFonts w:ascii="Arial" w:cs="Arial" w:eastAsia="Arial" w:hAnsi="Arial"/>
                <w:sz w:val="10"/>
                <w:szCs w:val="10"/>
                <w:color w:val="auto"/>
                <w:w w:val="71"/>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12/541,062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13-Aug-2009</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8,147,835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03-Apr-2012</w:t>
            </w:r>
          </w:p>
        </w:tc>
        <w:tc>
          <w:tcPr>
            <w:tcW w:w="230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580" w:type="dxa"/>
            <w:vAlign w:val="bottom"/>
            <w:tcBorders>
              <w:left w:val="single" w:sz="8" w:color="auto"/>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APVO.80011b</w:t>
            </w:r>
          </w:p>
        </w:tc>
        <w:tc>
          <w:tcPr>
            <w:tcW w:w="40" w:type="dxa"/>
            <w:vAlign w:val="bottom"/>
            <w:tcBorders>
              <w:right w:val="single" w:sz="8" w:color="auto"/>
            </w:tcBorders>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580" w:type="dxa"/>
            <w:vAlign w:val="bottom"/>
            <w:tcBorders>
              <w:left w:val="single" w:sz="8" w:color="auto"/>
              <w:right w:val="single" w:sz="8" w:color="auto"/>
            </w:tcBorders>
          </w:tcPr>
          <w:p>
            <w:pPr>
              <w:jc w:val="right"/>
              <w:ind w:right="464"/>
              <w:spacing w:after="0"/>
              <w:rPr>
                <w:sz w:val="20"/>
                <w:szCs w:val="20"/>
                <w:color w:val="auto"/>
              </w:rPr>
            </w:pPr>
            <w:r>
              <w:rPr>
                <w:rFonts w:ascii="Arial" w:cs="Arial" w:eastAsia="Arial" w:hAnsi="Arial"/>
                <w:sz w:val="10"/>
                <w:szCs w:val="10"/>
                <w:color w:val="auto"/>
                <w:w w:val="71"/>
              </w:rPr>
              <w:t>4</w:t>
            </w:r>
          </w:p>
        </w:tc>
        <w:tc>
          <w:tcPr>
            <w:tcW w:w="720" w:type="dxa"/>
            <w:vAlign w:val="bottom"/>
            <w:tcBorders>
              <w:right w:val="single" w:sz="8" w:color="auto"/>
            </w:tcBorders>
          </w:tcPr>
          <w:p>
            <w:pPr>
              <w:jc w:val="center"/>
              <w:ind w:right="436"/>
              <w:spacing w:after="0"/>
              <w:rPr>
                <w:sz w:val="20"/>
                <w:szCs w:val="20"/>
                <w:color w:val="auto"/>
              </w:rPr>
            </w:pPr>
            <w:r>
              <w:rPr>
                <w:rFonts w:ascii="Arial" w:cs="Arial" w:eastAsia="Arial" w:hAnsi="Arial"/>
                <w:sz w:val="13"/>
                <w:szCs w:val="13"/>
                <w:color w:val="auto"/>
              </w:rPr>
              <w:t>DIV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13/396,147</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14-Feb-2012</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8,853,366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04-Oct-2014</w:t>
            </w:r>
          </w:p>
        </w:tc>
        <w:tc>
          <w:tcPr>
            <w:tcW w:w="2300" w:type="dxa"/>
            <w:vAlign w:val="bottom"/>
          </w:tcPr>
          <w:p>
            <w:pPr>
              <w:spacing w:after="0"/>
              <w:rPr>
                <w:sz w:val="13"/>
                <w:szCs w:val="13"/>
                <w:color w:val="auto"/>
              </w:rPr>
            </w:pPr>
          </w:p>
        </w:tc>
      </w:tr>
      <w:tr>
        <w:trPr>
          <w:trHeight w:val="154"/>
        </w:trPr>
        <w:tc>
          <w:tcPr>
            <w:tcW w:w="680" w:type="dxa"/>
            <w:vAlign w:val="bottom"/>
            <w:tcBorders>
              <w:right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580" w:type="dxa"/>
            <w:vAlign w:val="bottom"/>
            <w:tcBorders>
              <w:left w:val="single" w:sz="8" w:color="auto"/>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295"/>
        </w:trPr>
        <w:tc>
          <w:tcPr>
            <w:tcW w:w="68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9"/>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380" w:type="dxa"/>
            <w:vAlign w:val="bottom"/>
            <w:gridSpan w:val="9"/>
          </w:tcPr>
          <w:p>
            <w:pPr>
              <w:jc w:val="center"/>
              <w:ind w:right="216"/>
              <w:spacing w:after="0"/>
              <w:rPr>
                <w:sz w:val="20"/>
                <w:szCs w:val="20"/>
                <w:color w:val="auto"/>
              </w:rPr>
            </w:pPr>
            <w:r>
              <w:rPr>
                <w:rFonts w:ascii="Arial" w:cs="Arial" w:eastAsia="Arial" w:hAnsi="Arial"/>
                <w:sz w:val="13"/>
                <w:szCs w:val="13"/>
                <w:b w:val="1"/>
                <w:bCs w:val="1"/>
                <w:color w:val="auto"/>
                <w:w w:val="98"/>
              </w:rPr>
              <w:t>B-CELL REDUCTION USING CD37-SPECIFIC AND CD20-SPECIFIC BINDING MOLECULES</w:t>
            </w: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ind w:left="580"/>
              <w:spacing w:after="0"/>
              <w:rPr>
                <w:sz w:val="20"/>
                <w:szCs w:val="20"/>
                <w:color w:val="auto"/>
              </w:rPr>
            </w:pPr>
            <w:r>
              <w:rPr>
                <w:rFonts w:ascii="Arial" w:cs="Arial" w:eastAsia="Arial" w:hAnsi="Arial"/>
                <w:sz w:val="13"/>
                <w:szCs w:val="13"/>
                <w:b w:val="1"/>
                <w:bCs w:val="1"/>
                <w:color w:val="auto"/>
                <w:w w:val="99"/>
              </w:rPr>
              <w:t>APVO.80100</w:t>
            </w: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Docket Number</w:t>
            </w:r>
          </w:p>
        </w:tc>
        <w:tc>
          <w:tcPr>
            <w:tcW w:w="40" w:type="dxa"/>
            <w:vAlign w:val="bottom"/>
          </w:tcPr>
          <w:p>
            <w:pPr>
              <w:spacing w:after="0"/>
              <w:rPr>
                <w:sz w:val="13"/>
                <w:szCs w:val="13"/>
                <w:color w:val="auto"/>
              </w:rPr>
            </w:pPr>
          </w:p>
        </w:tc>
        <w:tc>
          <w:tcPr>
            <w:tcW w:w="60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Country</w:t>
            </w:r>
          </w:p>
        </w:tc>
        <w:tc>
          <w:tcPr>
            <w:tcW w:w="60" w:type="dxa"/>
            <w:vAlign w:val="bottom"/>
          </w:tcPr>
          <w:p>
            <w:pPr>
              <w:spacing w:after="0"/>
              <w:rPr>
                <w:sz w:val="13"/>
                <w:szCs w:val="13"/>
                <w:color w:val="auto"/>
              </w:rPr>
            </w:pPr>
          </w:p>
        </w:tc>
        <w:tc>
          <w:tcPr>
            <w:tcW w:w="580" w:type="dxa"/>
            <w:vAlign w:val="bottom"/>
            <w:tcBorders>
              <w:right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78"/>
              </w:rPr>
              <w:t>Subcase</w:t>
            </w:r>
          </w:p>
        </w:tc>
        <w:tc>
          <w:tcPr>
            <w:tcW w:w="7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5"/>
              </w:rPr>
              <w:t>Case Type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w w:val="99"/>
              </w:rPr>
              <w:t>Application Status</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2"/>
              </w:rPr>
              <w:t>Application Number</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3"/>
                <w:szCs w:val="13"/>
                <w:color w:val="auto"/>
              </w:rPr>
            </w:pPr>
          </w:p>
        </w:tc>
      </w:tr>
      <w:tr>
        <w:trPr>
          <w:trHeight w:val="150"/>
        </w:trPr>
        <w:tc>
          <w:tcPr>
            <w:tcW w:w="680" w:type="dxa"/>
            <w:vAlign w:val="bottom"/>
            <w:tcBorders>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US</w:t>
            </w:r>
          </w:p>
        </w:tc>
        <w:tc>
          <w:tcPr>
            <w:tcW w:w="6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ind w:right="436"/>
              <w:spacing w:after="0"/>
              <w:rPr>
                <w:sz w:val="20"/>
                <w:szCs w:val="20"/>
                <w:color w:val="auto"/>
              </w:rPr>
            </w:pPr>
            <w:r>
              <w:rPr>
                <w:rFonts w:ascii="Arial" w:cs="Arial" w:eastAsia="Arial" w:hAnsi="Arial"/>
                <w:sz w:val="13"/>
                <w:szCs w:val="13"/>
                <w:color w:val="auto"/>
                <w:w w:val="75"/>
              </w:rPr>
              <w:t>ORD</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11/493,132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gridSpan w:val="2"/>
          </w:tcPr>
          <w:p>
            <w:pPr>
              <w:spacing w:after="0"/>
              <w:rPr>
                <w:sz w:val="12"/>
                <w:szCs w:val="12"/>
                <w:color w:val="auto"/>
              </w:rPr>
            </w:pPr>
          </w:p>
        </w:tc>
        <w:tc>
          <w:tcPr>
            <w:tcW w:w="640" w:type="dxa"/>
            <w:vAlign w:val="bottom"/>
            <w:tcBorders>
              <w:bottom w:val="single" w:sz="8" w:color="auto"/>
              <w:right w:val="single" w:sz="8" w:color="auto"/>
            </w:tcBorders>
            <w:gridSpan w:val="2"/>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gridSpan w:val="2"/>
          </w:tcPr>
          <w:p>
            <w:pPr>
              <w:jc w:val="right"/>
              <w:ind w:right="524"/>
              <w:spacing w:after="0"/>
              <w:rPr>
                <w:sz w:val="20"/>
                <w:szCs w:val="20"/>
                <w:color w:val="auto"/>
              </w:rPr>
            </w:pPr>
            <w:r>
              <w:rPr>
                <w:rFonts w:ascii="Arial" w:cs="Arial" w:eastAsia="Arial" w:hAnsi="Arial"/>
                <w:sz w:val="10"/>
                <w:szCs w:val="10"/>
                <w:color w:val="auto"/>
                <w:w w:val="71"/>
              </w:rPr>
              <w:t>3</w:t>
            </w:r>
          </w:p>
        </w:tc>
        <w:tc>
          <w:tcPr>
            <w:tcW w:w="720" w:type="dxa"/>
            <w:vAlign w:val="bottom"/>
            <w:tcBorders>
              <w:right w:val="single" w:sz="8" w:color="auto"/>
            </w:tcBorders>
          </w:tcPr>
          <w:p>
            <w:pPr>
              <w:jc w:val="center"/>
              <w:ind w:right="436"/>
              <w:spacing w:after="0"/>
              <w:rPr>
                <w:sz w:val="20"/>
                <w:szCs w:val="20"/>
                <w:color w:val="auto"/>
              </w:rPr>
            </w:pPr>
            <w:r>
              <w:rPr>
                <w:rFonts w:ascii="Arial" w:cs="Arial" w:eastAsia="Arial" w:hAnsi="Arial"/>
                <w:sz w:val="13"/>
                <w:szCs w:val="13"/>
                <w:color w:val="auto"/>
                <w:w w:val="75"/>
              </w:rPr>
              <w:t>CON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40" w:type="dxa"/>
            <w:vAlign w:val="bottom"/>
          </w:tcPr>
          <w:p>
            <w:pPr>
              <w:spacing w:after="0"/>
              <w:rPr>
                <w:sz w:val="13"/>
                <w:szCs w:val="13"/>
                <w:color w:val="auto"/>
              </w:rPr>
            </w:pPr>
          </w:p>
        </w:tc>
        <w:tc>
          <w:tcPr>
            <w:tcW w:w="128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79"/>
              </w:rPr>
              <w:t>13/836,103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15-Mar-2013</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r>
      <w:tr>
        <w:trPr>
          <w:trHeight w:val="381"/>
        </w:trPr>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8" w:right="179" w:bottom="1440" w:gutter="0" w:footer="0" w:header="0"/>
        </w:sectPr>
      </w:pPr>
    </w:p>
    <w:bookmarkStart w:id="177" w:name="page178"/>
    <w:bookmarkEnd w:id="177"/>
    <w:p>
      <w:pPr>
        <w:jc w:val="center"/>
        <w:ind w:right="1640"/>
        <w:spacing w:after="0"/>
        <w:rPr>
          <w:sz w:val="20"/>
          <w:szCs w:val="20"/>
          <w:color w:val="auto"/>
        </w:rPr>
      </w:pPr>
      <w:r>
        <w:rPr>
          <w:rFonts w:ascii="Arial" w:cs="Arial" w:eastAsia="Arial" w:hAnsi="Arial"/>
          <w:sz w:val="13"/>
          <w:szCs w:val="13"/>
          <w:b w:val="1"/>
          <w:bCs w:val="1"/>
          <w:color w:val="auto"/>
        </w:rPr>
        <w:t>SINGLE-CHAIN MULTIVALENT BINDING PROTEINS WITH EFFECTOR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19725" cy="9880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19725" cy="988060"/>
                    </a:xfrm>
                    <a:prstGeom prst="rect">
                      <a:avLst/>
                    </a:prstGeom>
                    <a:noFill/>
                  </pic:spPr>
                </pic:pic>
              </a:graphicData>
            </a:graphic>
          </wp:anchor>
        </w:drawing>
      </w:r>
    </w:p>
    <w:p>
      <w:pPr>
        <w:spacing w:after="0" w:line="126"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APVO.80102</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89"/>
              </w:rPr>
              <w:t>Subcase</w:t>
            </w:r>
          </w:p>
        </w:tc>
        <w:tc>
          <w:tcPr>
            <w:tcW w:w="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Case Type</w:t>
            </w:r>
          </w:p>
        </w:tc>
        <w:tc>
          <w:tcPr>
            <w:tcW w:w="1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Application Status</w:t>
            </w:r>
          </w:p>
        </w:tc>
        <w:tc>
          <w:tcPr>
            <w:tcW w:w="132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7"/>
              </w:rPr>
              <w:t>Application Number</w:t>
            </w:r>
          </w:p>
        </w:tc>
        <w:tc>
          <w:tcPr>
            <w:tcW w:w="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jc w:val="right"/>
              <w:ind w:right="487"/>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6"/>
              </w:rPr>
              <w:t>12/304,562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22-Jul-2010</w:t>
            </w:r>
          </w:p>
        </w:tc>
        <w:tc>
          <w:tcPr>
            <w:tcW w:w="920" w:type="dxa"/>
            <w:vAlign w:val="bottom"/>
            <w:tcBorders>
              <w:right w:val="single" w:sz="8" w:color="auto"/>
            </w:tcBorders>
          </w:tcPr>
          <w:p>
            <w:pPr>
              <w:jc w:val="right"/>
              <w:ind w:right="336"/>
              <w:spacing w:after="0"/>
              <w:rPr>
                <w:sz w:val="20"/>
                <w:szCs w:val="20"/>
                <w:color w:val="auto"/>
              </w:rPr>
            </w:pPr>
            <w:r>
              <w:rPr>
                <w:rFonts w:ascii="Arial" w:cs="Arial" w:eastAsia="Arial" w:hAnsi="Arial"/>
                <w:sz w:val="13"/>
                <w:szCs w:val="13"/>
                <w:color w:val="auto"/>
                <w:w w:val="86"/>
              </w:rPr>
              <w:t>8,409,577</w:t>
            </w:r>
          </w:p>
        </w:tc>
        <w:tc>
          <w:tcPr>
            <w:tcW w:w="920" w:type="dxa"/>
            <w:vAlign w:val="bottom"/>
          </w:tcPr>
          <w:p>
            <w:pPr>
              <w:spacing w:after="0"/>
              <w:rPr>
                <w:sz w:val="20"/>
                <w:szCs w:val="20"/>
                <w:color w:val="auto"/>
              </w:rPr>
            </w:pPr>
            <w:r>
              <w:rPr>
                <w:rFonts w:ascii="Arial" w:cs="Arial" w:eastAsia="Arial" w:hAnsi="Arial"/>
                <w:sz w:val="13"/>
                <w:szCs w:val="13"/>
                <w:color w:val="auto"/>
              </w:rPr>
              <w:t>02-Apr-2013</w:t>
            </w: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jc w:val="right"/>
              <w:ind w:right="487"/>
              <w:spacing w:after="0"/>
              <w:rPr>
                <w:sz w:val="20"/>
                <w:szCs w:val="20"/>
                <w:color w:val="auto"/>
              </w:rPr>
            </w:pPr>
            <w:r>
              <w:rPr>
                <w:rFonts w:ascii="Arial" w:cs="Arial" w:eastAsia="Arial" w:hAnsi="Arial"/>
                <w:sz w:val="10"/>
                <w:szCs w:val="10"/>
                <w:color w:val="auto"/>
                <w:w w:val="71"/>
              </w:rPr>
              <w:t>3</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6"/>
              </w:rPr>
              <w:t>15/617,833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8-June-2017</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r>
      <w:tr>
        <w:trPr>
          <w:trHeight w:val="154"/>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auto"/>
        </w:rPr>
        <w:t>CD86 Antagonist Multi-Target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-85090</wp:posOffset>
            </wp:positionV>
            <wp:extent cx="5419725" cy="9823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19725" cy="982345"/>
                    </a:xfrm>
                    <a:prstGeom prst="rect">
                      <a:avLst/>
                    </a:prstGeom>
                    <a:noFill/>
                  </pic:spPr>
                </pic:pic>
              </a:graphicData>
            </a:graphic>
          </wp:anchor>
        </w:drawing>
      </w:r>
    </w:p>
    <w:p>
      <w:pPr>
        <w:jc w:val="center"/>
        <w:ind w:right="1840"/>
        <w:spacing w:after="0"/>
        <w:rPr>
          <w:sz w:val="20"/>
          <w:szCs w:val="20"/>
          <w:color w:val="auto"/>
        </w:rPr>
      </w:pPr>
      <w:r>
        <w:rPr>
          <w:rFonts w:ascii="Arial" w:cs="Arial" w:eastAsia="Arial" w:hAnsi="Arial"/>
          <w:sz w:val="13"/>
          <w:szCs w:val="13"/>
          <w:b w:val="1"/>
          <w:bCs w:val="1"/>
          <w:color w:val="auto"/>
        </w:rPr>
        <w:t>Binding Proteins</w:t>
      </w:r>
    </w:p>
    <w:p>
      <w:pPr>
        <w:spacing w:after="0" w:line="2"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APVO.80116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2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560" w:type="dxa"/>
            <w:vAlign w:val="bottom"/>
            <w:tcBorders>
              <w:top w:val="single" w:sz="8" w:color="auto"/>
              <w:right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89"/>
              </w:rPr>
              <w:t>Subcase</w:t>
            </w: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5"/>
              </w:rPr>
              <w:t>Case Type</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Application Status</w:t>
            </w:r>
          </w:p>
        </w:tc>
        <w:tc>
          <w:tcPr>
            <w:tcW w:w="130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280" w:type="dxa"/>
            <w:vAlign w:val="bottom"/>
          </w:tcPr>
          <w:p>
            <w:pPr>
              <w:spacing w:after="0"/>
              <w:rPr>
                <w:sz w:val="15"/>
                <w:szCs w:val="15"/>
                <w:color w:val="auto"/>
              </w:rPr>
            </w:pPr>
          </w:p>
        </w:tc>
      </w:tr>
      <w:tr>
        <w:trPr>
          <w:trHeight w:val="140"/>
        </w:trPr>
        <w:tc>
          <w:tcPr>
            <w:tcW w:w="68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APVO.80116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13/122,383</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02-Oct-2009</w:t>
            </w:r>
          </w:p>
        </w:tc>
        <w:tc>
          <w:tcPr>
            <w:tcW w:w="900" w:type="dxa"/>
            <w:vAlign w:val="bottom"/>
            <w:tcBorders>
              <w:right w:val="single" w:sz="8" w:color="auto"/>
            </w:tcBorders>
          </w:tcPr>
          <w:p>
            <w:pPr>
              <w:jc w:val="right"/>
              <w:ind w:right="276"/>
              <w:spacing w:after="0"/>
              <w:rPr>
                <w:sz w:val="20"/>
                <w:szCs w:val="20"/>
                <w:color w:val="auto"/>
              </w:rPr>
            </w:pPr>
            <w:r>
              <w:rPr>
                <w:rFonts w:ascii="Arial" w:cs="Arial" w:eastAsia="Arial" w:hAnsi="Arial"/>
                <w:sz w:val="13"/>
                <w:szCs w:val="13"/>
                <w:color w:val="auto"/>
                <w:w w:val="93"/>
              </w:rPr>
              <w:t>9,493,564</w:t>
            </w:r>
          </w:p>
        </w:tc>
        <w:tc>
          <w:tcPr>
            <w:tcW w:w="940" w:type="dxa"/>
            <w:vAlign w:val="bottom"/>
          </w:tcPr>
          <w:p>
            <w:pPr>
              <w:spacing w:after="0"/>
              <w:rPr>
                <w:sz w:val="20"/>
                <w:szCs w:val="20"/>
                <w:color w:val="auto"/>
              </w:rPr>
            </w:pPr>
            <w:r>
              <w:rPr>
                <w:rFonts w:ascii="Arial" w:cs="Arial" w:eastAsia="Arial" w:hAnsi="Arial"/>
                <w:sz w:val="13"/>
                <w:szCs w:val="13"/>
                <w:color w:val="auto"/>
              </w:rPr>
              <w:t>15-Nov-2016</w:t>
            </w:r>
          </w:p>
        </w:tc>
        <w:tc>
          <w:tcPr>
            <w:tcW w:w="2280" w:type="dxa"/>
            <w:vAlign w:val="bottom"/>
          </w:tcPr>
          <w:p>
            <w:pPr>
              <w:spacing w:after="0"/>
              <w:rPr>
                <w:sz w:val="13"/>
                <w:szCs w:val="13"/>
                <w:color w:val="auto"/>
              </w:rPr>
            </w:pPr>
          </w:p>
        </w:tc>
      </w:tr>
      <w:tr>
        <w:trPr>
          <w:trHeight w:val="144"/>
        </w:trPr>
        <w:tc>
          <w:tcPr>
            <w:tcW w:w="68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APVO.80116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6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CON</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15/281,441</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30-Sep-2016</w:t>
            </w:r>
          </w:p>
        </w:tc>
        <w:tc>
          <w:tcPr>
            <w:tcW w:w="90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44"/>
        </w:trPr>
        <w:tc>
          <w:tcPr>
            <w:tcW w:w="680" w:type="dxa"/>
            <w:vAlign w:val="bottom"/>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295"/>
        </w:trPr>
        <w:tc>
          <w:tcPr>
            <w:tcW w:w="6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68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TCR Complex</w:t>
            </w: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r>
      <w:tr>
        <w:trPr>
          <w:trHeight w:val="170"/>
        </w:trPr>
        <w:tc>
          <w:tcPr>
            <w:tcW w:w="680" w:type="dxa"/>
            <w:vAlign w:val="bottom"/>
            <w:tcBorders>
              <w:right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Immunotherapeutics</w:t>
            </w:r>
          </w:p>
        </w:tc>
        <w:tc>
          <w:tcPr>
            <w:tcW w:w="1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80" w:type="dxa"/>
            <w:vAlign w:val="bottom"/>
          </w:tcPr>
          <w:p>
            <w:pPr>
              <w:spacing w:after="0"/>
              <w:rPr>
                <w:sz w:val="14"/>
                <w:szCs w:val="14"/>
                <w:color w:val="auto"/>
              </w:rPr>
            </w:pPr>
          </w:p>
        </w:tc>
      </w:tr>
      <w:tr>
        <w:trPr>
          <w:trHeight w:val="160"/>
        </w:trPr>
        <w:tc>
          <w:tcPr>
            <w:tcW w:w="680" w:type="dxa"/>
            <w:vAlign w:val="bottom"/>
            <w:tcBorders>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ind w:left="120"/>
              <w:spacing w:after="0"/>
              <w:rPr>
                <w:sz w:val="20"/>
                <w:szCs w:val="20"/>
                <w:color w:val="auto"/>
              </w:rPr>
            </w:pPr>
            <w:r>
              <w:rPr>
                <w:rFonts w:ascii="Arial" w:cs="Arial" w:eastAsia="Arial" w:hAnsi="Arial"/>
                <w:sz w:val="13"/>
                <w:szCs w:val="13"/>
                <w:b w:val="1"/>
                <w:bCs w:val="1"/>
                <w:color w:val="auto"/>
              </w:rPr>
              <w:t>APVO.80117</w:t>
            </w: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228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3"/>
              </w:rPr>
              <w:t>Subcase</w:t>
            </w:r>
          </w:p>
        </w:tc>
        <w:tc>
          <w:tcPr>
            <w:tcW w:w="60" w:type="dxa"/>
            <w:vAlign w:val="bottom"/>
            <w:tcBorders>
              <w:right w:val="single" w:sz="8" w:color="auto"/>
            </w:tcBorders>
          </w:tcPr>
          <w:p>
            <w:pPr>
              <w:spacing w:after="0"/>
              <w:rPr>
                <w:sz w:val="13"/>
                <w:szCs w:val="13"/>
                <w:color w:val="auto"/>
              </w:rPr>
            </w:pPr>
          </w:p>
        </w:tc>
        <w:tc>
          <w:tcPr>
            <w:tcW w:w="680" w:type="dxa"/>
            <w:vAlign w:val="bottom"/>
          </w:tcPr>
          <w:p>
            <w:pPr>
              <w:ind w:left="100"/>
              <w:spacing w:after="0"/>
              <w:rPr>
                <w:sz w:val="20"/>
                <w:szCs w:val="20"/>
                <w:color w:val="auto"/>
              </w:rPr>
            </w:pPr>
            <w:r>
              <w:rPr>
                <w:rFonts w:ascii="Arial" w:cs="Arial" w:eastAsia="Arial" w:hAnsi="Arial"/>
                <w:sz w:val="13"/>
                <w:szCs w:val="13"/>
                <w:b w:val="1"/>
                <w:bCs w:val="1"/>
                <w:color w:val="auto"/>
                <w:w w:val="82"/>
              </w:rPr>
              <w:t>Case Type</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280" w:type="dxa"/>
            <w:vAlign w:val="bottom"/>
          </w:tcPr>
          <w:p>
            <w:pPr>
              <w:spacing w:after="0"/>
              <w:rPr>
                <w:sz w:val="13"/>
                <w:szCs w:val="13"/>
                <w:color w:val="auto"/>
              </w:rPr>
            </w:pPr>
          </w:p>
        </w:tc>
      </w:tr>
      <w:tr>
        <w:trPr>
          <w:trHeight w:val="150"/>
        </w:trPr>
        <w:tc>
          <w:tcPr>
            <w:tcW w:w="680" w:type="dxa"/>
            <w:vAlign w:val="bottom"/>
            <w:tcBorders>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APVO.80117</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60" w:type="dxa"/>
            <w:vAlign w:val="bottom"/>
          </w:tcPr>
          <w:p>
            <w:pPr>
              <w:jc w:val="right"/>
              <w:ind w:right="442"/>
              <w:spacing w:after="0"/>
              <w:rPr>
                <w:sz w:val="20"/>
                <w:szCs w:val="20"/>
                <w:color w:val="auto"/>
              </w:rPr>
            </w:pPr>
            <w:r>
              <w:rPr>
                <w:rFonts w:ascii="Arial" w:cs="Arial" w:eastAsia="Arial" w:hAnsi="Arial"/>
                <w:sz w:val="10"/>
                <w:szCs w:val="10"/>
                <w:color w:val="auto"/>
                <w:w w:val="71"/>
              </w:rPr>
              <w:t>2</w:t>
            </w:r>
          </w:p>
        </w:tc>
        <w:tc>
          <w:tcPr>
            <w:tcW w:w="60" w:type="dxa"/>
            <w:vAlign w:val="bottom"/>
            <w:tcBorders>
              <w:right w:val="single" w:sz="8" w:color="auto"/>
            </w:tcBorders>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CON</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15/040,744</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10-Feb-2016</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381"/>
        </w:trPr>
        <w:tc>
          <w:tcPr>
            <w:tcW w:w="6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7" w:right="179" w:bottom="1440" w:gutter="0" w:footer="0" w:header="0"/>
        </w:sectPr>
      </w:pPr>
    </w:p>
    <w:bookmarkStart w:id="178" w:name="page179"/>
    <w:bookmarkEnd w:id="178"/>
    <w:p>
      <w:pPr>
        <w:jc w:val="center"/>
        <w:ind w:right="1620"/>
        <w:spacing w:after="0"/>
        <w:rPr>
          <w:sz w:val="20"/>
          <w:szCs w:val="20"/>
          <w:color w:val="auto"/>
        </w:rPr>
      </w:pPr>
      <w:r>
        <w:rPr>
          <w:rFonts w:ascii="Arial" w:cs="Arial" w:eastAsia="Arial" w:hAnsi="Arial"/>
          <w:sz w:val="13"/>
          <w:szCs w:val="13"/>
          <w:b w:val="1"/>
          <w:bCs w:val="1"/>
          <w:color w:val="auto"/>
        </w:rPr>
        <w:t>CD37 IMMUNOTHERAPEUTIC AND COMBINATION WITH BIFUNCTIONAL CHEMOTHERAPEUTIC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25440" cy="9880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25440" cy="988060"/>
                    </a:xfrm>
                    <a:prstGeom prst="rect">
                      <a:avLst/>
                    </a:prstGeom>
                    <a:noFill/>
                  </pic:spPr>
                </pic:pic>
              </a:graphicData>
            </a:graphic>
          </wp:anchor>
        </w:drawing>
      </w:r>
    </w:p>
    <w:p>
      <w:pPr>
        <w:spacing w:after="0" w:line="126"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APVO.80120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Docket Number</w:t>
            </w:r>
          </w:p>
        </w:tc>
        <w:tc>
          <w:tcPr>
            <w:tcW w:w="6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Country</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Subcase</w:t>
            </w:r>
          </w:p>
        </w:tc>
        <w:tc>
          <w:tcPr>
            <w:tcW w:w="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8"/>
              </w:rPr>
              <w:t>Case Type</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Patent Number</w:t>
            </w: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280" w:type="dxa"/>
            <w:vAlign w:val="bottom"/>
          </w:tcPr>
          <w:p>
            <w:pPr>
              <w:spacing w:after="0"/>
              <w:rPr>
                <w:sz w:val="15"/>
                <w:szCs w:val="15"/>
                <w:color w:val="auto"/>
              </w:rPr>
            </w:pPr>
          </w:p>
        </w:tc>
      </w:tr>
      <w:tr>
        <w:trPr>
          <w:trHeight w:val="140"/>
        </w:trPr>
        <w:tc>
          <w:tcPr>
            <w:tcW w:w="680" w:type="dxa"/>
            <w:vAlign w:val="bottom"/>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APVO.80120</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2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12/422,780</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13-Apr-2009</w:t>
            </w:r>
          </w:p>
        </w:tc>
        <w:tc>
          <w:tcPr>
            <w:tcW w:w="90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79"/>
              </w:rPr>
              <w:t>9,101,609</w:t>
            </w:r>
          </w:p>
        </w:tc>
        <w:tc>
          <w:tcPr>
            <w:tcW w:w="940" w:type="dxa"/>
            <w:vAlign w:val="bottom"/>
          </w:tcPr>
          <w:p>
            <w:pPr>
              <w:spacing w:after="0"/>
              <w:rPr>
                <w:sz w:val="20"/>
                <w:szCs w:val="20"/>
                <w:color w:val="auto"/>
              </w:rPr>
            </w:pPr>
            <w:r>
              <w:rPr>
                <w:rFonts w:ascii="Arial" w:cs="Arial" w:eastAsia="Arial" w:hAnsi="Arial"/>
                <w:sz w:val="13"/>
                <w:szCs w:val="13"/>
                <w:color w:val="auto"/>
              </w:rPr>
              <w:t>11-Aug-2015</w:t>
            </w:r>
          </w:p>
        </w:tc>
        <w:tc>
          <w:tcPr>
            <w:tcW w:w="2280" w:type="dxa"/>
            <w:vAlign w:val="bottom"/>
          </w:tcPr>
          <w:p>
            <w:pPr>
              <w:spacing w:after="0"/>
              <w:rPr>
                <w:sz w:val="13"/>
                <w:szCs w:val="13"/>
                <w:color w:val="auto"/>
              </w:rPr>
            </w:pPr>
          </w:p>
        </w:tc>
      </w:tr>
      <w:tr>
        <w:trPr>
          <w:trHeight w:val="144"/>
        </w:trPr>
        <w:tc>
          <w:tcPr>
            <w:tcW w:w="680" w:type="dxa"/>
            <w:vAlign w:val="bottom"/>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APVO.80120</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64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12/678,857</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15-Jul-2010</w:t>
            </w:r>
          </w:p>
        </w:tc>
        <w:tc>
          <w:tcPr>
            <w:tcW w:w="90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79"/>
              </w:rPr>
              <w:t>8,333,966</w:t>
            </w:r>
          </w:p>
        </w:tc>
        <w:tc>
          <w:tcPr>
            <w:tcW w:w="940" w:type="dxa"/>
            <w:vAlign w:val="bottom"/>
          </w:tcPr>
          <w:p>
            <w:pPr>
              <w:spacing w:after="0"/>
              <w:rPr>
                <w:sz w:val="20"/>
                <w:szCs w:val="20"/>
                <w:color w:val="auto"/>
              </w:rPr>
            </w:pPr>
            <w:r>
              <w:rPr>
                <w:rFonts w:ascii="Arial" w:cs="Arial" w:eastAsia="Arial" w:hAnsi="Arial"/>
                <w:sz w:val="13"/>
                <w:szCs w:val="13"/>
                <w:color w:val="auto"/>
              </w:rPr>
              <w:t>18-Dec-2012</w:t>
            </w:r>
          </w:p>
        </w:tc>
        <w:tc>
          <w:tcPr>
            <w:tcW w:w="2280" w:type="dxa"/>
            <w:vAlign w:val="bottom"/>
          </w:tcPr>
          <w:p>
            <w:pPr>
              <w:spacing w:after="0"/>
              <w:rPr>
                <w:sz w:val="13"/>
                <w:szCs w:val="13"/>
                <w:color w:val="auto"/>
              </w:rPr>
            </w:pPr>
          </w:p>
        </w:tc>
      </w:tr>
      <w:tr>
        <w:trPr>
          <w:trHeight w:val="154"/>
        </w:trPr>
        <w:tc>
          <w:tcPr>
            <w:tcW w:w="680" w:type="dxa"/>
            <w:vAlign w:val="bottom"/>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295"/>
        </w:trPr>
        <w:tc>
          <w:tcPr>
            <w:tcW w:w="6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rPr>
                <w:sz w:val="24"/>
                <w:szCs w:val="24"/>
                <w:color w:val="auto"/>
              </w:rPr>
            </w:pPr>
          </w:p>
        </w:tc>
        <w:tc>
          <w:tcPr>
            <w:tcW w:w="246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6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80" w:type="dxa"/>
            <w:vAlign w:val="bottom"/>
            <w:gridSpan w:val="4"/>
          </w:tcPr>
          <w:p>
            <w:pPr>
              <w:jc w:val="center"/>
              <w:ind w:right="696"/>
              <w:spacing w:after="0" w:line="101" w:lineRule="exact"/>
              <w:rPr>
                <w:sz w:val="20"/>
                <w:szCs w:val="20"/>
                <w:color w:val="auto"/>
              </w:rPr>
            </w:pPr>
            <w:r>
              <w:rPr>
                <w:rFonts w:ascii="Arial" w:cs="Arial" w:eastAsia="Arial" w:hAnsi="Arial"/>
                <w:sz w:val="11"/>
                <w:szCs w:val="11"/>
                <w:b w:val="1"/>
                <w:bCs w:val="1"/>
                <w:color w:val="auto"/>
              </w:rPr>
              <w:t>Heterodimer Binding Proteins</w:t>
            </w: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r>
      <w:tr>
        <w:trPr>
          <w:trHeight w:val="170"/>
        </w:trPr>
        <w:tc>
          <w:tcPr>
            <w:tcW w:w="68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38"/>
              <w:spacing w:after="0"/>
              <w:rPr>
                <w:sz w:val="20"/>
                <w:szCs w:val="20"/>
                <w:color w:val="auto"/>
              </w:rPr>
            </w:pPr>
            <w:r>
              <w:rPr>
                <w:rFonts w:ascii="Arial" w:cs="Arial" w:eastAsia="Arial" w:hAnsi="Arial"/>
                <w:sz w:val="13"/>
                <w:szCs w:val="13"/>
                <w:b w:val="1"/>
                <w:bCs w:val="1"/>
                <w:color w:val="auto"/>
                <w:w w:val="87"/>
              </w:rPr>
              <w:t>and Uses Thereof</w:t>
            </w:r>
          </w:p>
        </w:tc>
        <w:tc>
          <w:tcPr>
            <w:tcW w:w="1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80" w:type="dxa"/>
            <w:vAlign w:val="bottom"/>
          </w:tcPr>
          <w:p>
            <w:pPr>
              <w:spacing w:after="0"/>
              <w:rPr>
                <w:sz w:val="14"/>
                <w:szCs w:val="14"/>
                <w:color w:val="auto"/>
              </w:rPr>
            </w:pPr>
          </w:p>
        </w:tc>
      </w:tr>
      <w:tr>
        <w:trPr>
          <w:trHeight w:val="160"/>
        </w:trPr>
        <w:tc>
          <w:tcPr>
            <w:tcW w:w="68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218"/>
              <w:spacing w:after="0"/>
              <w:rPr>
                <w:sz w:val="20"/>
                <w:szCs w:val="20"/>
                <w:color w:val="auto"/>
              </w:rPr>
            </w:pPr>
            <w:r>
              <w:rPr>
                <w:rFonts w:ascii="Arial" w:cs="Arial" w:eastAsia="Arial" w:hAnsi="Arial"/>
                <w:sz w:val="13"/>
                <w:szCs w:val="13"/>
                <w:b w:val="1"/>
                <w:bCs w:val="1"/>
                <w:color w:val="auto"/>
                <w:w w:val="93"/>
              </w:rPr>
              <w:t>APVO.80121</w:t>
            </w: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228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w w:val="96"/>
              </w:rPr>
              <w:t>Country</w:t>
            </w:r>
          </w:p>
        </w:tc>
        <w:tc>
          <w:tcPr>
            <w:tcW w:w="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Subcase</w:t>
            </w:r>
          </w:p>
        </w:tc>
        <w:tc>
          <w:tcPr>
            <w:tcW w:w="7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8"/>
              </w:rPr>
              <w:t>Case Type</w:t>
            </w:r>
          </w:p>
        </w:tc>
        <w:tc>
          <w:tcPr>
            <w:tcW w:w="80" w:type="dxa"/>
            <w:vAlign w:val="bottom"/>
          </w:tcPr>
          <w:p>
            <w:pPr>
              <w:spacing w:after="0"/>
              <w:rPr>
                <w:sz w:val="13"/>
                <w:szCs w:val="13"/>
                <w:color w:val="auto"/>
              </w:rPr>
            </w:pP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280" w:type="dxa"/>
            <w:vAlign w:val="bottom"/>
          </w:tcPr>
          <w:p>
            <w:pPr>
              <w:spacing w:after="0"/>
              <w:rPr>
                <w:sz w:val="13"/>
                <w:szCs w:val="13"/>
                <w:color w:val="auto"/>
              </w:rPr>
            </w:pPr>
          </w:p>
        </w:tc>
      </w:tr>
      <w:tr>
        <w:trPr>
          <w:trHeight w:val="140"/>
        </w:trPr>
        <w:tc>
          <w:tcPr>
            <w:tcW w:w="680" w:type="dxa"/>
            <w:vAlign w:val="bottom"/>
            <w:tcBorders>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APVO.80121</w:t>
            </w:r>
          </w:p>
        </w:tc>
        <w:tc>
          <w:tcPr>
            <w:tcW w:w="600" w:type="dxa"/>
            <w:vAlign w:val="bottom"/>
          </w:tcPr>
          <w:p>
            <w:pPr>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546"/>
              <w:spacing w:after="0"/>
              <w:rPr>
                <w:sz w:val="20"/>
                <w:szCs w:val="20"/>
                <w:color w:val="auto"/>
              </w:rPr>
            </w:pPr>
            <w:r>
              <w:rPr>
                <w:rFonts w:ascii="Arial" w:cs="Arial" w:eastAsia="Arial" w:hAnsi="Arial"/>
                <w:sz w:val="5"/>
                <w:szCs w:val="5"/>
                <w:color w:val="auto"/>
                <w:w w:val="70"/>
              </w:rPr>
              <w:t>2</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15/802,636</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03-Nov-2017</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295"/>
        </w:trPr>
        <w:tc>
          <w:tcPr>
            <w:tcW w:w="6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101"/>
        </w:trPr>
        <w:tc>
          <w:tcPr>
            <w:tcW w:w="6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ind w:left="400"/>
              <w:spacing w:after="0" w:line="101" w:lineRule="exact"/>
              <w:rPr>
                <w:sz w:val="20"/>
                <w:szCs w:val="20"/>
                <w:color w:val="auto"/>
              </w:rPr>
            </w:pPr>
            <w:r>
              <w:rPr>
                <w:rFonts w:ascii="Arial" w:cs="Arial" w:eastAsia="Arial" w:hAnsi="Arial"/>
                <w:sz w:val="11"/>
                <w:szCs w:val="11"/>
                <w:b w:val="1"/>
                <w:bCs w:val="1"/>
                <w:color w:val="auto"/>
              </w:rPr>
              <w:t>RTCC</w:t>
            </w: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2280" w:type="dxa"/>
            <w:vAlign w:val="bottom"/>
          </w:tcPr>
          <w:p>
            <w:pPr>
              <w:spacing w:after="0"/>
              <w:rPr>
                <w:sz w:val="8"/>
                <w:szCs w:val="8"/>
                <w:color w:val="auto"/>
              </w:rPr>
            </w:pPr>
          </w:p>
        </w:tc>
      </w:tr>
      <w:tr>
        <w:trPr>
          <w:trHeight w:val="170"/>
        </w:trPr>
        <w:tc>
          <w:tcPr>
            <w:tcW w:w="68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Constructs</w:t>
            </w:r>
          </w:p>
        </w:tc>
        <w:tc>
          <w:tcPr>
            <w:tcW w:w="1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2280" w:type="dxa"/>
            <w:vAlign w:val="bottom"/>
          </w:tcPr>
          <w:p>
            <w:pPr>
              <w:spacing w:after="0"/>
              <w:rPr>
                <w:sz w:val="14"/>
                <w:szCs w:val="14"/>
                <w:color w:val="auto"/>
              </w:rPr>
            </w:pPr>
          </w:p>
        </w:tc>
      </w:tr>
      <w:tr>
        <w:trPr>
          <w:trHeight w:val="160"/>
        </w:trPr>
        <w:tc>
          <w:tcPr>
            <w:tcW w:w="68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6360" w:type="dxa"/>
            <w:vAlign w:val="bottom"/>
            <w:gridSpan w:val="9"/>
          </w:tcPr>
          <w:p>
            <w:pPr>
              <w:jc w:val="right"/>
              <w:ind w:right="696"/>
              <w:spacing w:after="0"/>
              <w:rPr>
                <w:sz w:val="20"/>
                <w:szCs w:val="20"/>
                <w:color w:val="auto"/>
              </w:rPr>
            </w:pPr>
            <w:r>
              <w:rPr>
                <w:rFonts w:ascii="Arial" w:cs="Arial" w:eastAsia="Arial" w:hAnsi="Arial"/>
                <w:sz w:val="13"/>
                <w:szCs w:val="13"/>
                <w:b w:val="1"/>
                <w:bCs w:val="1"/>
                <w:color w:val="auto"/>
                <w:w w:val="95"/>
              </w:rPr>
              <w:t>Prostate Specific Membrane Antigen Binding Proteins and Related Compositions and Methods</w:t>
            </w: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228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ind w:left="400"/>
              <w:spacing w:after="0"/>
              <w:rPr>
                <w:sz w:val="20"/>
                <w:szCs w:val="20"/>
                <w:color w:val="auto"/>
              </w:rPr>
            </w:pPr>
            <w:r>
              <w:rPr>
                <w:rFonts w:ascii="Arial" w:cs="Arial" w:eastAsia="Arial" w:hAnsi="Arial"/>
                <w:sz w:val="13"/>
                <w:szCs w:val="13"/>
                <w:b w:val="1"/>
                <w:bCs w:val="1"/>
                <w:color w:val="auto"/>
                <w:w w:val="93"/>
              </w:rPr>
              <w:t>APVO.80124</w:t>
            </w: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2280" w:type="dxa"/>
            <w:vAlign w:val="bottom"/>
          </w:tcPr>
          <w:p>
            <w:pPr>
              <w:spacing w:after="0"/>
              <w:rPr>
                <w:sz w:val="10"/>
                <w:szCs w:val="10"/>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w w:val="92"/>
              </w:rPr>
              <w:t>Country</w:t>
            </w:r>
          </w:p>
        </w:tc>
        <w:tc>
          <w:tcPr>
            <w:tcW w:w="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Subcase</w:t>
            </w:r>
          </w:p>
        </w:tc>
        <w:tc>
          <w:tcPr>
            <w:tcW w:w="740" w:type="dxa"/>
            <w:vAlign w:val="bottom"/>
          </w:tcPr>
          <w:p>
            <w:pPr>
              <w:ind w:left="120"/>
              <w:spacing w:after="0"/>
              <w:rPr>
                <w:sz w:val="20"/>
                <w:szCs w:val="20"/>
                <w:color w:val="auto"/>
              </w:rPr>
            </w:pPr>
            <w:r>
              <w:rPr>
                <w:rFonts w:ascii="Arial" w:cs="Arial" w:eastAsia="Arial" w:hAnsi="Arial"/>
                <w:sz w:val="13"/>
                <w:szCs w:val="13"/>
                <w:b w:val="1"/>
                <w:bCs w:val="1"/>
                <w:color w:val="auto"/>
                <w:w w:val="89"/>
              </w:rPr>
              <w:t>Case Type</w:t>
            </w:r>
          </w:p>
        </w:tc>
        <w:tc>
          <w:tcPr>
            <w:tcW w:w="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Application Status</w:t>
            </w:r>
          </w:p>
        </w:tc>
        <w:tc>
          <w:tcPr>
            <w:tcW w:w="130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280" w:type="dxa"/>
            <w:vAlign w:val="bottom"/>
          </w:tcPr>
          <w:p>
            <w:pPr>
              <w:spacing w:after="0"/>
              <w:rPr>
                <w:sz w:val="13"/>
                <w:szCs w:val="13"/>
                <w:color w:val="auto"/>
              </w:rPr>
            </w:pPr>
          </w:p>
        </w:tc>
      </w:tr>
      <w:tr>
        <w:trPr>
          <w:trHeight w:val="140"/>
        </w:trPr>
        <w:tc>
          <w:tcPr>
            <w:tcW w:w="680" w:type="dxa"/>
            <w:vAlign w:val="bottom"/>
            <w:tcBorders>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APVO.80124</w:t>
            </w:r>
          </w:p>
        </w:tc>
        <w:tc>
          <w:tcPr>
            <w:tcW w:w="600" w:type="dxa"/>
            <w:vAlign w:val="bottom"/>
          </w:tcPr>
          <w:p>
            <w:pPr>
              <w:ind w:left="20"/>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CON</w:t>
            </w:r>
          </w:p>
        </w:tc>
        <w:tc>
          <w:tcPr>
            <w:tcW w:w="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15/585,921</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03-May-2017</w:t>
            </w:r>
          </w:p>
        </w:tc>
        <w:tc>
          <w:tcPr>
            <w:tcW w:w="90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79"/>
              </w:rPr>
              <w:t>9,782,478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10-Oct-2017</w:t>
            </w:r>
          </w:p>
        </w:tc>
        <w:tc>
          <w:tcPr>
            <w:tcW w:w="2280" w:type="dxa"/>
            <w:vAlign w:val="bottom"/>
          </w:tcPr>
          <w:p>
            <w:pPr>
              <w:spacing w:after="0"/>
              <w:rPr>
                <w:sz w:val="13"/>
                <w:szCs w:val="13"/>
                <w:color w:val="auto"/>
              </w:rPr>
            </w:pPr>
          </w:p>
        </w:tc>
      </w:tr>
      <w:tr>
        <w:trPr>
          <w:trHeight w:val="154"/>
        </w:trPr>
        <w:tc>
          <w:tcPr>
            <w:tcW w:w="680" w:type="dxa"/>
            <w:vAlign w:val="bottom"/>
            <w:tcBorders>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APVO.80124</w:t>
            </w:r>
          </w:p>
        </w:tc>
        <w:tc>
          <w:tcPr>
            <w:tcW w:w="600" w:type="dxa"/>
            <w:vAlign w:val="bottom"/>
          </w:tcPr>
          <w:p>
            <w:pPr>
              <w:ind w:left="20"/>
              <w:spacing w:after="0"/>
              <w:rPr>
                <w:sz w:val="20"/>
                <w:szCs w:val="20"/>
                <w:color w:val="auto"/>
              </w:rPr>
            </w:pPr>
            <w:r>
              <w:rPr>
                <w:rFonts w:ascii="Arial" w:cs="Arial" w:eastAsia="Arial" w:hAnsi="Arial"/>
                <w:sz w:val="13"/>
                <w:szCs w:val="13"/>
                <w:color w:val="auto"/>
              </w:rPr>
              <w:t>US</w:t>
            </w:r>
          </w:p>
        </w:tc>
        <w:tc>
          <w:tcPr>
            <w:tcW w:w="6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CON</w:t>
            </w:r>
          </w:p>
        </w:tc>
        <w:tc>
          <w:tcPr>
            <w:tcW w:w="8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15/699,474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8-Sep-2017</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2280" w:type="dxa"/>
            <w:vAlign w:val="bottom"/>
          </w:tcPr>
          <w:p>
            <w:pPr>
              <w:spacing w:after="0"/>
              <w:rPr>
                <w:sz w:val="13"/>
                <w:szCs w:val="13"/>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2280" w:type="dxa"/>
            <w:vAlign w:val="bottom"/>
          </w:tcPr>
          <w:p>
            <w:pPr>
              <w:spacing w:after="0"/>
              <w:rPr>
                <w:sz w:val="12"/>
                <w:szCs w:val="12"/>
                <w:color w:val="auto"/>
              </w:rPr>
            </w:pPr>
          </w:p>
        </w:tc>
      </w:tr>
      <w:tr>
        <w:trPr>
          <w:trHeight w:val="381"/>
        </w:trPr>
        <w:tc>
          <w:tcPr>
            <w:tcW w:w="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7" w:right="179" w:bottom="1440" w:gutter="0" w:footer="0" w:header="0"/>
        </w:sectPr>
      </w:pPr>
    </w:p>
    <w:bookmarkStart w:id="179" w:name="page180"/>
    <w:bookmarkEnd w:id="179"/>
    <w:p>
      <w:pPr>
        <w:ind w:left="4300"/>
        <w:spacing w:after="0"/>
        <w:rPr>
          <w:sz w:val="20"/>
          <w:szCs w:val="20"/>
          <w:color w:val="auto"/>
        </w:rPr>
      </w:pPr>
      <w:r>
        <w:rPr>
          <w:rFonts w:ascii="Arial" w:cs="Arial" w:eastAsia="Arial" w:hAnsi="Arial"/>
          <w:sz w:val="13"/>
          <w:szCs w:val="13"/>
          <w:b w:val="1"/>
          <w:bCs w:val="1"/>
          <w:color w:val="auto"/>
        </w:rPr>
        <w:t>CD3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-85090</wp:posOffset>
            </wp:positionV>
            <wp:extent cx="5425440" cy="8610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25440" cy="861060"/>
                    </a:xfrm>
                    <a:prstGeom prst="rect">
                      <a:avLst/>
                    </a:prstGeom>
                    <a:noFill/>
                  </pic:spPr>
                </pic:pic>
              </a:graphicData>
            </a:graphic>
          </wp:anchor>
        </w:drawing>
      </w:r>
    </w:p>
    <w:p>
      <w:pPr>
        <w:ind w:left="4140"/>
        <w:spacing w:after="0" w:line="214" w:lineRule="auto"/>
        <w:rPr>
          <w:sz w:val="20"/>
          <w:szCs w:val="20"/>
          <w:color w:val="auto"/>
        </w:rPr>
      </w:pPr>
      <w:r>
        <w:rPr>
          <w:rFonts w:ascii="Arial" w:cs="Arial" w:eastAsia="Arial" w:hAnsi="Arial"/>
          <w:sz w:val="13"/>
          <w:szCs w:val="13"/>
          <w:b w:val="1"/>
          <w:bCs w:val="1"/>
          <w:color w:val="auto"/>
        </w:rPr>
        <w:t>BINDING</w:t>
      </w:r>
    </w:p>
    <w:p>
      <w:pPr>
        <w:ind w:left="4000"/>
        <w:spacing w:after="0" w:line="230" w:lineRule="auto"/>
        <w:rPr>
          <w:sz w:val="20"/>
          <w:szCs w:val="20"/>
          <w:color w:val="auto"/>
        </w:rPr>
      </w:pPr>
      <w:r>
        <w:rPr>
          <w:rFonts w:ascii="Arial" w:cs="Arial" w:eastAsia="Arial" w:hAnsi="Arial"/>
          <w:sz w:val="13"/>
          <w:szCs w:val="13"/>
          <w:b w:val="1"/>
          <w:bCs w:val="1"/>
          <w:color w:val="auto"/>
        </w:rPr>
        <w:t>POLYPEPTIDES</w:t>
      </w:r>
    </w:p>
    <w:p>
      <w:pPr>
        <w:ind w:left="4060"/>
        <w:spacing w:after="0"/>
        <w:rPr>
          <w:sz w:val="20"/>
          <w:szCs w:val="20"/>
          <w:color w:val="auto"/>
        </w:rPr>
      </w:pPr>
      <w:r>
        <w:rPr>
          <w:rFonts w:ascii="Arial" w:cs="Arial" w:eastAsia="Arial" w:hAnsi="Arial"/>
          <w:sz w:val="13"/>
          <w:szCs w:val="13"/>
          <w:b w:val="1"/>
          <w:bCs w:val="1"/>
          <w:color w:val="auto"/>
        </w:rPr>
        <w:t>APVO.80126</w:t>
      </w:r>
    </w:p>
    <w:p>
      <w:pPr>
        <w:spacing w:after="0" w:line="125" w:lineRule="exact"/>
        <w:rPr>
          <w:sz w:val="20"/>
          <w:szCs w:val="20"/>
          <w:color w:val="auto"/>
        </w:rPr>
      </w:pPr>
    </w:p>
    <w:tbl>
      <w:tblPr>
        <w:tblLayout w:type="fixed"/>
        <w:tblInd w:w="670" w:type="dxa"/>
        <w:tblCellMar>
          <w:top w:w="0" w:type="dxa"/>
          <w:left w:w="0" w:type="dxa"/>
          <w:bottom w:w="0" w:type="dxa"/>
          <w:right w:w="0" w:type="dxa"/>
        </w:tblCellMar>
      </w:tblPr>
      <w:tr>
        <w:trPr>
          <w:trHeight w:val="175"/>
        </w:trPr>
        <w:tc>
          <w:tcPr>
            <w:tcW w:w="1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40" w:type="dxa"/>
            <w:vAlign w:val="bottom"/>
            <w:tcBorders>
              <w:top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89"/>
              </w:rPr>
              <w:t>Subcase</w:t>
            </w:r>
          </w:p>
        </w:tc>
        <w:tc>
          <w:tcPr>
            <w:tcW w:w="7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5"/>
              </w:rPr>
              <w:t>Case Type</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4"/>
              </w:rPr>
              <w:t>Application Status</w:t>
            </w:r>
          </w:p>
        </w:tc>
        <w:tc>
          <w:tcPr>
            <w:tcW w:w="130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w w:val="92"/>
              </w:rPr>
              <w:t>Patent Number</w:t>
            </w: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51"/>
        </w:trPr>
        <w:tc>
          <w:tcPr>
            <w:tcW w:w="12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14/395,689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4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154"/>
        </w:trPr>
        <w:tc>
          <w:tcPr>
            <w:tcW w:w="12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29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5"/>
        </w:trPr>
        <w:tc>
          <w:tcPr>
            <w:tcW w:w="1260" w:type="dxa"/>
            <w:vAlign w:val="bottom"/>
            <w:tcBorders>
              <w:lef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0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w w:val="96"/>
              </w:rPr>
              <w:t>Cell Line-Based Redirected T-Cell Cytotoxicity Assay</w:t>
            </w: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21"/>
        </w:trPr>
        <w:tc>
          <w:tcPr>
            <w:tcW w:w="126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r>
        <w:trPr>
          <w:trHeight w:val="155"/>
        </w:trPr>
        <w:tc>
          <w:tcPr>
            <w:tcW w:w="1260" w:type="dxa"/>
            <w:vAlign w:val="bottom"/>
            <w:tcBorders>
              <w:lef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ind w:left="140"/>
              <w:spacing w:after="0"/>
              <w:rPr>
                <w:sz w:val="20"/>
                <w:szCs w:val="20"/>
                <w:color w:val="auto"/>
              </w:rPr>
            </w:pPr>
            <w:r>
              <w:rPr>
                <w:rFonts w:ascii="Arial" w:cs="Arial" w:eastAsia="Arial" w:hAnsi="Arial"/>
                <w:sz w:val="13"/>
                <w:szCs w:val="13"/>
                <w:b w:val="1"/>
                <w:bCs w:val="1"/>
                <w:color w:val="auto"/>
              </w:rPr>
              <w:t>APVO.80135</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21"/>
        </w:trPr>
        <w:tc>
          <w:tcPr>
            <w:tcW w:w="126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r>
        <w:trPr>
          <w:trHeight w:val="155"/>
        </w:trPr>
        <w:tc>
          <w:tcPr>
            <w:tcW w:w="12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Pr>
          <w:p>
            <w:pPr>
              <w:ind w:left="120"/>
              <w:spacing w:after="0"/>
              <w:rPr>
                <w:sz w:val="20"/>
                <w:szCs w:val="20"/>
                <w:color w:val="auto"/>
              </w:rPr>
            </w:pPr>
            <w:r>
              <w:rPr>
                <w:rFonts w:ascii="Arial" w:cs="Arial" w:eastAsia="Arial" w:hAnsi="Arial"/>
                <w:sz w:val="13"/>
                <w:szCs w:val="13"/>
                <w:b w:val="1"/>
                <w:bCs w:val="1"/>
                <w:color w:val="auto"/>
              </w:rPr>
              <w:t>Country</w:t>
            </w:r>
          </w:p>
        </w:tc>
        <w:tc>
          <w:tcPr>
            <w:tcW w:w="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89"/>
              </w:rPr>
              <w:t>Subcase</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Case Type</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4"/>
              </w:rPr>
              <w:t>Application Status</w:t>
            </w:r>
          </w:p>
        </w:tc>
        <w:tc>
          <w:tcPr>
            <w:tcW w:w="130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w w:val="92"/>
              </w:rPr>
              <w:t>Patent Number</w:t>
            </w:r>
          </w:p>
        </w:tc>
        <w:tc>
          <w:tcPr>
            <w:tcW w:w="90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50"/>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APVO.80135</w:t>
            </w:r>
          </w:p>
        </w:tc>
        <w:tc>
          <w:tcPr>
            <w:tcW w:w="660" w:type="dxa"/>
            <w:vAlign w:val="bottom"/>
          </w:tcPr>
          <w:p>
            <w:pPr>
              <w:spacing w:after="0"/>
              <w:rPr>
                <w:sz w:val="20"/>
                <w:szCs w:val="20"/>
                <w:color w:val="auto"/>
              </w:rPr>
            </w:pPr>
            <w:r>
              <w:rPr>
                <w:rFonts w:ascii="Arial" w:cs="Arial" w:eastAsia="Arial" w:hAnsi="Arial"/>
                <w:sz w:val="13"/>
                <w:szCs w:val="13"/>
                <w:color w:val="auto"/>
              </w:rPr>
              <w:t>US</w:t>
            </w:r>
          </w:p>
        </w:tc>
        <w:tc>
          <w:tcPr>
            <w:tcW w:w="40" w:type="dxa"/>
            <w:vAlign w:val="bottom"/>
            <w:tcBorders>
              <w:right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jc w:val="right"/>
              <w:ind w:right="676"/>
              <w:spacing w:after="0"/>
              <w:rPr>
                <w:sz w:val="20"/>
                <w:szCs w:val="20"/>
                <w:color w:val="auto"/>
              </w:rPr>
            </w:pPr>
            <w:r>
              <w:rPr>
                <w:rFonts w:ascii="Arial" w:cs="Arial" w:eastAsia="Arial" w:hAnsi="Arial"/>
                <w:sz w:val="13"/>
                <w:szCs w:val="13"/>
                <w:color w:val="auto"/>
                <w:w w:val="82"/>
              </w:rPr>
              <w:t>15/126,922</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16-Sep-2016</w:t>
            </w:r>
          </w:p>
        </w:tc>
        <w:tc>
          <w:tcPr>
            <w:tcW w:w="94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398" w:lineRule="exact"/>
        <w:rPr>
          <w:sz w:val="20"/>
          <w:szCs w:val="20"/>
          <w:color w:val="auto"/>
        </w:rPr>
      </w:pPr>
    </w:p>
    <w:p>
      <w:pPr>
        <w:ind w:left="1860"/>
        <w:spacing w:after="0"/>
        <w:rPr>
          <w:sz w:val="20"/>
          <w:szCs w:val="20"/>
          <w:color w:val="auto"/>
        </w:rPr>
      </w:pPr>
      <w:r>
        <w:rPr>
          <w:rFonts w:ascii="Arial" w:cs="Arial" w:eastAsia="Arial" w:hAnsi="Arial"/>
          <w:sz w:val="13"/>
          <w:szCs w:val="13"/>
          <w:b w:val="1"/>
          <w:bCs w:val="1"/>
          <w:color w:val="auto"/>
        </w:rPr>
        <w:t>Compositions and Methods for Combination Therapy with Prostate-Specific Membrane Antigen Binding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19725" cy="7823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19725" cy="782320"/>
                    </a:xfrm>
                    <a:prstGeom prst="rect">
                      <a:avLst/>
                    </a:prstGeom>
                    <a:noFill/>
                  </pic:spPr>
                </pic:pic>
              </a:graphicData>
            </a:graphic>
          </wp:anchor>
        </w:drawing>
      </w:r>
    </w:p>
    <w:p>
      <w:pPr>
        <w:spacing w:after="0" w:line="126"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APVO.80137</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Subcase</w:t>
            </w:r>
          </w:p>
        </w:tc>
        <w:tc>
          <w:tcPr>
            <w:tcW w:w="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Case Type</w:t>
            </w:r>
          </w:p>
        </w:tc>
        <w:tc>
          <w:tcPr>
            <w:tcW w:w="11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4"/>
              </w:rPr>
              <w:t>Application Status</w:t>
            </w:r>
          </w:p>
        </w:tc>
        <w:tc>
          <w:tcPr>
            <w:tcW w:w="13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8"/>
              </w:rPr>
              <w:t>Application Number</w:t>
            </w:r>
          </w:p>
        </w:tc>
        <w:tc>
          <w:tcPr>
            <w:tcW w:w="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APVO.80137</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15/550,143</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10-Aug-2017</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00" w:type="dxa"/>
            <w:vAlign w:val="bottom"/>
            <w:gridSpan w:val="3"/>
          </w:tcPr>
          <w:p>
            <w:pPr>
              <w:jc w:val="center"/>
              <w:ind w:right="756"/>
              <w:spacing w:after="0"/>
              <w:rPr>
                <w:sz w:val="20"/>
                <w:szCs w:val="20"/>
                <w:color w:val="auto"/>
              </w:rPr>
            </w:pPr>
            <w:r>
              <w:rPr>
                <w:rFonts w:ascii="Arial" w:cs="Arial" w:eastAsia="Arial" w:hAnsi="Arial"/>
                <w:sz w:val="13"/>
                <w:szCs w:val="13"/>
                <w:b w:val="1"/>
                <w:bCs w:val="1"/>
                <w:color w:val="auto"/>
                <w:w w:val="88"/>
              </w:rPr>
              <w:t>CD3 Binding Polypeptides</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jc w:val="center"/>
              <w:ind w:right="236"/>
              <w:spacing w:after="0"/>
              <w:rPr>
                <w:sz w:val="20"/>
                <w:szCs w:val="20"/>
                <w:color w:val="auto"/>
              </w:rPr>
            </w:pPr>
            <w:r>
              <w:rPr>
                <w:rFonts w:ascii="Arial" w:cs="Arial" w:eastAsia="Arial" w:hAnsi="Arial"/>
                <w:sz w:val="13"/>
                <w:szCs w:val="13"/>
                <w:b w:val="1"/>
                <w:bCs w:val="1"/>
                <w:color w:val="auto"/>
                <w:w w:val="93"/>
              </w:rPr>
              <w:t>APVO.80138</w:t>
            </w:r>
          </w:p>
        </w:tc>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Case Type</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9"/>
              </w:rPr>
              <w:t>Application Status</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680" w:type="dxa"/>
            <w:vAlign w:val="bottom"/>
            <w:tcBorders>
              <w:right w:val="single" w:sz="8" w:color="auto"/>
            </w:tcBorders>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680" w:type="dxa"/>
            <w:vAlign w:val="bottom"/>
            <w:tcBorders>
              <w:right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1"/>
        </w:trPr>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6" w:right="179" w:bottom="1440" w:gutter="0" w:footer="0" w:header="0"/>
        </w:sectPr>
      </w:pPr>
    </w:p>
    <w:bookmarkStart w:id="180" w:name="page181"/>
    <w:bookmarkEnd w:id="180"/>
    <w:tbl>
      <w:tblPr>
        <w:tblLayout w:type="fixed"/>
        <w:tblInd w:w="670" w:type="dxa"/>
        <w:tblCellMar>
          <w:top w:w="0" w:type="dxa"/>
          <w:left w:w="0" w:type="dxa"/>
          <w:bottom w:w="0" w:type="dxa"/>
          <w:right w:w="0" w:type="dxa"/>
        </w:tblCellMar>
      </w:tblPr>
      <w:tr>
        <w:trPr>
          <w:trHeight w:val="171"/>
        </w:trPr>
        <w:tc>
          <w:tcPr>
            <w:tcW w:w="1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jc w:val="right"/>
              <w:ind w:right="676"/>
              <w:spacing w:after="0"/>
              <w:rPr>
                <w:sz w:val="20"/>
                <w:szCs w:val="20"/>
                <w:color w:val="auto"/>
              </w:rPr>
            </w:pPr>
            <w:r>
              <w:rPr>
                <w:rFonts w:ascii="Arial" w:cs="Arial" w:eastAsia="Arial" w:hAnsi="Arial"/>
                <w:sz w:val="13"/>
                <w:szCs w:val="13"/>
                <w:color w:val="auto"/>
                <w:w w:val="86"/>
              </w:rPr>
              <w:t>15/761,499</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Arial" w:cs="Arial" w:eastAsia="Arial" w:hAnsi="Arial"/>
          <w:sz w:val="13"/>
          <w:szCs w:val="13"/>
          <w:b w:val="1"/>
          <w:bCs w:val="1"/>
          <w:color w:val="auto"/>
        </w:rPr>
        <w:t>CD123 Binding Proteins and Related Compositions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-86360</wp:posOffset>
            </wp:positionV>
            <wp:extent cx="5419725" cy="988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19725" cy="988060"/>
                    </a:xfrm>
                    <a:prstGeom prst="rect">
                      <a:avLst/>
                    </a:prstGeom>
                    <a:noFill/>
                  </pic:spPr>
                </pic:pic>
              </a:graphicData>
            </a:graphic>
          </wp:anchor>
        </w:drawing>
      </w:r>
    </w:p>
    <w:p>
      <w:pPr>
        <w:spacing w:after="0" w:line="126"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APVO.80141</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1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8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Case Type</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12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8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PCT/US2017/052808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21-Sep-2017</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15/933,324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0"/>
              </w:rPr>
              <w:t>22-March-2018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Oncofetal Antigen Binding Proteins and Related Compositions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-92075</wp:posOffset>
            </wp:positionV>
            <wp:extent cx="5419725" cy="14065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19725" cy="1406525"/>
                    </a:xfrm>
                    <a:prstGeom prst="rect">
                      <a:avLst/>
                    </a:prstGeom>
                    <a:noFill/>
                  </pic:spPr>
                </pic:pic>
              </a:graphicData>
            </a:graphic>
          </wp:anchor>
        </w:drawing>
      </w:r>
    </w:p>
    <w:p>
      <w:pPr>
        <w:spacing w:after="0" w:line="126"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color w:val="auto"/>
        </w:rPr>
        <w:t>APVO.142 (Co-owned with</w:t>
      </w:r>
    </w:p>
    <w:p>
      <w:pPr>
        <w:spacing w:after="0" w:line="16" w:lineRule="exact"/>
        <w:rPr>
          <w:sz w:val="20"/>
          <w:szCs w:val="20"/>
          <w:color w:val="auto"/>
        </w:rPr>
      </w:pPr>
    </w:p>
    <w:p>
      <w:pPr>
        <w:jc w:val="center"/>
        <w:ind w:right="1860"/>
        <w:spacing w:after="0"/>
        <w:rPr>
          <w:sz w:val="20"/>
          <w:szCs w:val="20"/>
          <w:color w:val="auto"/>
        </w:rPr>
      </w:pPr>
      <w:r>
        <w:rPr>
          <w:rFonts w:ascii="Arial" w:cs="Arial" w:eastAsia="Arial" w:hAnsi="Arial"/>
          <w:sz w:val="13"/>
          <w:szCs w:val="13"/>
          <w:b w:val="1"/>
          <w:bCs w:val="1"/>
          <w:color w:val="auto"/>
        </w:rPr>
        <w:t>Alligator Bioscience)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spacing w:after="0"/>
              <w:rPr>
                <w:sz w:val="14"/>
                <w:szCs w:val="14"/>
                <w:color w:val="auto"/>
              </w:rPr>
            </w:pPr>
          </w:p>
        </w:tc>
        <w:tc>
          <w:tcPr>
            <w:tcW w:w="1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8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Case Type</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660" w:type="dxa"/>
            <w:vAlign w:val="bottom"/>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62/575,820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23-Oct-2017</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62/648,072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26-Mar-2018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PRI</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20-July-2018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16/041,309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20-July-2018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6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310" w:right="179" w:bottom="1440" w:gutter="0" w:footer="0" w:header="0"/>
        </w:sectPr>
      </w:pPr>
    </w:p>
    <w:bookmarkStart w:id="181" w:name="page182"/>
    <w:bookmarkEnd w:id="181"/>
    <w:p>
      <w:pPr>
        <w:jc w:val="center"/>
        <w:ind w:right="1860"/>
        <w:spacing w:after="0"/>
        <w:rPr>
          <w:sz w:val="20"/>
          <w:szCs w:val="20"/>
          <w:color w:val="auto"/>
        </w:rPr>
      </w:pPr>
      <w:r>
        <w:rPr>
          <w:rFonts w:ascii="Arial" w:cs="Arial" w:eastAsia="Arial" w:hAnsi="Arial"/>
          <w:sz w:val="13"/>
          <w:szCs w:val="13"/>
          <w:b w:val="1"/>
          <w:bCs w:val="1"/>
          <w:color w:val="auto"/>
        </w:rPr>
        <w:t>Protein Therapeutics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-85090</wp:posOffset>
            </wp:positionV>
            <wp:extent cx="5419725" cy="7823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19725" cy="782320"/>
                    </a:xfrm>
                    <a:prstGeom prst="rect">
                      <a:avLst/>
                    </a:prstGeom>
                    <a:noFill/>
                  </pic:spPr>
                </pic:pic>
              </a:graphicData>
            </a:graphic>
          </wp:anchor>
        </w:drawing>
      </w:r>
    </w:p>
    <w:p>
      <w:pPr>
        <w:jc w:val="center"/>
        <w:ind w:right="1860"/>
        <w:spacing w:after="0"/>
        <w:rPr>
          <w:sz w:val="20"/>
          <w:szCs w:val="20"/>
          <w:color w:val="auto"/>
        </w:rPr>
      </w:pPr>
      <w:r>
        <w:rPr>
          <w:rFonts w:ascii="Arial" w:cs="Arial" w:eastAsia="Arial" w:hAnsi="Arial"/>
          <w:sz w:val="13"/>
          <w:szCs w:val="13"/>
          <w:b w:val="1"/>
          <w:bCs w:val="1"/>
          <w:color w:val="auto"/>
        </w:rPr>
        <w:t>Cytokine Delivery</w:t>
      </w:r>
    </w:p>
    <w:p>
      <w:pPr>
        <w:spacing w:after="0" w:line="2"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APVO.80144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2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6"/>
              </w:rPr>
              <w:t>Case Type</w:t>
            </w:r>
          </w:p>
        </w:tc>
        <w:tc>
          <w:tcPr>
            <w:tcW w:w="240" w:type="dxa"/>
            <w:vAlign w:val="bottom"/>
            <w:tcBorders>
              <w:top w:val="single" w:sz="8" w:color="auto"/>
              <w:right w:val="single" w:sz="8" w:color="auto"/>
            </w:tcBorders>
          </w:tcPr>
          <w:p>
            <w:pPr>
              <w:spacing w:after="0"/>
              <w:rPr>
                <w:sz w:val="15"/>
                <w:szCs w:val="15"/>
                <w:color w:val="auto"/>
              </w:rPr>
            </w:pP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APVO.80144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PRO</w:t>
            </w: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62/667,404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04-May-2018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8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0" w:type="dxa"/>
            <w:vAlign w:val="bottom"/>
            <w:gridSpan w:val="2"/>
          </w:tcPr>
          <w:p>
            <w:pPr>
              <w:jc w:val="center"/>
              <w:spacing w:after="0" w:line="101" w:lineRule="exact"/>
              <w:rPr>
                <w:sz w:val="20"/>
                <w:szCs w:val="20"/>
                <w:color w:val="auto"/>
              </w:rPr>
            </w:pPr>
            <w:r>
              <w:rPr>
                <w:rFonts w:ascii="Arial" w:cs="Arial" w:eastAsia="Arial" w:hAnsi="Arial"/>
                <w:sz w:val="11"/>
                <w:szCs w:val="11"/>
                <w:b w:val="1"/>
                <w:bCs w:val="1"/>
                <w:color w:val="auto"/>
              </w:rPr>
              <w:t>Formulations Of Protein</w:t>
            </w:r>
          </w:p>
        </w:tc>
        <w:tc>
          <w:tcPr>
            <w:tcW w:w="1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680" w:type="dxa"/>
            <w:vAlign w:val="bottom"/>
            <w:tcBorders>
              <w:right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b w:val="1"/>
                <w:bCs w:val="1"/>
                <w:color w:val="auto"/>
                <w:w w:val="88"/>
              </w:rPr>
              <w:t>Therapeutics</w:t>
            </w:r>
          </w:p>
        </w:tc>
        <w:tc>
          <w:tcPr>
            <w:tcW w:w="1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0" w:type="dxa"/>
            <w:vAlign w:val="bottom"/>
            <w:tcBorders>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216"/>
              <w:spacing w:after="0"/>
              <w:rPr>
                <w:sz w:val="20"/>
                <w:szCs w:val="20"/>
                <w:color w:val="auto"/>
              </w:rPr>
            </w:pPr>
            <w:r>
              <w:rPr>
                <w:rFonts w:ascii="Arial" w:cs="Arial" w:eastAsia="Arial" w:hAnsi="Arial"/>
                <w:sz w:val="13"/>
                <w:szCs w:val="13"/>
                <w:b w:val="1"/>
                <w:bCs w:val="1"/>
                <w:color w:val="auto"/>
                <w:w w:val="93"/>
              </w:rPr>
              <w:t>APVO.80145</w:t>
            </w: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80" w:type="dxa"/>
            <w:vAlign w:val="bottom"/>
            <w:tcBorders>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Subcase</w:t>
            </w:r>
          </w:p>
        </w:tc>
        <w:tc>
          <w:tcPr>
            <w:tcW w:w="580" w:type="dxa"/>
            <w:vAlign w:val="bottom"/>
          </w:tcPr>
          <w:p>
            <w:pPr>
              <w:spacing w:after="0"/>
              <w:rPr>
                <w:sz w:val="20"/>
                <w:szCs w:val="20"/>
                <w:color w:val="auto"/>
              </w:rPr>
            </w:pPr>
            <w:r>
              <w:rPr>
                <w:rFonts w:ascii="Arial" w:cs="Arial" w:eastAsia="Arial" w:hAnsi="Arial"/>
                <w:sz w:val="13"/>
                <w:szCs w:val="13"/>
                <w:b w:val="1"/>
                <w:bCs w:val="1"/>
                <w:color w:val="auto"/>
                <w:w w:val="86"/>
              </w:rPr>
              <w:t>Case Type</w:t>
            </w: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0" w:type="dxa"/>
            <w:vAlign w:val="bottom"/>
            <w:tcBorders>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8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APVO.80145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PRO</w:t>
            </w:r>
          </w:p>
        </w:tc>
        <w:tc>
          <w:tcPr>
            <w:tcW w:w="2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62/667,402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04-May-2018</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Borders>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621" w:right="179" w:bottom="1440" w:gutter="0" w:footer="0" w:header="0"/>
        </w:sectPr>
      </w:pPr>
    </w:p>
    <w:bookmarkStart w:id="182" w:name="page183"/>
    <w:bookmarkEnd w:id="182"/>
    <w:p>
      <w:pPr>
        <w:ind w:left="5460"/>
        <w:spacing w:after="0"/>
        <w:rPr>
          <w:sz w:val="20"/>
          <w:szCs w:val="20"/>
          <w:color w:val="auto"/>
        </w:rPr>
      </w:pPr>
      <w:r>
        <w:rPr>
          <w:rFonts w:ascii="Arial" w:cs="Arial" w:eastAsia="Arial" w:hAnsi="Arial"/>
          <w:sz w:val="14"/>
          <w:szCs w:val="14"/>
          <w:u w:val="single" w:color="auto"/>
          <w:color w:val="auto"/>
        </w:rPr>
        <w:t>EXHIBIT C</w:t>
      </w:r>
    </w:p>
    <w:p>
      <w:pPr>
        <w:spacing w:after="0" w:line="145"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Trademarks</w:t>
      </w:r>
    </w:p>
    <w:p>
      <w:pPr>
        <w:spacing w:after="0" w:line="200" w:lineRule="exact"/>
        <w:rPr>
          <w:sz w:val="20"/>
          <w:szCs w:val="20"/>
          <w:color w:val="auto"/>
        </w:rPr>
      </w:pPr>
    </w:p>
    <w:p>
      <w:pPr>
        <w:spacing w:after="0" w:line="355" w:lineRule="exact"/>
        <w:rPr>
          <w:sz w:val="20"/>
          <w:szCs w:val="20"/>
          <w:color w:val="auto"/>
        </w:rPr>
      </w:pPr>
    </w:p>
    <w:p>
      <w:pPr>
        <w:spacing w:after="0"/>
        <w:tabs>
          <w:tab w:leader="none" w:pos="4060" w:val="left"/>
        </w:tabs>
        <w:rPr>
          <w:sz w:val="20"/>
          <w:szCs w:val="20"/>
          <w:color w:val="auto"/>
        </w:rPr>
      </w:pPr>
      <w:r>
        <w:rPr>
          <w:rFonts w:ascii="Arial" w:cs="Arial" w:eastAsia="Arial" w:hAnsi="Arial"/>
          <w:sz w:val="14"/>
          <w:szCs w:val="14"/>
          <w:u w:val="single" w:color="auto"/>
          <w:color w:val="auto"/>
        </w:rPr>
        <w:t>Description</w:t>
      </w:r>
      <w:r>
        <w:rPr>
          <w:sz w:val="20"/>
          <w:szCs w:val="20"/>
          <w:color w:val="auto"/>
        </w:rPr>
        <w:tab/>
      </w:r>
      <w:r>
        <w:rPr>
          <w:rFonts w:ascii="Arial" w:cs="Arial" w:eastAsia="Arial" w:hAnsi="Arial"/>
          <w:sz w:val="14"/>
          <w:szCs w:val="14"/>
          <w:color w:val="auto"/>
        </w:rPr>
        <w:t>Registration/</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14"/>
          <w:szCs w:val="14"/>
          <w:color w:val="auto"/>
        </w:rPr>
        <w:t xml:space="preserve">Application </w:t>
      </w:r>
      <w:r>
        <w:rPr>
          <w:rFonts w:ascii="Arial" w:cs="Arial" w:eastAsia="Arial" w:hAnsi="Arial"/>
          <w:sz w:val="14"/>
          <w:szCs w:val="14"/>
          <w:u w:val="single" w:color="auto"/>
          <w:color w:val="auto"/>
        </w:rPr>
        <w:t>Number</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Registration/ Application </w:t>
      </w:r>
      <w:r>
        <w:rPr>
          <w:rFonts w:ascii="Arial" w:cs="Arial" w:eastAsia="Arial" w:hAnsi="Arial"/>
          <w:sz w:val="14"/>
          <w:szCs w:val="14"/>
          <w:u w:val="single" w:color="auto"/>
          <w:color w:val="auto"/>
        </w:rPr>
        <w:t>Date</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305435</wp:posOffset>
            </wp:positionV>
            <wp:extent cx="732409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940"/>
          </w:cols>
          <w:pgMar w:left="320" w:top="165" w:right="639" w:bottom="1440" w:gutter="0" w:footer="0" w:header="0"/>
        </w:sectPr>
      </w:pPr>
    </w:p>
    <w:bookmarkStart w:id="183" w:name="page184"/>
    <w:bookmarkEnd w:id="183"/>
    <w:p>
      <w:pPr>
        <w:ind w:left="620" w:hanging="347"/>
        <w:spacing w:after="0"/>
        <w:tabs>
          <w:tab w:leader="none" w:pos="620"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Trademarks</w:t>
      </w:r>
    </w:p>
    <w:p>
      <w:pPr>
        <w:spacing w:after="0" w:line="163" w:lineRule="exact"/>
        <w:rPr>
          <w:sz w:val="20"/>
          <w:szCs w:val="20"/>
          <w:color w:val="auto"/>
        </w:rPr>
      </w:pPr>
    </w:p>
    <w:p>
      <w:pPr>
        <w:ind w:left="3580"/>
        <w:spacing w:after="0"/>
        <w:rPr>
          <w:sz w:val="20"/>
          <w:szCs w:val="20"/>
          <w:color w:val="auto"/>
        </w:rPr>
      </w:pPr>
      <w:r>
        <w:rPr>
          <w:rFonts w:ascii="Arial" w:cs="Arial" w:eastAsia="Arial" w:hAnsi="Arial"/>
          <w:sz w:val="13"/>
          <w:szCs w:val="13"/>
          <w:b w:val="1"/>
          <w:bCs w:val="1"/>
          <w:color w:val="auto"/>
        </w:rPr>
        <w:t>ADAPTIR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4546600" cy="612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46600" cy="612140"/>
                    </a:xfrm>
                    <a:prstGeom prst="rect">
                      <a:avLst/>
                    </a:prstGeom>
                    <a:noFill/>
                  </pic:spPr>
                </pic:pic>
              </a:graphicData>
            </a:graphic>
          </wp:anchor>
        </w:drawing>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1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Trademark Name</w:t>
            </w:r>
          </w:p>
        </w:tc>
        <w:tc>
          <w:tcPr>
            <w:tcW w:w="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Status</w:t>
            </w:r>
          </w:p>
        </w:tc>
        <w:tc>
          <w:tcPr>
            <w:tcW w:w="106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Registration No.</w:t>
            </w:r>
          </w:p>
        </w:tc>
        <w:tc>
          <w:tcPr>
            <w:tcW w:w="162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106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86/974,244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13-Apr-2016</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4674235" cy="7092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674235" cy="709295"/>
                    </a:xfrm>
                    <a:prstGeom prst="rect">
                      <a:avLst/>
                    </a:prstGeom>
                    <a:noFill/>
                  </pic:spPr>
                </pic:pic>
              </a:graphicData>
            </a:graphic>
          </wp:anchor>
        </w:drawing>
      </w:r>
    </w:p>
    <w:p>
      <w:pPr>
        <w:ind w:left="3060"/>
        <w:spacing w:after="0"/>
        <w:rPr>
          <w:sz w:val="20"/>
          <w:szCs w:val="20"/>
          <w:color w:val="auto"/>
        </w:rPr>
      </w:pPr>
      <w:r>
        <w:rPr>
          <w:rFonts w:ascii="Arial" w:cs="Arial" w:eastAsia="Arial" w:hAnsi="Arial"/>
          <w:sz w:val="13"/>
          <w:szCs w:val="13"/>
          <w:b w:val="1"/>
          <w:bCs w:val="1"/>
          <w:color w:val="auto"/>
        </w:rPr>
        <w:t>BIOTHERAPEUTICS</w:t>
      </w:r>
    </w:p>
    <w:p>
      <w:pPr>
        <w:spacing w:after="0" w:line="3"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0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Registration No.</w:t>
            </w:r>
          </w:p>
        </w:tc>
        <w:tc>
          <w:tcPr>
            <w:tcW w:w="1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139"/>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US</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Allowed</w:t>
            </w: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86/859161</w:t>
            </w:r>
          </w:p>
        </w:tc>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28-Dec-2015</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680"/>
        <w:spacing w:after="0"/>
        <w:rPr>
          <w:sz w:val="20"/>
          <w:szCs w:val="20"/>
          <w:color w:val="auto"/>
        </w:rPr>
      </w:pPr>
      <w:r>
        <w:rPr>
          <w:rFonts w:ascii="Arial" w:cs="Arial" w:eastAsia="Arial" w:hAnsi="Arial"/>
          <w:sz w:val="13"/>
          <w:szCs w:val="13"/>
          <w:b w:val="1"/>
          <w:bCs w:val="1"/>
          <w:color w:val="auto"/>
        </w:rPr>
        <w:t>APTEVO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4674235" cy="7029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74235" cy="70294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Pr>
          <w:p>
            <w:pPr>
              <w:spacing w:after="0"/>
              <w:rPr>
                <w:sz w:val="15"/>
                <w:szCs w:val="15"/>
                <w:color w:val="auto"/>
              </w:rPr>
            </w:pPr>
          </w:p>
        </w:tc>
        <w:tc>
          <w:tcPr>
            <w:tcW w:w="6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Trademark Name</w:t>
            </w:r>
          </w:p>
        </w:tc>
        <w:tc>
          <w:tcPr>
            <w:tcW w:w="4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Filing Date</w:t>
            </w:r>
          </w:p>
        </w:tc>
        <w:tc>
          <w:tcPr>
            <w:tcW w:w="10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Registration No.</w:t>
            </w: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Registration Date</w:t>
            </w: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20" w:type="dxa"/>
            <w:vAlign w:val="bottom"/>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US</w:t>
            </w:r>
          </w:p>
        </w:tc>
        <w:tc>
          <w:tcPr>
            <w:tcW w:w="1320" w:type="dxa"/>
            <w:vAlign w:val="bottom"/>
          </w:tcPr>
          <w:p>
            <w:pPr>
              <w:ind w:left="20"/>
              <w:spacing w:after="0" w:line="134" w:lineRule="exact"/>
              <w:rPr>
                <w:sz w:val="20"/>
                <w:szCs w:val="20"/>
                <w:color w:val="auto"/>
              </w:rPr>
            </w:pPr>
            <w:r>
              <w:rPr>
                <w:rFonts w:ascii="Arial" w:cs="Arial" w:eastAsia="Arial" w:hAnsi="Arial"/>
                <w:sz w:val="13"/>
                <w:szCs w:val="13"/>
                <w:color w:val="auto"/>
                <w:w w:val="97"/>
              </w:rPr>
              <w:t>APTEVO RESEARCH</w:t>
            </w: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Allowed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86/859,136</w:t>
            </w:r>
          </w:p>
        </w:tc>
        <w:tc>
          <w:tcPr>
            <w:tcW w:w="8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3"/>
                <w:szCs w:val="13"/>
                <w:color w:val="auto"/>
                <w:w w:val="87"/>
              </w:rPr>
              <w:t>28-Dec-2015</w:t>
            </w:r>
          </w:p>
        </w:tc>
        <w:tc>
          <w:tcPr>
            <w:tcW w:w="106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w w:val="97"/>
              </w:rPr>
              <w:t>AND DEVELOPMENT</w:t>
            </w:r>
          </w:p>
        </w:tc>
        <w:tc>
          <w:tcPr>
            <w:tcW w:w="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vMerge w:val="continue"/>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gridSpan w:val="2"/>
            <w:vMerge w:val="continue"/>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3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220"/>
              <w:spacing w:after="0" w:line="129" w:lineRule="exact"/>
              <w:rPr>
                <w:sz w:val="20"/>
                <w:szCs w:val="20"/>
                <w:color w:val="auto"/>
              </w:rPr>
            </w:pPr>
            <w:r>
              <w:rPr>
                <w:rFonts w:ascii="Arial" w:cs="Arial" w:eastAsia="Arial" w:hAnsi="Arial"/>
                <w:sz w:val="13"/>
                <w:szCs w:val="13"/>
                <w:b w:val="1"/>
                <w:bCs w:val="1"/>
                <w:color w:val="auto"/>
              </w:rPr>
              <w:t>APTEVO</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0" w:type="dxa"/>
            <w:vAlign w:val="bottom"/>
            <w:tcBorders>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THERAPEUTICS</w:t>
            </w: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13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Trademark Name</w:t>
            </w:r>
          </w:p>
        </w:tc>
        <w:tc>
          <w:tcPr>
            <w:tcW w:w="40" w:type="dxa"/>
            <w:vAlign w:val="bottom"/>
          </w:tcPr>
          <w:p>
            <w:pPr>
              <w:spacing w:after="0"/>
              <w:rPr>
                <w:sz w:val="14"/>
                <w:szCs w:val="14"/>
                <w:color w:val="auto"/>
              </w:rPr>
            </w:pPr>
          </w:p>
        </w:tc>
        <w:tc>
          <w:tcPr>
            <w:tcW w:w="7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w w:val="98"/>
              </w:rPr>
              <w:t>Application No.</w:t>
            </w:r>
          </w:p>
        </w:tc>
        <w:tc>
          <w:tcPr>
            <w:tcW w:w="82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Filing Date</w:t>
            </w:r>
          </w:p>
        </w:tc>
        <w:tc>
          <w:tcPr>
            <w:tcW w:w="60" w:type="dxa"/>
            <w:vAlign w:val="bottom"/>
          </w:tcPr>
          <w:p>
            <w:pPr>
              <w:spacing w:after="0"/>
              <w:rPr>
                <w:sz w:val="14"/>
                <w:szCs w:val="14"/>
                <w:color w:val="auto"/>
              </w:rPr>
            </w:pPr>
          </w:p>
        </w:tc>
        <w:tc>
          <w:tcPr>
            <w:tcW w:w="106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9"/>
              </w:rPr>
              <w:t>Registration No.</w:t>
            </w:r>
          </w:p>
        </w:tc>
        <w:tc>
          <w:tcPr>
            <w:tcW w:w="1560" w:type="dxa"/>
            <w:vAlign w:val="bottom"/>
            <w:tcBorders>
              <w:right w:val="single" w:sz="8" w:color="auto"/>
            </w:tcBorders>
          </w:tcPr>
          <w:p>
            <w:pPr>
              <w:ind w:left="280"/>
              <w:spacing w:after="0"/>
              <w:rPr>
                <w:sz w:val="20"/>
                <w:szCs w:val="20"/>
                <w:color w:val="auto"/>
              </w:rPr>
            </w:pPr>
            <w:r>
              <w:rPr>
                <w:rFonts w:ascii="Arial" w:cs="Arial" w:eastAsia="Arial" w:hAnsi="Arial"/>
                <w:sz w:val="13"/>
                <w:szCs w:val="13"/>
                <w:b w:val="1"/>
                <w:bCs w:val="1"/>
                <w:color w:val="auto"/>
              </w:rPr>
              <w:t>Registration Date</w:t>
            </w:r>
          </w:p>
        </w:tc>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US</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vMerge w:val="restart"/>
          </w:tcPr>
          <w:p>
            <w:pPr>
              <w:jc w:val="right"/>
              <w:ind w:right="416"/>
              <w:spacing w:after="0"/>
              <w:rPr>
                <w:sz w:val="20"/>
                <w:szCs w:val="20"/>
                <w:color w:val="auto"/>
              </w:rPr>
            </w:pPr>
            <w:r>
              <w:rPr>
                <w:rFonts w:ascii="Arial" w:cs="Arial" w:eastAsia="Arial" w:hAnsi="Arial"/>
                <w:sz w:val="13"/>
                <w:szCs w:val="13"/>
                <w:color w:val="auto"/>
                <w:w w:val="79"/>
              </w:rPr>
              <w:t>86/768,978</w:t>
            </w:r>
          </w:p>
        </w:tc>
        <w:tc>
          <w:tcPr>
            <w:tcW w:w="820" w:type="dxa"/>
            <w:vAlign w:val="bottom"/>
            <w:tcBorders>
              <w:right w:val="single" w:sz="8" w:color="auto"/>
            </w:tcBorders>
            <w:vMerge w:val="restart"/>
          </w:tcPr>
          <w:p>
            <w:pPr>
              <w:jc w:val="right"/>
              <w:ind w:right="136"/>
              <w:spacing w:after="0"/>
              <w:rPr>
                <w:sz w:val="20"/>
                <w:szCs w:val="20"/>
                <w:color w:val="auto"/>
              </w:rPr>
            </w:pPr>
            <w:r>
              <w:rPr>
                <w:rFonts w:ascii="Arial" w:cs="Arial" w:eastAsia="Arial" w:hAnsi="Arial"/>
                <w:sz w:val="13"/>
                <w:szCs w:val="13"/>
                <w:color w:val="auto"/>
                <w:w w:val="79"/>
              </w:rPr>
              <w:t>25-Sep-2015</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2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20" w:type="dxa"/>
            <w:vAlign w:val="bottom"/>
            <w:tcBorders>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1"/>
        </w:trPr>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287" w:right="179" w:bottom="1440" w:gutter="0" w:footer="0" w:header="0"/>
        </w:sectPr>
      </w:pPr>
    </w:p>
    <w:bookmarkStart w:id="184" w:name="page185"/>
    <w:bookmarkEnd w:id="184"/>
    <w:p>
      <w:pPr>
        <w:ind w:left="350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4674235" cy="6121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74235" cy="612140"/>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3"/>
          <w:szCs w:val="13"/>
          <w:b w:val="1"/>
          <w:bCs w:val="1"/>
          <w:color w:val="auto"/>
        </w:rPr>
        <w:t>LOGO</w:t>
      </w:r>
    </w:p>
    <w:p>
      <w:pPr>
        <w:spacing w:after="0" w:line="3"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Status</w:t>
            </w:r>
          </w:p>
        </w:tc>
        <w:tc>
          <w:tcPr>
            <w:tcW w:w="104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4"/>
              </w:rPr>
              <w:t>Application No.</w:t>
            </w:r>
          </w:p>
        </w:tc>
        <w:tc>
          <w:tcPr>
            <w:tcW w:w="8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Registration No.</w:t>
            </w:r>
          </w:p>
        </w:tc>
        <w:tc>
          <w:tcPr>
            <w:tcW w:w="1560" w:type="dxa"/>
            <w:vAlign w:val="bottom"/>
            <w:tcBorders>
              <w:top w:val="single" w:sz="8" w:color="auto"/>
            </w:tcBorders>
          </w:tcPr>
          <w:p>
            <w:pPr>
              <w:ind w:left="280"/>
              <w:spacing w:after="0"/>
              <w:rPr>
                <w:sz w:val="20"/>
                <w:szCs w:val="20"/>
                <w:color w:val="auto"/>
              </w:rPr>
            </w:pPr>
            <w:r>
              <w:rPr>
                <w:rFonts w:ascii="Arial" w:cs="Arial" w:eastAsia="Arial" w:hAnsi="Arial"/>
                <w:sz w:val="13"/>
                <w:szCs w:val="13"/>
                <w:b w:val="1"/>
                <w:bCs w:val="1"/>
                <w:color w:val="auto"/>
              </w:rPr>
              <w:t>Registration Date</w:t>
            </w:r>
          </w:p>
        </w:tc>
      </w:tr>
      <w:tr>
        <w:trPr>
          <w:trHeight w:val="130"/>
        </w:trPr>
        <w:tc>
          <w:tcPr>
            <w:tcW w:w="72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51"/>
        </w:trPr>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jc w:val="right"/>
              <w:ind w:right="416"/>
              <w:spacing w:after="0"/>
              <w:rPr>
                <w:sz w:val="20"/>
                <w:szCs w:val="20"/>
                <w:color w:val="auto"/>
              </w:rPr>
            </w:pPr>
            <w:r>
              <w:rPr>
                <w:rFonts w:ascii="Arial" w:cs="Arial" w:eastAsia="Arial" w:hAnsi="Arial"/>
                <w:sz w:val="13"/>
                <w:szCs w:val="13"/>
                <w:color w:val="auto"/>
                <w:w w:val="82"/>
              </w:rPr>
              <w:t>86/823,176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17-Nov-2015</w:t>
            </w:r>
          </w:p>
        </w:tc>
        <w:tc>
          <w:tcPr>
            <w:tcW w:w="1140" w:type="dxa"/>
            <w:vAlign w:val="bottom"/>
            <w:tcBorders>
              <w:right w:val="single" w:sz="8" w:color="auto"/>
            </w:tcBorders>
          </w:tcPr>
          <w:p>
            <w:pPr>
              <w:jc w:val="right"/>
              <w:ind w:right="556"/>
              <w:spacing w:after="0"/>
              <w:rPr>
                <w:sz w:val="20"/>
                <w:szCs w:val="20"/>
                <w:color w:val="auto"/>
              </w:rPr>
            </w:pPr>
            <w:r>
              <w:rPr>
                <w:rFonts w:ascii="Arial" w:cs="Arial" w:eastAsia="Arial" w:hAnsi="Arial"/>
                <w:sz w:val="13"/>
                <w:szCs w:val="13"/>
                <w:color w:val="auto"/>
                <w:w w:val="86"/>
              </w:rPr>
              <w:t>5,370,601</w:t>
            </w:r>
          </w:p>
        </w:tc>
        <w:tc>
          <w:tcPr>
            <w:tcW w:w="1560" w:type="dxa"/>
            <w:vAlign w:val="bottom"/>
          </w:tcPr>
          <w:p>
            <w:pPr>
              <w:ind w:left="40"/>
              <w:spacing w:after="0"/>
              <w:rPr>
                <w:sz w:val="20"/>
                <w:szCs w:val="20"/>
                <w:color w:val="auto"/>
              </w:rPr>
            </w:pPr>
            <w:r>
              <w:rPr>
                <w:rFonts w:ascii="Arial" w:cs="Arial" w:eastAsia="Arial" w:hAnsi="Arial"/>
                <w:sz w:val="13"/>
                <w:szCs w:val="13"/>
                <w:color w:val="auto"/>
              </w:rPr>
              <w:t>02-Jan- 2018</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IXINITY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-92075</wp:posOffset>
            </wp:positionV>
            <wp:extent cx="4674235" cy="8121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74235" cy="812165"/>
                    </a:xfrm>
                    <a:prstGeom prst="rect">
                      <a:avLst/>
                    </a:prstGeom>
                    <a:noFill/>
                  </pic:spPr>
                </pic:pic>
              </a:graphicData>
            </a:graphic>
          </wp:anchor>
        </w:drawing>
      </w:r>
    </w:p>
    <w:p>
      <w:pPr>
        <w:spacing w:after="0" w:line="129" w:lineRule="exact"/>
        <w:rPr>
          <w:sz w:val="20"/>
          <w:szCs w:val="20"/>
          <w:color w:val="auto"/>
        </w:rPr>
      </w:pPr>
    </w:p>
    <w:tbl>
      <w:tblPr>
        <w:tblLayout w:type="fixed"/>
        <w:tblInd w:w="31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Registration No.</w:t>
            </w:r>
          </w:p>
        </w:tc>
        <w:tc>
          <w:tcPr>
            <w:tcW w:w="1580" w:type="dxa"/>
            <w:vAlign w:val="bottom"/>
            <w:tcBorders>
              <w:top w:val="single" w:sz="8" w:color="auto"/>
            </w:tcBorders>
          </w:tcPr>
          <w:p>
            <w:pPr>
              <w:ind w:left="28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85/220,714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19-Jan-2011</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4597459</w:t>
            </w:r>
          </w:p>
        </w:tc>
        <w:tc>
          <w:tcPr>
            <w:tcW w:w="1580" w:type="dxa"/>
            <w:vAlign w:val="bottom"/>
          </w:tcPr>
          <w:p>
            <w:pPr>
              <w:spacing w:after="0"/>
              <w:rPr>
                <w:sz w:val="20"/>
                <w:szCs w:val="20"/>
                <w:color w:val="auto"/>
              </w:rPr>
            </w:pPr>
            <w:r>
              <w:rPr>
                <w:rFonts w:ascii="Arial" w:cs="Arial" w:eastAsia="Arial" w:hAnsi="Arial"/>
                <w:sz w:val="13"/>
                <w:szCs w:val="13"/>
                <w:color w:val="auto"/>
              </w:rPr>
              <w:t>02-Sep-2014</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 (STYLIZED)</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86/322,323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27-June-2014</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4788624</w:t>
            </w:r>
          </w:p>
        </w:tc>
        <w:tc>
          <w:tcPr>
            <w:tcW w:w="1580" w:type="dxa"/>
            <w:vAlign w:val="bottom"/>
          </w:tcPr>
          <w:p>
            <w:pPr>
              <w:spacing w:after="0"/>
              <w:rPr>
                <w:sz w:val="20"/>
                <w:szCs w:val="20"/>
                <w:color w:val="auto"/>
              </w:rPr>
            </w:pPr>
            <w:r>
              <w:rPr>
                <w:rFonts w:ascii="Arial" w:cs="Arial" w:eastAsia="Arial" w:hAnsi="Arial"/>
                <w:sz w:val="13"/>
                <w:szCs w:val="13"/>
                <w:color w:val="auto"/>
              </w:rPr>
              <w:t>11-Aug-2015</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295"/>
        </w:trPr>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55"/>
        </w:trPr>
        <w:tc>
          <w:tcPr>
            <w:tcW w:w="7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IXPERIENCE</w:t>
            </w: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r>
      <w:tr>
        <w:trPr>
          <w:trHeight w:val="140"/>
        </w:trPr>
        <w:tc>
          <w:tcPr>
            <w:tcW w:w="720" w:type="dxa"/>
            <w:vAlign w:val="bottom"/>
            <w:tcBorders>
              <w:left w:val="single" w:sz="8" w:color="auto"/>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r>
      <w:tr>
        <w:trPr>
          <w:trHeight w:val="155"/>
        </w:trPr>
        <w:tc>
          <w:tcPr>
            <w:tcW w:w="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Registration No.</w:t>
            </w:r>
          </w:p>
        </w:tc>
        <w:tc>
          <w:tcPr>
            <w:tcW w:w="15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IXPERIENCE</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86/322,313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27-June-2014</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4923507</w:t>
            </w:r>
          </w:p>
        </w:tc>
        <w:tc>
          <w:tcPr>
            <w:tcW w:w="1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22-Mar-2016</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VYDAPTIV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-103505</wp:posOffset>
            </wp:positionV>
            <wp:extent cx="4674235" cy="527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74235" cy="52768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0" w:type="dxa"/>
            <w:vAlign w:val="bottom"/>
          </w:tcPr>
          <w:p>
            <w:pPr>
              <w:spacing w:after="0"/>
              <w:rPr>
                <w:sz w:val="14"/>
                <w:szCs w:val="14"/>
                <w:color w:val="auto"/>
              </w:rPr>
            </w:pPr>
          </w:p>
        </w:tc>
        <w:tc>
          <w:tcPr>
            <w:tcW w:w="7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8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Date</w:t>
            </w: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0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300" w:type="dxa"/>
            <w:vAlign w:val="bottom"/>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VYDAPTIV</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86/972,975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21-April-2106</w:t>
            </w:r>
          </w:p>
        </w:tc>
        <w:tc>
          <w:tcPr>
            <w:tcW w:w="1140" w:type="dxa"/>
            <w:vAlign w:val="bottom"/>
            <w:tcBorders>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1"/>
        </w:trPr>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633" w:right="179" w:bottom="1440" w:gutter="0" w:footer="0" w:header="0"/>
        </w:sectPr>
      </w:pPr>
    </w:p>
    <w:bookmarkStart w:id="185" w:name="page186"/>
    <w:bookmarkEnd w:id="185"/>
    <w:tbl>
      <w:tblPr>
        <w:tblLayout w:type="fixed"/>
        <w:tblInd w:w="310" w:type="dxa"/>
        <w:tblCellMar>
          <w:top w:w="0" w:type="dxa"/>
          <w:left w:w="0" w:type="dxa"/>
          <w:bottom w:w="0" w:type="dxa"/>
          <w:right w:w="0" w:type="dxa"/>
        </w:tblCellMar>
      </w:tblPr>
      <w:tr>
        <w:trPr>
          <w:trHeight w:val="153"/>
        </w:trPr>
        <w:tc>
          <w:tcPr>
            <w:tcW w:w="720" w:type="dxa"/>
            <w:vAlign w:val="bottom"/>
            <w:tcBorders>
              <w:top w:val="single" w:sz="8" w:color="auto"/>
              <w:left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rPr>
              <w:t>VYDAPTIV</w:t>
            </w:r>
          </w:p>
        </w:tc>
        <w:tc>
          <w:tcPr>
            <w:tcW w:w="8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20" w:type="dxa"/>
            <w:vAlign w:val="bottom"/>
            <w:tcBorders>
              <w:left w:val="single" w:sz="8" w:color="auto"/>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5"/>
                <w:szCs w:val="15"/>
                <w:b w:val="1"/>
                <w:bCs w:val="1"/>
                <w:color w:val="auto"/>
              </w:rPr>
              <w:t>BIOTHERAPEUTICS</w:t>
            </w:r>
          </w:p>
        </w:tc>
        <w:tc>
          <w:tcPr>
            <w:tcW w:w="114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20" w:type="dxa"/>
            <w:vAlign w:val="bottom"/>
            <w:tcBorders>
              <w:left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420" w:type="dxa"/>
            <w:vAlign w:val="bottom"/>
          </w:tcPr>
          <w:p>
            <w:pPr>
              <w:spacing w:after="0"/>
              <w:rPr>
                <w:sz w:val="20"/>
                <w:szCs w:val="20"/>
                <w:color w:val="auto"/>
              </w:rPr>
            </w:pPr>
            <w:r>
              <w:rPr>
                <w:rFonts w:ascii="Arial" w:cs="Arial" w:eastAsia="Arial" w:hAnsi="Arial"/>
                <w:sz w:val="13"/>
                <w:szCs w:val="13"/>
                <w:b w:val="1"/>
                <w:bCs w:val="1"/>
                <w:color w:val="auto"/>
              </w:rPr>
              <w:t>Status</w:t>
            </w:r>
          </w:p>
        </w:tc>
        <w:tc>
          <w:tcPr>
            <w:tcW w:w="28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64"/>
        </w:trPr>
        <w:tc>
          <w:tcPr>
            <w:tcW w:w="720" w:type="dxa"/>
            <w:vAlign w:val="bottom"/>
            <w:tcBorders>
              <w:left w:val="single" w:sz="8" w:color="auto"/>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720" w:type="dxa"/>
            <w:vAlign w:val="bottom"/>
            <w:tcBorders>
              <w:left w:val="single" w:sz="8" w:color="auto"/>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72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US</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VYDAPTIV</w:t>
            </w:r>
          </w:p>
        </w:tc>
        <w:tc>
          <w:tcPr>
            <w:tcW w:w="42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86/972,988</w:t>
            </w:r>
          </w:p>
        </w:tc>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12-April-2106</w:t>
            </w:r>
          </w:p>
        </w:tc>
        <w:tc>
          <w:tcPr>
            <w:tcW w:w="114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20" w:type="dxa"/>
            <w:vAlign w:val="bottom"/>
            <w:tcBorders>
              <w:left w:val="single" w:sz="8" w:color="auto"/>
              <w:right w:val="single" w:sz="8" w:color="auto"/>
            </w:tcBorders>
            <w:vMerge w:val="continue"/>
          </w:tcPr>
          <w:p>
            <w:pPr>
              <w:spacing w:after="0"/>
              <w:rPr>
                <w:sz w:val="6"/>
                <w:szCs w:val="6"/>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420" w:type="dxa"/>
            <w:vAlign w:val="bottom"/>
            <w:vMerge w:val="restart"/>
          </w:tcPr>
          <w:p>
            <w:pPr>
              <w:spacing w:after="0"/>
              <w:rPr>
                <w:sz w:val="20"/>
                <w:szCs w:val="20"/>
                <w:color w:val="auto"/>
              </w:rPr>
            </w:pPr>
            <w:r>
              <w:rPr>
                <w:rFonts w:ascii="Arial" w:cs="Arial" w:eastAsia="Arial" w:hAnsi="Arial"/>
                <w:sz w:val="13"/>
                <w:szCs w:val="13"/>
                <w:color w:val="auto"/>
              </w:rPr>
              <w:t>Under</w:t>
            </w:r>
          </w:p>
        </w:tc>
        <w:tc>
          <w:tcPr>
            <w:tcW w:w="28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7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2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Opposition</w:t>
            </w:r>
          </w:p>
        </w:tc>
        <w:tc>
          <w:tcPr>
            <w:tcW w:w="10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rPr>
              <w:t>VYDAPTIV</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rPr>
              <w:t>THERAPEUTICS</w:t>
            </w:r>
          </w:p>
        </w:tc>
        <w:tc>
          <w:tcPr>
            <w:tcW w:w="6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1240" w:type="dxa"/>
            <w:vAlign w:val="bottom"/>
          </w:tcPr>
          <w:p>
            <w:pPr>
              <w:spacing w:after="0"/>
              <w:rPr>
                <w:sz w:val="20"/>
                <w:szCs w:val="20"/>
                <w:color w:val="auto"/>
              </w:rPr>
            </w:pPr>
            <w:r>
              <w:rPr>
                <w:rFonts w:ascii="Arial" w:cs="Arial" w:eastAsia="Arial" w:hAnsi="Arial"/>
                <w:sz w:val="13"/>
                <w:szCs w:val="13"/>
                <w:b w:val="1"/>
                <w:bCs w:val="1"/>
                <w:color w:val="auto"/>
              </w:rPr>
              <w:t>Trademark Name</w:t>
            </w:r>
          </w:p>
        </w:tc>
        <w:tc>
          <w:tcPr>
            <w:tcW w:w="8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rPr>
              <w:t>Status</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rPr>
              <w:t>Registration Date</w:t>
            </w:r>
          </w:p>
        </w:tc>
        <w:tc>
          <w:tcPr>
            <w:tcW w:w="10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6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540" w:type="dxa"/>
            <w:vAlign w:val="bottom"/>
            <w:tcBorders>
              <w:right w:val="single" w:sz="8" w:color="auto"/>
            </w:tcBorders>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1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US</w:t>
            </w:r>
          </w:p>
        </w:tc>
        <w:tc>
          <w:tcPr>
            <w:tcW w:w="1240" w:type="dxa"/>
            <w:vAlign w:val="bottom"/>
          </w:tcPr>
          <w:p>
            <w:pPr>
              <w:spacing w:after="0"/>
              <w:rPr>
                <w:sz w:val="20"/>
                <w:szCs w:val="20"/>
                <w:color w:val="auto"/>
              </w:rPr>
            </w:pPr>
            <w:r>
              <w:rPr>
                <w:rFonts w:ascii="Arial" w:cs="Arial" w:eastAsia="Arial" w:hAnsi="Arial"/>
                <w:sz w:val="13"/>
                <w:szCs w:val="13"/>
                <w:color w:val="auto"/>
              </w:rPr>
              <w:t>VYDAPTIV</w:t>
            </w:r>
          </w:p>
        </w:tc>
        <w:tc>
          <w:tcPr>
            <w:tcW w:w="8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86/972,981</w:t>
            </w:r>
          </w:p>
        </w:tc>
        <w:tc>
          <w:tcPr>
            <w:tcW w:w="8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12-April-2106</w:t>
            </w:r>
          </w:p>
        </w:tc>
        <w:tc>
          <w:tcPr>
            <w:tcW w:w="11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6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1240" w:type="dxa"/>
            <w:vAlign w:val="bottom"/>
            <w:vMerge w:val="restart"/>
          </w:tcPr>
          <w:p>
            <w:pPr>
              <w:spacing w:after="0"/>
              <w:rPr>
                <w:sz w:val="20"/>
                <w:szCs w:val="20"/>
                <w:color w:val="auto"/>
              </w:rPr>
            </w:pPr>
            <w:r>
              <w:rPr>
                <w:rFonts w:ascii="Arial" w:cs="Arial" w:eastAsia="Arial" w:hAnsi="Arial"/>
                <w:sz w:val="13"/>
                <w:szCs w:val="13"/>
                <w:color w:val="auto"/>
              </w:rPr>
              <w:t>THERAPEUTICS</w:t>
            </w:r>
          </w:p>
        </w:tc>
        <w:tc>
          <w:tcPr>
            <w:tcW w:w="80" w:type="dxa"/>
            <w:vAlign w:val="bottom"/>
            <w:tcBorders>
              <w:right w:val="single" w:sz="8" w:color="auto"/>
            </w:tcBorders>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Under</w:t>
            </w:r>
          </w:p>
        </w:tc>
        <w:tc>
          <w:tcPr>
            <w:tcW w:w="1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840" w:type="dxa"/>
            <w:vAlign w:val="bottom"/>
            <w:tcBorders>
              <w:right w:val="single" w:sz="8" w:color="auto"/>
            </w:tcBorders>
            <w:gridSpan w:val="2"/>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6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240" w:type="dxa"/>
            <w:vAlign w:val="bottom"/>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10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w w:val="99"/>
              </w:rPr>
              <w:t>Opposition</w:t>
            </w:r>
          </w:p>
        </w:tc>
        <w:tc>
          <w:tcPr>
            <w:tcW w:w="1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1"/>
        </w:trPr>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left="115"/>
              <w:spacing w:after="0" w:line="105" w:lineRule="exact"/>
              <w:rPr>
                <w:sz w:val="20"/>
                <w:szCs w:val="20"/>
                <w:color w:val="auto"/>
              </w:rPr>
            </w:pPr>
            <w:r>
              <w:rPr>
                <w:rFonts w:ascii="Arial" w:cs="Arial" w:eastAsia="Arial" w:hAnsi="Arial"/>
                <w:sz w:val="12"/>
                <w:szCs w:val="12"/>
                <w:color w:val="auto"/>
                <w:w w:val="93"/>
              </w:rPr>
              <w:t>Trademark</w:t>
            </w: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15"/>
              <w:spacing w:after="0" w:line="134" w:lineRule="exact"/>
              <w:rPr>
                <w:sz w:val="20"/>
                <w:szCs w:val="20"/>
                <w:color w:val="auto"/>
              </w:rPr>
            </w:pPr>
            <w:r>
              <w:rPr>
                <w:rFonts w:ascii="Arial" w:cs="Arial" w:eastAsia="Arial" w:hAnsi="Arial"/>
                <w:sz w:val="13"/>
                <w:szCs w:val="13"/>
                <w:color w:val="auto"/>
                <w:w w:val="88"/>
              </w:rPr>
              <w:t>Clearinghouse</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left="115"/>
              <w:spacing w:after="0" w:line="134" w:lineRule="exact"/>
              <w:rPr>
                <w:sz w:val="20"/>
                <w:szCs w:val="20"/>
                <w:color w:val="auto"/>
              </w:rPr>
            </w:pPr>
            <w:r>
              <w:rPr>
                <w:rFonts w:ascii="Arial" w:cs="Arial" w:eastAsia="Arial" w:hAnsi="Arial"/>
                <w:sz w:val="13"/>
                <w:szCs w:val="13"/>
                <w:color w:val="auto"/>
                <w:w w:val="86"/>
              </w:rPr>
              <w:t>Registrations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left="115"/>
              <w:spacing w:after="0"/>
              <w:rPr>
                <w:sz w:val="20"/>
                <w:szCs w:val="20"/>
                <w:color w:val="auto"/>
              </w:rPr>
            </w:pPr>
            <w:r>
              <w:rPr>
                <w:rFonts w:ascii="Arial" w:cs="Arial" w:eastAsia="Arial" w:hAnsi="Arial"/>
                <w:sz w:val="13"/>
                <w:szCs w:val="13"/>
                <w:color w:val="auto"/>
                <w:w w:val="99"/>
              </w:rPr>
              <w:t>(TMCH)</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 w:type="dxa"/>
            <w:vAlign w:val="bottom"/>
            <w:tcBorders>
              <w:right w:val="single" w:sz="8" w:color="auto"/>
            </w:tcBorders>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US</w:t>
            </w:r>
          </w:p>
        </w:tc>
        <w:tc>
          <w:tcPr>
            <w:tcW w:w="12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gridSpan w:val="5"/>
          </w:tcPr>
          <w:p>
            <w:pPr>
              <w:ind w:left="60"/>
              <w:spacing w:after="0" w:line="105" w:lineRule="exact"/>
              <w:rPr>
                <w:sz w:val="20"/>
                <w:szCs w:val="20"/>
                <w:color w:val="auto"/>
              </w:rPr>
            </w:pPr>
            <w:r>
              <w:rPr>
                <w:rFonts w:ascii="Arial" w:cs="Arial" w:eastAsia="Arial" w:hAnsi="Arial"/>
                <w:sz w:val="12"/>
                <w:szCs w:val="12"/>
                <w:color w:val="auto"/>
              </w:rPr>
              <w:t>IXINITY Trademark Clearinghouse</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auto"/>
              </w:rPr>
              <w:t>Active</w:t>
            </w:r>
          </w:p>
        </w:tc>
        <w:tc>
          <w:tcPr>
            <w:tcW w:w="11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restart"/>
          </w:tcPr>
          <w:p>
            <w:pPr>
              <w:jc w:val="right"/>
              <w:ind w:right="940"/>
              <w:spacing w:after="0"/>
              <w:rPr>
                <w:sz w:val="20"/>
                <w:szCs w:val="20"/>
                <w:color w:val="auto"/>
              </w:rPr>
            </w:pPr>
            <w:r>
              <w:rPr>
                <w:rFonts w:ascii="Arial" w:cs="Arial" w:eastAsia="Arial" w:hAnsi="Arial"/>
                <w:sz w:val="13"/>
                <w:szCs w:val="13"/>
                <w:color w:val="auto"/>
                <w:w w:val="89"/>
              </w:rPr>
              <w:t>00170514158981891415</w:t>
            </w: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 w:type="dxa"/>
            <w:vAlign w:val="bottom"/>
            <w:tcBorders>
              <w:right w:val="single" w:sz="8" w:color="auto"/>
            </w:tcBorders>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w w:val="92"/>
              </w:rPr>
              <w:t>Registration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60" w:type="dxa"/>
            <w:vAlign w:val="bottom"/>
            <w:tcBorders>
              <w:right w:val="single" w:sz="8" w:color="auto"/>
            </w:tcBorders>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US</w:t>
            </w:r>
          </w:p>
        </w:tc>
        <w:tc>
          <w:tcPr>
            <w:tcW w:w="1240" w:type="dxa"/>
            <w:vAlign w:val="bottom"/>
            <w:tcBorders>
              <w:right w:val="single" w:sz="8" w:color="auto"/>
            </w:tcBorders>
          </w:tcPr>
          <w:p>
            <w:pPr>
              <w:spacing w:after="0"/>
              <w:rPr>
                <w:sz w:val="9"/>
                <w:szCs w:val="9"/>
                <w:color w:val="auto"/>
              </w:rPr>
            </w:pPr>
          </w:p>
        </w:tc>
        <w:tc>
          <w:tcPr>
            <w:tcW w:w="2080" w:type="dxa"/>
            <w:vAlign w:val="bottom"/>
            <w:tcBorders>
              <w:right w:val="single" w:sz="8" w:color="auto"/>
            </w:tcBorders>
            <w:gridSpan w:val="5"/>
          </w:tcPr>
          <w:p>
            <w:pPr>
              <w:ind w:left="60"/>
              <w:spacing w:after="0" w:line="110" w:lineRule="exact"/>
              <w:rPr>
                <w:sz w:val="20"/>
                <w:szCs w:val="20"/>
                <w:color w:val="auto"/>
              </w:rPr>
            </w:pPr>
            <w:r>
              <w:rPr>
                <w:rFonts w:ascii="Arial" w:cs="Arial" w:eastAsia="Arial" w:hAnsi="Arial"/>
                <w:sz w:val="12"/>
                <w:szCs w:val="12"/>
                <w:color w:val="auto"/>
              </w:rPr>
              <w:t>ADAPTIR Trademark Clearinghouse</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auto"/>
              </w:rPr>
              <w:t>Active</w:t>
            </w:r>
          </w:p>
        </w:tc>
        <w:tc>
          <w:tcPr>
            <w:tcW w:w="11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restart"/>
          </w:tcPr>
          <w:p>
            <w:pPr>
              <w:jc w:val="right"/>
              <w:ind w:right="940"/>
              <w:spacing w:after="0"/>
              <w:rPr>
                <w:sz w:val="20"/>
                <w:szCs w:val="20"/>
                <w:color w:val="auto"/>
              </w:rPr>
            </w:pPr>
            <w:r>
              <w:rPr>
                <w:rFonts w:ascii="Arial" w:cs="Arial" w:eastAsia="Arial" w:hAnsi="Arial"/>
                <w:sz w:val="13"/>
                <w:szCs w:val="13"/>
                <w:color w:val="auto"/>
                <w:w w:val="89"/>
              </w:rPr>
              <w:t>00170513892841101389</w:t>
            </w: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60" w:type="dxa"/>
            <w:vAlign w:val="bottom"/>
            <w:tcBorders>
              <w:right w:val="single" w:sz="8" w:color="auto"/>
            </w:tcBorders>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w w:val="92"/>
              </w:rPr>
              <w:t>Registration</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6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931" w:right="17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9"/>
              </w:rPr>
              <w:t>EXHIBIT D</w:t>
            </w:r>
          </w:p>
        </w:tc>
        <w:tc>
          <w:tcPr>
            <w:tcW w:w="1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40" w:type="dxa"/>
            <w:vAlign w:val="bottom"/>
            <w:gridSpan w:val="5"/>
          </w:tcPr>
          <w:p>
            <w:pPr>
              <w:ind w:left="4520"/>
              <w:spacing w:after="0"/>
              <w:rPr>
                <w:sz w:val="20"/>
                <w:szCs w:val="20"/>
                <w:color w:val="auto"/>
              </w:rPr>
            </w:pPr>
            <w:r>
              <w:rPr>
                <w:rFonts w:ascii="Arial" w:cs="Arial" w:eastAsia="Arial" w:hAnsi="Arial"/>
                <w:sz w:val="14"/>
                <w:szCs w:val="14"/>
                <w:color w:val="auto"/>
              </w:rPr>
              <w:t>Mask Works</w:t>
            </w: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840" w:type="dxa"/>
            <w:vAlign w:val="bottom"/>
            <w:gridSpan w:val="2"/>
          </w:tcPr>
          <w:p>
            <w:pPr>
              <w:ind w:left="180"/>
              <w:spacing w:after="0"/>
              <w:rPr>
                <w:sz w:val="20"/>
                <w:szCs w:val="20"/>
                <w:color w:val="auto"/>
              </w:rPr>
            </w:pPr>
            <w:r>
              <w:rPr>
                <w:rFonts w:ascii="Arial" w:cs="Arial" w:eastAsia="Arial" w:hAnsi="Arial"/>
                <w:sz w:val="14"/>
                <w:szCs w:val="14"/>
                <w:color w:val="auto"/>
                <w:w w:val="91"/>
              </w:rPr>
              <w:t>Description</w:t>
            </w:r>
          </w:p>
        </w:tc>
        <w:tc>
          <w:tcPr>
            <w:tcW w:w="6640" w:type="dxa"/>
            <w:vAlign w:val="bottom"/>
            <w:gridSpan w:val="5"/>
          </w:tcPr>
          <w:p>
            <w:pPr>
              <w:ind w:left="3520"/>
              <w:spacing w:after="0"/>
              <w:rPr>
                <w:sz w:val="20"/>
                <w:szCs w:val="20"/>
                <w:color w:val="auto"/>
              </w:rPr>
            </w:pPr>
            <w:r>
              <w:rPr>
                <w:rFonts w:ascii="Arial" w:cs="Arial" w:eastAsia="Arial" w:hAnsi="Arial"/>
                <w:sz w:val="14"/>
                <w:szCs w:val="14"/>
                <w:color w:val="auto"/>
              </w:rPr>
              <w:t>Registration/</w:t>
            </w:r>
          </w:p>
        </w:tc>
        <w:tc>
          <w:tcPr>
            <w:tcW w:w="4020" w:type="dxa"/>
            <w:vAlign w:val="bottom"/>
            <w:gridSpan w:val="3"/>
          </w:tcPr>
          <w:p>
            <w:pPr>
              <w:ind w:left="1420"/>
              <w:spacing w:after="0"/>
              <w:rPr>
                <w:sz w:val="20"/>
                <w:szCs w:val="20"/>
                <w:color w:val="auto"/>
              </w:rPr>
            </w:pPr>
            <w:r>
              <w:rPr>
                <w:rFonts w:ascii="Arial" w:cs="Arial" w:eastAsia="Arial" w:hAnsi="Arial"/>
                <w:sz w:val="14"/>
                <w:szCs w:val="14"/>
                <w:color w:val="auto"/>
              </w:rPr>
              <w:t>Registration/ Application Date</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66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None.</w:t>
            </w:r>
          </w:p>
        </w:tc>
        <w:tc>
          <w:tcPr>
            <w:tcW w:w="6640" w:type="dxa"/>
            <w:vAlign w:val="bottom"/>
            <w:gridSpan w:val="5"/>
          </w:tcPr>
          <w:p>
            <w:pPr>
              <w:ind w:left="3920"/>
              <w:spacing w:after="0" w:line="133" w:lineRule="exact"/>
              <w:rPr>
                <w:sz w:val="20"/>
                <w:szCs w:val="20"/>
                <w:color w:val="auto"/>
              </w:rPr>
            </w:pPr>
            <w:r>
              <w:rPr>
                <w:rFonts w:ascii="Arial" w:cs="Arial" w:eastAsia="Arial" w:hAnsi="Arial"/>
                <w:sz w:val="14"/>
                <w:szCs w:val="14"/>
                <w:color w:val="auto"/>
              </w:rPr>
              <w:t>Application Number</w:t>
            </w:r>
          </w:p>
        </w:tc>
        <w:tc>
          <w:tcPr>
            <w:tcW w:w="28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180" w:type="dxa"/>
            <w:vAlign w:val="bottom"/>
          </w:tcPr>
          <w:p>
            <w:pPr>
              <w:spacing w:after="0"/>
              <w:rPr>
                <w:sz w:val="24"/>
                <w:szCs w:val="24"/>
                <w:color w:val="auto"/>
              </w:rPr>
            </w:pPr>
          </w:p>
        </w:tc>
        <w:tc>
          <w:tcPr>
            <w:tcW w:w="660" w:type="dxa"/>
            <w:vAlign w:val="bottom"/>
            <w:tcBorders>
              <w:top w:val="single" w:sz="8" w:color="auto"/>
            </w:tcBorders>
            <w:vMerge w:val="continue"/>
          </w:tcPr>
          <w:p>
            <w:pPr>
              <w:spacing w:after="0"/>
              <w:rPr>
                <w:sz w:val="24"/>
                <w:szCs w:val="24"/>
                <w:color w:val="auto"/>
              </w:rPr>
            </w:pP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51" w:right="179" w:bottom="1440" w:gutter="0" w:footer="0" w:header="0"/>
        </w:sectPr>
      </w:pPr>
    </w:p>
    <w:bookmarkStart w:id="187" w:name="page188"/>
    <w:bookmarkEnd w:id="187"/>
    <w:p>
      <w:pPr>
        <w:ind w:left="4040"/>
        <w:spacing w:after="0"/>
        <w:rPr>
          <w:sz w:val="20"/>
          <w:szCs w:val="20"/>
          <w:color w:val="auto"/>
        </w:rPr>
      </w:pPr>
      <w:r>
        <w:rPr>
          <w:rFonts w:ascii="Arial" w:cs="Arial" w:eastAsia="Arial" w:hAnsi="Arial"/>
          <w:sz w:val="14"/>
          <w:szCs w:val="14"/>
          <w:b w:val="1"/>
          <w:bCs w:val="1"/>
          <w:color w:val="auto"/>
        </w:rPr>
        <w:t>Schedule 2.1 - Amortization</w:t>
      </w:r>
    </w:p>
    <w:p>
      <w:pPr>
        <w:spacing w:after="0" w:line="3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Commencing on the Applicable Amortization Start Date and continuing on the first day of each calendar month thereafter, Borrower shall pay to Agent as a principal payment on the Term Loans an amount equal to the Applicable Amortization Payment Amount. Notwithstanding the foregoing, the entire remaining outstanding principal balance under each of the Term Loans shall mature and be due and payable upon the Termination Date.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For purposes hereof of this Schedule 2.1 the following terms shall have the following meanings: “</w:t>
      </w:r>
      <w:r>
        <w:rPr>
          <w:rFonts w:ascii="Arial" w:cs="Arial" w:eastAsia="Arial" w:hAnsi="Arial"/>
          <w:sz w:val="14"/>
          <w:szCs w:val="14"/>
          <w:b w:val="1"/>
          <w:bCs w:val="1"/>
          <w:color w:val="auto"/>
        </w:rPr>
        <w:t>Applicable Amortization Start Date</w:t>
      </w:r>
      <w:r>
        <w:rPr>
          <w:rFonts w:ascii="Arial" w:cs="Arial" w:eastAsia="Arial" w:hAnsi="Arial"/>
          <w:sz w:val="14"/>
          <w:szCs w:val="14"/>
          <w:color w:val="auto"/>
        </w:rPr>
        <w:t>” means:</w:t>
      </w:r>
    </w:p>
    <w:p>
      <w:pPr>
        <w:spacing w:after="0" w:line="17" w:lineRule="exact"/>
        <w:rPr>
          <w:sz w:val="20"/>
          <w:szCs w:val="20"/>
          <w:color w:val="auto"/>
        </w:rPr>
      </w:pPr>
    </w:p>
    <w:p>
      <w:pPr>
        <w:ind w:left="860" w:hanging="439"/>
        <w:spacing w:after="0"/>
        <w:tabs>
          <w:tab w:leader="none" w:pos="8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If Borrower has not satisfied the Initial Extension Conditions, February 1, 2020; or</w:t>
      </w:r>
    </w:p>
    <w:p>
      <w:pPr>
        <w:spacing w:after="0" w:line="180" w:lineRule="exact"/>
        <w:rPr>
          <w:rFonts w:ascii="Arial" w:cs="Arial" w:eastAsia="Arial" w:hAnsi="Arial"/>
          <w:sz w:val="14"/>
          <w:szCs w:val="14"/>
          <w:color w:val="auto"/>
        </w:rPr>
      </w:pPr>
    </w:p>
    <w:p>
      <w:pPr>
        <w:jc w:val="both"/>
        <w:ind w:left="860" w:hanging="439"/>
        <w:spacing w:after="0" w:line="268" w:lineRule="auto"/>
        <w:tabs>
          <w:tab w:leader="none" w:pos="8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If Borrower has satisfied the Initial Extension Conditions, August 1, 2020;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for any of the Defined Periods ending on March 31, 2020 or June 30, 2020, respectively, Borrower fails to deliver a Compliance Certificate in accordance with Section 6.4 demonstrating to Agent’s reasonable satisfaction that Borrower’s Net Commercial Product Revenue for such Defined Period is greater than or equal $32,000,000, then the Applicable Amortization Start Date shall be deemed to have occurred on the first day of the calendar month following the end of such Defined Period and Borrower shall immediately pay to Agent true up principal payments in the amount of the Applicable Amortization Payment Amount for (i) the month in which the Applicable Amortization Start date was deemed to have occurred and (ii) each month commencing thereafter and prior to the date on which such Compliance Certificate was delivered (such true up payments shall, for the avoidance of doubt, be in addition to the Applicable Amortization Payment Amounts that shall be due and payable for each month commencing after the delivery of the applicable Compliance Certificate in accordance with the terms hereof).</w:t>
      </w:r>
    </w:p>
    <w:p>
      <w:pPr>
        <w:spacing w:after="0" w:line="126"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Amortization Payment Amount</w:t>
      </w:r>
      <w:r>
        <w:rPr>
          <w:rFonts w:ascii="Arial" w:cs="Arial" w:eastAsia="Arial" w:hAnsi="Arial"/>
          <w:sz w:val="14"/>
          <w:szCs w:val="14"/>
          <w:color w:val="auto"/>
        </w:rPr>
        <w:t xml:space="preserve">” means, with respect to the Applicable Amortization Start Date, an amount equal to (a) the principal balance of Term Loans outstanding on the Applicable Amortization Start Date </w:t>
      </w:r>
      <w:r>
        <w:rPr>
          <w:rFonts w:ascii="Arial" w:cs="Arial" w:eastAsia="Arial" w:hAnsi="Arial"/>
          <w:sz w:val="14"/>
          <w:szCs w:val="14"/>
          <w:i w:val="1"/>
          <w:iCs w:val="1"/>
          <w:color w:val="auto"/>
        </w:rPr>
        <w:t>divided</w:t>
      </w:r>
      <w:r>
        <w:rPr>
          <w:rFonts w:ascii="Arial" w:cs="Arial" w:eastAsia="Arial" w:hAnsi="Arial"/>
          <w:sz w:val="14"/>
          <w:szCs w:val="14"/>
          <w:color w:val="auto"/>
        </w:rPr>
        <w:t xml:space="preserve"> by (b) the total number of Payment Dates remaining through and including the Maturity Date.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Extension Conditions</w:t>
      </w:r>
      <w:r>
        <w:rPr>
          <w:rFonts w:ascii="Arial" w:cs="Arial" w:eastAsia="Arial" w:hAnsi="Arial"/>
          <w:sz w:val="14"/>
          <w:szCs w:val="14"/>
          <w:color w:val="auto"/>
        </w:rPr>
        <w:t>” means: (a) Borrower shall have delivered, by January 31, 2020, management prepared, unaudited financial reporting for the Defined Period ending on December 31, 2019, certified by a Responsible Officer of Borrower, that demonstrates to Agent’s reasonable satisfaction that Borrowers’ Net Commercial Product Revenue for such Defined Period is greater than or equal to</w:t>
      </w:r>
    </w:p>
    <w:p>
      <w:pPr>
        <w:spacing w:after="0" w:line="2" w:lineRule="exact"/>
        <w:rPr>
          <w:sz w:val="20"/>
          <w:szCs w:val="20"/>
          <w:color w:val="auto"/>
        </w:rPr>
      </w:pPr>
    </w:p>
    <w:p>
      <w:pPr>
        <w:jc w:val="both"/>
        <w:ind w:right="20"/>
        <w:spacing w:after="0" w:line="288" w:lineRule="auto"/>
        <w:rPr>
          <w:sz w:val="20"/>
          <w:szCs w:val="20"/>
          <w:color w:val="auto"/>
        </w:rPr>
      </w:pPr>
      <w:r>
        <w:rPr>
          <w:rFonts w:ascii="Arial" w:cs="Arial" w:eastAsia="Arial" w:hAnsi="Arial"/>
          <w:sz w:val="13"/>
          <w:szCs w:val="13"/>
          <w:color w:val="auto"/>
        </w:rPr>
        <w:t>$32,000,000 (it being understood that such financial reporting shall be subject to correction by Borrowers, as necessary, in connection with Borrower’s delivery of its financial statements in accordance with Section 4.1(a) for the Defined Period ending December 31, 2019) and (b) no Default or Event of Default has occurred and is continuing as of February 1, 2020.</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Payment Dates</w:t>
      </w:r>
      <w:r>
        <w:rPr>
          <w:rFonts w:ascii="Arial" w:cs="Arial" w:eastAsia="Arial" w:hAnsi="Arial"/>
          <w:sz w:val="14"/>
          <w:szCs w:val="14"/>
          <w:color w:val="auto"/>
        </w:rPr>
        <w:t>” means, collectively, the Applicable Amortization Start Date and the first day of each calendar month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253365</wp:posOffset>
            </wp:positionV>
            <wp:extent cx="732409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40"/>
          </w:cols>
          <w:pgMar w:left="340" w:top="161" w:right="319" w:bottom="1440" w:gutter="0" w:footer="0" w:header="0"/>
        </w:sectPr>
      </w:pPr>
    </w:p>
    <w:bookmarkStart w:id="188" w:name="page189"/>
    <w:bookmarkEnd w:id="188"/>
    <w:p>
      <w:pPr>
        <w:ind w:left="2460"/>
        <w:spacing w:after="0"/>
        <w:rPr>
          <w:sz w:val="20"/>
          <w:szCs w:val="20"/>
          <w:color w:val="auto"/>
        </w:rPr>
      </w:pPr>
      <w:r>
        <w:rPr>
          <w:rFonts w:ascii="Arial" w:cs="Arial" w:eastAsia="Arial" w:hAnsi="Arial"/>
          <w:sz w:val="14"/>
          <w:szCs w:val="14"/>
          <w:b w:val="1"/>
          <w:bCs w:val="1"/>
          <w:color w:val="auto"/>
        </w:rPr>
        <w:t>Schedule 3.1 – Existence, Organizational ID Numbers, Foreign Qualification, Prior Names</w:t>
      </w:r>
    </w:p>
    <w:p>
      <w:pPr>
        <w:spacing w:after="0" w:line="200" w:lineRule="exact"/>
        <w:rPr>
          <w:sz w:val="20"/>
          <w:szCs w:val="20"/>
          <w:color w:val="auto"/>
        </w:rPr>
      </w:pPr>
    </w:p>
    <w:p>
      <w:pPr>
        <w:spacing w:after="0" w:line="287" w:lineRule="exact"/>
        <w:rPr>
          <w:sz w:val="20"/>
          <w:szCs w:val="20"/>
          <w:color w:val="auto"/>
        </w:rPr>
      </w:pPr>
    </w:p>
    <w:tbl>
      <w:tblPr>
        <w:tblLayout w:type="fixed"/>
        <w:tblInd w:w="130" w:type="dxa"/>
        <w:tblCellMar>
          <w:top w:w="0" w:type="dxa"/>
          <w:left w:w="0" w:type="dxa"/>
          <w:bottom w:w="0" w:type="dxa"/>
          <w:right w:w="0" w:type="dxa"/>
        </w:tblCellMar>
      </w:tblPr>
      <w:tr>
        <w:trPr>
          <w:trHeight w:val="155"/>
        </w:trPr>
        <w:tc>
          <w:tcPr>
            <w:tcW w:w="1980" w:type="dxa"/>
            <w:vAlign w:val="bottom"/>
            <w:tcBorders>
              <w:top w:val="single" w:sz="8" w:color="auto"/>
              <w:left w:val="single" w:sz="8" w:color="auto"/>
              <w:right w:val="single" w:sz="8" w:color="auto"/>
            </w:tcBorders>
            <w:shd w:val="clear" w:color="auto" w:fill="B8CCE4"/>
          </w:tcPr>
          <w:p>
            <w:pPr>
              <w:ind w:left="940"/>
              <w:spacing w:after="0" w:line="155" w:lineRule="exact"/>
              <w:rPr>
                <w:sz w:val="20"/>
                <w:szCs w:val="20"/>
                <w:color w:val="auto"/>
              </w:rPr>
            </w:pPr>
            <w:r>
              <w:rPr>
                <w:rFonts w:ascii="Arial" w:cs="Arial" w:eastAsia="Arial" w:hAnsi="Arial"/>
                <w:sz w:val="14"/>
                <w:szCs w:val="14"/>
                <w:b w:val="1"/>
                <w:bCs w:val="1"/>
                <w:color w:val="auto"/>
              </w:rPr>
              <w:t>Borrower</w:t>
            </w:r>
          </w:p>
        </w:tc>
        <w:tc>
          <w:tcPr>
            <w:tcW w:w="1220" w:type="dxa"/>
            <w:vAlign w:val="bottom"/>
            <w:tcBorders>
              <w:top w:val="single" w:sz="8" w:color="auto"/>
              <w:right w:val="single" w:sz="8" w:color="auto"/>
            </w:tcBorders>
            <w:shd w:val="clear" w:color="auto" w:fill="B8CCE4"/>
          </w:tcPr>
          <w:p>
            <w:pPr>
              <w:ind w:left="220"/>
              <w:spacing w:after="0" w:line="155" w:lineRule="exact"/>
              <w:rPr>
                <w:sz w:val="20"/>
                <w:szCs w:val="20"/>
                <w:color w:val="auto"/>
              </w:rPr>
            </w:pPr>
            <w:r>
              <w:rPr>
                <w:rFonts w:ascii="Arial" w:cs="Arial" w:eastAsia="Arial" w:hAnsi="Arial"/>
                <w:sz w:val="14"/>
                <w:szCs w:val="14"/>
                <w:b w:val="1"/>
                <w:bCs w:val="1"/>
                <w:color w:val="auto"/>
              </w:rPr>
              <w:t>Prior Names</w:t>
            </w:r>
          </w:p>
        </w:tc>
        <w:tc>
          <w:tcPr>
            <w:tcW w:w="820" w:type="dxa"/>
            <w:vAlign w:val="bottom"/>
            <w:tcBorders>
              <w:top w:val="single" w:sz="8" w:color="auto"/>
              <w:right w:val="single" w:sz="8" w:color="auto"/>
            </w:tcBorders>
            <w:shd w:val="clear" w:color="auto" w:fill="B8CCE4"/>
          </w:tcPr>
          <w:p>
            <w:pPr>
              <w:jc w:val="center"/>
              <w:spacing w:after="0" w:line="155" w:lineRule="exact"/>
              <w:rPr>
                <w:sz w:val="20"/>
                <w:szCs w:val="20"/>
                <w:color w:val="auto"/>
              </w:rPr>
            </w:pPr>
            <w:r>
              <w:rPr>
                <w:rFonts w:ascii="Arial" w:cs="Arial" w:eastAsia="Arial" w:hAnsi="Arial"/>
                <w:sz w:val="14"/>
                <w:szCs w:val="14"/>
                <w:b w:val="1"/>
                <w:bCs w:val="1"/>
                <w:color w:val="auto"/>
                <w:w w:val="88"/>
              </w:rPr>
              <w:t>Type of</w:t>
            </w:r>
          </w:p>
        </w:tc>
        <w:tc>
          <w:tcPr>
            <w:tcW w:w="1460" w:type="dxa"/>
            <w:vAlign w:val="bottom"/>
            <w:tcBorders>
              <w:top w:val="single" w:sz="8" w:color="auto"/>
              <w:right w:val="single" w:sz="8" w:color="B8CCE4"/>
            </w:tcBorders>
            <w:gridSpan w:val="2"/>
            <w:shd w:val="clear" w:color="auto" w:fill="B8CCE4"/>
          </w:tcPr>
          <w:p>
            <w:pPr>
              <w:ind w:left="340"/>
              <w:spacing w:after="0" w:line="155" w:lineRule="exact"/>
              <w:rPr>
                <w:sz w:val="20"/>
                <w:szCs w:val="20"/>
                <w:color w:val="auto"/>
              </w:rPr>
            </w:pPr>
            <w:r>
              <w:rPr>
                <w:rFonts w:ascii="Arial" w:cs="Arial" w:eastAsia="Arial" w:hAnsi="Arial"/>
                <w:sz w:val="14"/>
                <w:szCs w:val="14"/>
                <w:b w:val="1"/>
                <w:bCs w:val="1"/>
                <w:color w:val="auto"/>
              </w:rPr>
              <w:t>States Qualified</w:t>
            </w:r>
          </w:p>
        </w:tc>
        <w:tc>
          <w:tcPr>
            <w:tcW w:w="320" w:type="dxa"/>
            <w:vAlign w:val="bottom"/>
            <w:tcBorders>
              <w:top w:val="single" w:sz="8" w:color="auto"/>
            </w:tcBorders>
            <w:shd w:val="clear" w:color="auto" w:fill="B8CCE4"/>
          </w:tcPr>
          <w:p>
            <w:pPr>
              <w:spacing w:after="0"/>
              <w:rPr>
                <w:sz w:val="13"/>
                <w:szCs w:val="13"/>
                <w:color w:val="auto"/>
              </w:rPr>
            </w:pPr>
          </w:p>
        </w:tc>
        <w:tc>
          <w:tcPr>
            <w:tcW w:w="240" w:type="dxa"/>
            <w:vAlign w:val="bottom"/>
            <w:tcBorders>
              <w:top w:val="single" w:sz="8" w:color="auto"/>
              <w:right w:val="single" w:sz="8" w:color="auto"/>
            </w:tcBorders>
            <w:shd w:val="clear" w:color="auto" w:fill="B8CCE4"/>
          </w:tcPr>
          <w:p>
            <w:pPr>
              <w:spacing w:after="0"/>
              <w:rPr>
                <w:sz w:val="13"/>
                <w:szCs w:val="13"/>
                <w:color w:val="auto"/>
              </w:rPr>
            </w:pPr>
          </w:p>
        </w:tc>
        <w:tc>
          <w:tcPr>
            <w:tcW w:w="620" w:type="dxa"/>
            <w:vAlign w:val="bottom"/>
            <w:tcBorders>
              <w:top w:val="single" w:sz="8" w:color="auto"/>
              <w:right w:val="single" w:sz="8" w:color="auto"/>
            </w:tcBorders>
            <w:shd w:val="clear" w:color="auto" w:fill="B8CCE4"/>
          </w:tcPr>
          <w:p>
            <w:pPr>
              <w:jc w:val="center"/>
              <w:ind w:left="10"/>
              <w:spacing w:after="0" w:line="155" w:lineRule="exact"/>
              <w:rPr>
                <w:sz w:val="20"/>
                <w:szCs w:val="20"/>
                <w:color w:val="auto"/>
              </w:rPr>
            </w:pPr>
            <w:r>
              <w:rPr>
                <w:rFonts w:ascii="Arial" w:cs="Arial" w:eastAsia="Arial" w:hAnsi="Arial"/>
                <w:sz w:val="14"/>
                <w:szCs w:val="14"/>
                <w:b w:val="1"/>
                <w:bCs w:val="1"/>
                <w:color w:val="auto"/>
                <w:w w:val="87"/>
              </w:rPr>
              <w:t>State</w:t>
            </w:r>
          </w:p>
        </w:tc>
        <w:tc>
          <w:tcPr>
            <w:tcW w:w="680" w:type="dxa"/>
            <w:vAlign w:val="bottom"/>
            <w:tcBorders>
              <w:top w:val="single" w:sz="8" w:color="auto"/>
              <w:right w:val="single" w:sz="8" w:color="auto"/>
            </w:tcBorders>
            <w:shd w:val="clear" w:color="auto" w:fill="B8CCE4"/>
          </w:tcPr>
          <w:p>
            <w:pPr>
              <w:ind w:left="180"/>
              <w:spacing w:after="0" w:line="155" w:lineRule="exact"/>
              <w:rPr>
                <w:sz w:val="20"/>
                <w:szCs w:val="20"/>
                <w:color w:val="auto"/>
              </w:rPr>
            </w:pPr>
            <w:r>
              <w:rPr>
                <w:rFonts w:ascii="Arial" w:cs="Arial" w:eastAsia="Arial" w:hAnsi="Arial"/>
                <w:sz w:val="14"/>
                <w:szCs w:val="14"/>
                <w:b w:val="1"/>
                <w:bCs w:val="1"/>
                <w:color w:val="auto"/>
                <w:w w:val="92"/>
              </w:rPr>
              <w:t>Federal</w:t>
            </w:r>
          </w:p>
        </w:tc>
        <w:tc>
          <w:tcPr>
            <w:tcW w:w="1060" w:type="dxa"/>
            <w:vAlign w:val="bottom"/>
            <w:tcBorders>
              <w:top w:val="single" w:sz="8" w:color="auto"/>
              <w:right w:val="single" w:sz="8" w:color="auto"/>
            </w:tcBorders>
            <w:shd w:val="clear" w:color="auto" w:fill="B8CCE4"/>
          </w:tcPr>
          <w:p>
            <w:pPr>
              <w:ind w:left="100"/>
              <w:spacing w:after="0" w:line="155" w:lineRule="exact"/>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shd w:val="clear" w:color="auto" w:fill="B8CCE4"/>
          </w:tcPr>
          <w:p>
            <w:pPr>
              <w:spacing w:after="0"/>
              <w:rPr>
                <w:sz w:val="14"/>
                <w:szCs w:val="14"/>
                <w:color w:val="auto"/>
              </w:rPr>
            </w:pPr>
          </w:p>
        </w:tc>
        <w:tc>
          <w:tcPr>
            <w:tcW w:w="1220" w:type="dxa"/>
            <w:vAlign w:val="bottom"/>
            <w:tcBorders>
              <w:right w:val="single" w:sz="8" w:color="auto"/>
            </w:tcBorders>
            <w:shd w:val="clear" w:color="auto" w:fill="B8CCE4"/>
          </w:tcPr>
          <w:p>
            <w:pPr>
              <w:spacing w:after="0"/>
              <w:rPr>
                <w:sz w:val="14"/>
                <w:szCs w:val="14"/>
                <w:color w:val="auto"/>
              </w:rPr>
            </w:pPr>
          </w:p>
        </w:tc>
        <w:tc>
          <w:tcPr>
            <w:tcW w:w="8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w w:val="94"/>
              </w:rPr>
              <w:t>Entity /</w:t>
            </w:r>
          </w:p>
        </w:tc>
        <w:tc>
          <w:tcPr>
            <w:tcW w:w="660" w:type="dxa"/>
            <w:vAlign w:val="bottom"/>
            <w:tcBorders>
              <w:right w:val="single" w:sz="8" w:color="B8CCE4"/>
            </w:tcBorders>
            <w:shd w:val="clear" w:color="auto" w:fill="B8CCE4"/>
          </w:tcPr>
          <w:p>
            <w:pPr>
              <w:spacing w:after="0"/>
              <w:rPr>
                <w:sz w:val="14"/>
                <w:szCs w:val="14"/>
                <w:color w:val="auto"/>
              </w:rPr>
            </w:pPr>
          </w:p>
        </w:tc>
        <w:tc>
          <w:tcPr>
            <w:tcW w:w="800" w:type="dxa"/>
            <w:vAlign w:val="bottom"/>
            <w:tcBorders>
              <w:right w:val="single" w:sz="8" w:color="B8CCE4"/>
            </w:tcBorders>
            <w:shd w:val="clear" w:color="auto" w:fill="B8CCE4"/>
          </w:tcPr>
          <w:p>
            <w:pPr>
              <w:spacing w:after="0"/>
              <w:rPr>
                <w:sz w:val="14"/>
                <w:szCs w:val="14"/>
                <w:color w:val="auto"/>
              </w:rPr>
            </w:pPr>
          </w:p>
        </w:tc>
        <w:tc>
          <w:tcPr>
            <w:tcW w:w="320" w:type="dxa"/>
            <w:vAlign w:val="bottom"/>
            <w:shd w:val="clear" w:color="auto" w:fill="B8CCE4"/>
          </w:tcPr>
          <w:p>
            <w:pPr>
              <w:spacing w:after="0"/>
              <w:rPr>
                <w:sz w:val="14"/>
                <w:szCs w:val="14"/>
                <w:color w:val="auto"/>
              </w:rPr>
            </w:pPr>
          </w:p>
        </w:tc>
        <w:tc>
          <w:tcPr>
            <w:tcW w:w="240" w:type="dxa"/>
            <w:vAlign w:val="bottom"/>
            <w:tcBorders>
              <w:right w:val="single" w:sz="8" w:color="auto"/>
            </w:tcBorders>
            <w:shd w:val="clear" w:color="auto" w:fill="B8CCE4"/>
          </w:tcPr>
          <w:p>
            <w:pPr>
              <w:spacing w:after="0"/>
              <w:rPr>
                <w:sz w:val="14"/>
                <w:szCs w:val="14"/>
                <w:color w:val="auto"/>
              </w:rPr>
            </w:pPr>
          </w:p>
        </w:tc>
        <w:tc>
          <w:tcPr>
            <w:tcW w:w="6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rPr>
              <w:t>Org. ID</w:t>
            </w:r>
          </w:p>
        </w:tc>
        <w:tc>
          <w:tcPr>
            <w:tcW w:w="680" w:type="dxa"/>
            <w:vAlign w:val="bottom"/>
            <w:tcBorders>
              <w:right w:val="single" w:sz="8" w:color="auto"/>
            </w:tcBorders>
            <w:shd w:val="clear" w:color="auto" w:fill="B8CCE4"/>
          </w:tcPr>
          <w:p>
            <w:pPr>
              <w:ind w:left="160"/>
              <w:spacing w:after="0"/>
              <w:rPr>
                <w:sz w:val="20"/>
                <w:szCs w:val="20"/>
                <w:color w:val="auto"/>
              </w:rPr>
            </w:pPr>
            <w:r>
              <w:rPr>
                <w:rFonts w:ascii="Arial" w:cs="Arial" w:eastAsia="Arial" w:hAnsi="Arial"/>
                <w:sz w:val="14"/>
                <w:szCs w:val="14"/>
                <w:b w:val="1"/>
                <w:bCs w:val="1"/>
                <w:color w:val="auto"/>
              </w:rPr>
              <w:t>Tax  ID</w:t>
            </w:r>
          </w:p>
        </w:tc>
        <w:tc>
          <w:tcPr>
            <w:tcW w:w="1060" w:type="dxa"/>
            <w:vAlign w:val="bottom"/>
            <w:tcBorders>
              <w:right w:val="single" w:sz="8" w:color="auto"/>
            </w:tcBorders>
            <w:shd w:val="clear" w:color="auto" w:fill="B8CCE4"/>
          </w:tcPr>
          <w:p>
            <w:pPr>
              <w:ind w:left="460"/>
              <w:spacing w:after="0"/>
              <w:rPr>
                <w:sz w:val="20"/>
                <w:szCs w:val="20"/>
                <w:color w:val="auto"/>
              </w:rPr>
            </w:pPr>
            <w:r>
              <w:rPr>
                <w:rFonts w:ascii="Arial" w:cs="Arial" w:eastAsia="Arial" w:hAnsi="Arial"/>
                <w:sz w:val="14"/>
                <w:szCs w:val="14"/>
                <w:b w:val="1"/>
                <w:bCs w:val="1"/>
                <w:color w:val="auto"/>
                <w:w w:val="89"/>
              </w:rPr>
              <w:t>Borrower</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shd w:val="clear" w:color="auto" w:fill="B8CCE4"/>
          </w:tcPr>
          <w:p>
            <w:pPr>
              <w:spacing w:after="0"/>
              <w:rPr>
                <w:sz w:val="14"/>
                <w:szCs w:val="14"/>
                <w:color w:val="auto"/>
              </w:rPr>
            </w:pPr>
          </w:p>
        </w:tc>
        <w:tc>
          <w:tcPr>
            <w:tcW w:w="1220" w:type="dxa"/>
            <w:vAlign w:val="bottom"/>
            <w:tcBorders>
              <w:right w:val="single" w:sz="8" w:color="auto"/>
            </w:tcBorders>
            <w:shd w:val="clear" w:color="auto" w:fill="B8CCE4"/>
          </w:tcPr>
          <w:p>
            <w:pPr>
              <w:spacing w:after="0"/>
              <w:rPr>
                <w:sz w:val="14"/>
                <w:szCs w:val="14"/>
                <w:color w:val="auto"/>
              </w:rPr>
            </w:pPr>
          </w:p>
        </w:tc>
        <w:tc>
          <w:tcPr>
            <w:tcW w:w="8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w w:val="85"/>
              </w:rPr>
              <w:t>State of</w:t>
            </w:r>
          </w:p>
        </w:tc>
        <w:tc>
          <w:tcPr>
            <w:tcW w:w="660" w:type="dxa"/>
            <w:vAlign w:val="bottom"/>
            <w:tcBorders>
              <w:right w:val="single" w:sz="8" w:color="B8CCE4"/>
            </w:tcBorders>
            <w:shd w:val="clear" w:color="auto" w:fill="B8CCE4"/>
          </w:tcPr>
          <w:p>
            <w:pPr>
              <w:spacing w:after="0"/>
              <w:rPr>
                <w:sz w:val="14"/>
                <w:szCs w:val="14"/>
                <w:color w:val="auto"/>
              </w:rPr>
            </w:pPr>
          </w:p>
        </w:tc>
        <w:tc>
          <w:tcPr>
            <w:tcW w:w="800" w:type="dxa"/>
            <w:vAlign w:val="bottom"/>
            <w:tcBorders>
              <w:right w:val="single" w:sz="8" w:color="B8CCE4"/>
            </w:tcBorders>
            <w:shd w:val="clear" w:color="auto" w:fill="B8CCE4"/>
          </w:tcPr>
          <w:p>
            <w:pPr>
              <w:spacing w:after="0"/>
              <w:rPr>
                <w:sz w:val="14"/>
                <w:szCs w:val="14"/>
                <w:color w:val="auto"/>
              </w:rPr>
            </w:pPr>
          </w:p>
        </w:tc>
        <w:tc>
          <w:tcPr>
            <w:tcW w:w="320" w:type="dxa"/>
            <w:vAlign w:val="bottom"/>
            <w:shd w:val="clear" w:color="auto" w:fill="B8CCE4"/>
          </w:tcPr>
          <w:p>
            <w:pPr>
              <w:spacing w:after="0"/>
              <w:rPr>
                <w:sz w:val="14"/>
                <w:szCs w:val="14"/>
                <w:color w:val="auto"/>
              </w:rPr>
            </w:pPr>
          </w:p>
        </w:tc>
        <w:tc>
          <w:tcPr>
            <w:tcW w:w="240" w:type="dxa"/>
            <w:vAlign w:val="bottom"/>
            <w:tcBorders>
              <w:right w:val="single" w:sz="8" w:color="auto"/>
            </w:tcBorders>
            <w:shd w:val="clear" w:color="auto" w:fill="B8CCE4"/>
          </w:tcPr>
          <w:p>
            <w:pPr>
              <w:spacing w:after="0"/>
              <w:rPr>
                <w:sz w:val="14"/>
                <w:szCs w:val="14"/>
                <w:color w:val="auto"/>
              </w:rPr>
            </w:pPr>
          </w:p>
        </w:tc>
        <w:tc>
          <w:tcPr>
            <w:tcW w:w="620" w:type="dxa"/>
            <w:vAlign w:val="bottom"/>
            <w:tcBorders>
              <w:right w:val="single" w:sz="8" w:color="auto"/>
            </w:tcBorders>
            <w:shd w:val="clear" w:color="auto" w:fill="B8CCE4"/>
          </w:tcPr>
          <w:p>
            <w:pPr>
              <w:jc w:val="center"/>
              <w:ind w:left="10"/>
              <w:spacing w:after="0"/>
              <w:rPr>
                <w:sz w:val="20"/>
                <w:szCs w:val="20"/>
                <w:color w:val="auto"/>
              </w:rPr>
            </w:pPr>
            <w:r>
              <w:rPr>
                <w:rFonts w:ascii="Arial" w:cs="Arial" w:eastAsia="Arial" w:hAnsi="Arial"/>
                <w:sz w:val="14"/>
                <w:szCs w:val="14"/>
                <w:b w:val="1"/>
                <w:bCs w:val="1"/>
                <w:color w:val="auto"/>
                <w:w w:val="94"/>
              </w:rPr>
              <w:t>Number</w:t>
            </w:r>
          </w:p>
        </w:tc>
        <w:tc>
          <w:tcPr>
            <w:tcW w:w="680" w:type="dxa"/>
            <w:vAlign w:val="bottom"/>
            <w:tcBorders>
              <w:right w:val="single" w:sz="8" w:color="auto"/>
            </w:tcBorders>
            <w:shd w:val="clear" w:color="auto" w:fill="B8CCE4"/>
          </w:tcPr>
          <w:p>
            <w:pPr>
              <w:ind w:left="160"/>
              <w:spacing w:after="0"/>
              <w:rPr>
                <w:sz w:val="20"/>
                <w:szCs w:val="20"/>
                <w:color w:val="auto"/>
              </w:rPr>
            </w:pPr>
            <w:r>
              <w:rPr>
                <w:rFonts w:ascii="Arial" w:cs="Arial" w:eastAsia="Arial" w:hAnsi="Arial"/>
                <w:sz w:val="14"/>
                <w:szCs w:val="14"/>
                <w:b w:val="1"/>
                <w:bCs w:val="1"/>
                <w:color w:val="auto"/>
                <w:w w:val="90"/>
              </w:rPr>
              <w:t>Number</w:t>
            </w:r>
          </w:p>
        </w:tc>
        <w:tc>
          <w:tcPr>
            <w:tcW w:w="1060" w:type="dxa"/>
            <w:vAlign w:val="bottom"/>
            <w:tcBorders>
              <w:right w:val="single" w:sz="8" w:color="auto"/>
            </w:tcBorders>
            <w:shd w:val="clear" w:color="auto" w:fill="B8CCE4"/>
          </w:tcPr>
          <w:p>
            <w:pPr>
              <w:ind w:left="460"/>
              <w:spacing w:after="0"/>
              <w:rPr>
                <w:sz w:val="20"/>
                <w:szCs w:val="20"/>
                <w:color w:val="auto"/>
              </w:rPr>
            </w:pPr>
            <w:r>
              <w:rPr>
                <w:rFonts w:ascii="Arial" w:cs="Arial" w:eastAsia="Arial" w:hAnsi="Arial"/>
                <w:sz w:val="14"/>
                <w:szCs w:val="14"/>
                <w:b w:val="1"/>
                <w:bCs w:val="1"/>
                <w:color w:val="auto"/>
                <w:w w:val="88"/>
              </w:rPr>
              <w:t>(address)</w:t>
            </w:r>
          </w:p>
        </w:tc>
        <w:tc>
          <w:tcPr>
            <w:tcW w:w="0" w:type="dxa"/>
            <w:vAlign w:val="bottom"/>
          </w:tcPr>
          <w:p>
            <w:pPr>
              <w:spacing w:after="0"/>
              <w:rPr>
                <w:sz w:val="1"/>
                <w:szCs w:val="1"/>
                <w:color w:val="auto"/>
              </w:rPr>
            </w:pPr>
          </w:p>
        </w:tc>
      </w:tr>
      <w:tr>
        <w:trPr>
          <w:trHeight w:val="183"/>
        </w:trPr>
        <w:tc>
          <w:tcPr>
            <w:tcW w:w="1980" w:type="dxa"/>
            <w:vAlign w:val="bottom"/>
            <w:tcBorders>
              <w:left w:val="single" w:sz="8" w:color="auto"/>
              <w:right w:val="single" w:sz="8" w:color="auto"/>
            </w:tcBorders>
            <w:shd w:val="clear" w:color="auto" w:fill="B8CCE4"/>
          </w:tcPr>
          <w:p>
            <w:pPr>
              <w:spacing w:after="0"/>
              <w:rPr>
                <w:sz w:val="15"/>
                <w:szCs w:val="15"/>
                <w:color w:val="auto"/>
              </w:rPr>
            </w:pPr>
          </w:p>
        </w:tc>
        <w:tc>
          <w:tcPr>
            <w:tcW w:w="1220" w:type="dxa"/>
            <w:vAlign w:val="bottom"/>
            <w:tcBorders>
              <w:right w:val="single" w:sz="8" w:color="auto"/>
            </w:tcBorders>
            <w:shd w:val="clear" w:color="auto" w:fill="B8CCE4"/>
          </w:tcPr>
          <w:p>
            <w:pPr>
              <w:spacing w:after="0"/>
              <w:rPr>
                <w:sz w:val="15"/>
                <w:szCs w:val="15"/>
                <w:color w:val="auto"/>
              </w:rPr>
            </w:pPr>
          </w:p>
        </w:tc>
        <w:tc>
          <w:tcPr>
            <w:tcW w:w="820" w:type="dxa"/>
            <w:vAlign w:val="bottom"/>
            <w:tcBorders>
              <w:right w:val="single" w:sz="8" w:color="auto"/>
            </w:tcBorders>
            <w:shd w:val="clear" w:color="auto" w:fill="B8CCE4"/>
          </w:tcPr>
          <w:p>
            <w:pPr>
              <w:jc w:val="center"/>
              <w:spacing w:after="0"/>
              <w:rPr>
                <w:sz w:val="20"/>
                <w:szCs w:val="20"/>
                <w:color w:val="auto"/>
              </w:rPr>
            </w:pPr>
            <w:r>
              <w:rPr>
                <w:rFonts w:ascii="Arial" w:cs="Arial" w:eastAsia="Arial" w:hAnsi="Arial"/>
                <w:sz w:val="14"/>
                <w:szCs w:val="14"/>
                <w:b w:val="1"/>
                <w:bCs w:val="1"/>
                <w:color w:val="auto"/>
                <w:w w:val="93"/>
              </w:rPr>
              <w:t>Formation</w:t>
            </w:r>
          </w:p>
        </w:tc>
        <w:tc>
          <w:tcPr>
            <w:tcW w:w="660" w:type="dxa"/>
            <w:vAlign w:val="bottom"/>
            <w:tcBorders>
              <w:right w:val="single" w:sz="8" w:color="B8CCE4"/>
            </w:tcBorders>
            <w:shd w:val="clear" w:color="auto" w:fill="B8CCE4"/>
          </w:tcPr>
          <w:p>
            <w:pPr>
              <w:spacing w:after="0"/>
              <w:rPr>
                <w:sz w:val="15"/>
                <w:szCs w:val="15"/>
                <w:color w:val="auto"/>
              </w:rPr>
            </w:pPr>
          </w:p>
        </w:tc>
        <w:tc>
          <w:tcPr>
            <w:tcW w:w="800" w:type="dxa"/>
            <w:vAlign w:val="bottom"/>
            <w:tcBorders>
              <w:right w:val="single" w:sz="8" w:color="B8CCE4"/>
            </w:tcBorders>
            <w:shd w:val="clear" w:color="auto" w:fill="B8CCE4"/>
          </w:tcPr>
          <w:p>
            <w:pPr>
              <w:spacing w:after="0"/>
              <w:rPr>
                <w:sz w:val="15"/>
                <w:szCs w:val="15"/>
                <w:color w:val="auto"/>
              </w:rPr>
            </w:pPr>
          </w:p>
        </w:tc>
        <w:tc>
          <w:tcPr>
            <w:tcW w:w="320" w:type="dxa"/>
            <w:vAlign w:val="bottom"/>
            <w:shd w:val="clear" w:color="auto" w:fill="B8CCE4"/>
          </w:tcPr>
          <w:p>
            <w:pPr>
              <w:spacing w:after="0"/>
              <w:rPr>
                <w:sz w:val="15"/>
                <w:szCs w:val="15"/>
                <w:color w:val="auto"/>
              </w:rPr>
            </w:pPr>
          </w:p>
        </w:tc>
        <w:tc>
          <w:tcPr>
            <w:tcW w:w="240" w:type="dxa"/>
            <w:vAlign w:val="bottom"/>
            <w:tcBorders>
              <w:right w:val="single" w:sz="8" w:color="auto"/>
            </w:tcBorders>
            <w:shd w:val="clear" w:color="auto" w:fill="B8CCE4"/>
          </w:tcPr>
          <w:p>
            <w:pPr>
              <w:spacing w:after="0"/>
              <w:rPr>
                <w:sz w:val="15"/>
                <w:szCs w:val="15"/>
                <w:color w:val="auto"/>
              </w:rPr>
            </w:pPr>
          </w:p>
        </w:tc>
        <w:tc>
          <w:tcPr>
            <w:tcW w:w="620" w:type="dxa"/>
            <w:vAlign w:val="bottom"/>
            <w:tcBorders>
              <w:right w:val="single" w:sz="8" w:color="auto"/>
            </w:tcBorders>
            <w:shd w:val="clear" w:color="auto" w:fill="B8CCE4"/>
          </w:tcPr>
          <w:p>
            <w:pPr>
              <w:spacing w:after="0"/>
              <w:rPr>
                <w:sz w:val="15"/>
                <w:szCs w:val="15"/>
                <w:color w:val="auto"/>
              </w:rPr>
            </w:pPr>
          </w:p>
        </w:tc>
        <w:tc>
          <w:tcPr>
            <w:tcW w:w="680" w:type="dxa"/>
            <w:vAlign w:val="bottom"/>
            <w:tcBorders>
              <w:right w:val="single" w:sz="8" w:color="auto"/>
            </w:tcBorders>
            <w:shd w:val="clear" w:color="auto" w:fill="B8CCE4"/>
          </w:tcPr>
          <w:p>
            <w:pPr>
              <w:spacing w:after="0"/>
              <w:rPr>
                <w:sz w:val="15"/>
                <w:szCs w:val="15"/>
                <w:color w:val="auto"/>
              </w:rPr>
            </w:pPr>
          </w:p>
        </w:tc>
        <w:tc>
          <w:tcPr>
            <w:tcW w:w="1060" w:type="dxa"/>
            <w:vAlign w:val="bottom"/>
            <w:tcBorders>
              <w:right w:val="single" w:sz="8" w:color="auto"/>
            </w:tcBorders>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bottom w:val="single" w:sz="8" w:color="auto"/>
              <w:right w:val="single" w:sz="8" w:color="auto"/>
            </w:tcBorders>
            <w:shd w:val="clear" w:color="auto" w:fill="B8CCE4"/>
          </w:tcPr>
          <w:p>
            <w:pPr>
              <w:spacing w:after="0"/>
              <w:rPr>
                <w:sz w:val="12"/>
                <w:szCs w:val="12"/>
                <w:color w:val="auto"/>
              </w:rPr>
            </w:pPr>
          </w:p>
        </w:tc>
        <w:tc>
          <w:tcPr>
            <w:tcW w:w="1220" w:type="dxa"/>
            <w:vAlign w:val="bottom"/>
            <w:tcBorders>
              <w:bottom w:val="single" w:sz="8" w:color="auto"/>
              <w:right w:val="single" w:sz="8" w:color="auto"/>
            </w:tcBorders>
            <w:shd w:val="clear" w:color="auto" w:fill="B8CCE4"/>
          </w:tcPr>
          <w:p>
            <w:pPr>
              <w:spacing w:after="0"/>
              <w:rPr>
                <w:sz w:val="12"/>
                <w:szCs w:val="12"/>
                <w:color w:val="auto"/>
              </w:rPr>
            </w:pPr>
          </w:p>
        </w:tc>
        <w:tc>
          <w:tcPr>
            <w:tcW w:w="820" w:type="dxa"/>
            <w:vAlign w:val="bottom"/>
            <w:tcBorders>
              <w:bottom w:val="single" w:sz="8" w:color="auto"/>
              <w:right w:val="single" w:sz="8" w:color="auto"/>
            </w:tcBorders>
            <w:shd w:val="clear" w:color="auto" w:fill="B8CCE4"/>
          </w:tcPr>
          <w:p>
            <w:pPr>
              <w:spacing w:after="0"/>
              <w:rPr>
                <w:sz w:val="12"/>
                <w:szCs w:val="12"/>
                <w:color w:val="auto"/>
              </w:rPr>
            </w:pPr>
          </w:p>
        </w:tc>
        <w:tc>
          <w:tcPr>
            <w:tcW w:w="660" w:type="dxa"/>
            <w:vAlign w:val="bottom"/>
            <w:tcBorders>
              <w:bottom w:val="single" w:sz="8" w:color="auto"/>
              <w:right w:val="single" w:sz="8" w:color="B8CCE4"/>
            </w:tcBorders>
            <w:shd w:val="clear" w:color="auto" w:fill="B8CCE4"/>
          </w:tcPr>
          <w:p>
            <w:pPr>
              <w:spacing w:after="0"/>
              <w:rPr>
                <w:sz w:val="12"/>
                <w:szCs w:val="12"/>
                <w:color w:val="auto"/>
              </w:rPr>
            </w:pPr>
          </w:p>
        </w:tc>
        <w:tc>
          <w:tcPr>
            <w:tcW w:w="800" w:type="dxa"/>
            <w:vAlign w:val="bottom"/>
            <w:tcBorders>
              <w:bottom w:val="single" w:sz="8" w:color="auto"/>
              <w:right w:val="single" w:sz="8" w:color="B8CCE4"/>
            </w:tcBorders>
            <w:shd w:val="clear" w:color="auto" w:fill="B8CCE4"/>
          </w:tcPr>
          <w:p>
            <w:pPr>
              <w:spacing w:after="0"/>
              <w:rPr>
                <w:sz w:val="12"/>
                <w:szCs w:val="12"/>
                <w:color w:val="auto"/>
              </w:rPr>
            </w:pPr>
          </w:p>
        </w:tc>
        <w:tc>
          <w:tcPr>
            <w:tcW w:w="320" w:type="dxa"/>
            <w:vAlign w:val="bottom"/>
            <w:tcBorders>
              <w:bottom w:val="single" w:sz="8" w:color="auto"/>
            </w:tcBorders>
            <w:shd w:val="clear" w:color="auto" w:fill="B8CCE4"/>
          </w:tcPr>
          <w:p>
            <w:pPr>
              <w:spacing w:after="0"/>
              <w:rPr>
                <w:sz w:val="12"/>
                <w:szCs w:val="12"/>
                <w:color w:val="auto"/>
              </w:rPr>
            </w:pPr>
          </w:p>
        </w:tc>
        <w:tc>
          <w:tcPr>
            <w:tcW w:w="240" w:type="dxa"/>
            <w:vAlign w:val="bottom"/>
            <w:tcBorders>
              <w:bottom w:val="single" w:sz="8" w:color="auto"/>
              <w:right w:val="single" w:sz="8" w:color="auto"/>
            </w:tcBorders>
            <w:shd w:val="clear" w:color="auto" w:fill="B8CCE4"/>
          </w:tcPr>
          <w:p>
            <w:pPr>
              <w:spacing w:after="0"/>
              <w:rPr>
                <w:sz w:val="12"/>
                <w:szCs w:val="12"/>
                <w:color w:val="auto"/>
              </w:rPr>
            </w:pPr>
          </w:p>
        </w:tc>
        <w:tc>
          <w:tcPr>
            <w:tcW w:w="620" w:type="dxa"/>
            <w:vAlign w:val="bottom"/>
            <w:tcBorders>
              <w:bottom w:val="single" w:sz="8" w:color="auto"/>
              <w:right w:val="single" w:sz="8" w:color="auto"/>
            </w:tcBorders>
            <w:shd w:val="clear" w:color="auto" w:fill="B8CCE4"/>
          </w:tcPr>
          <w:p>
            <w:pPr>
              <w:spacing w:after="0"/>
              <w:rPr>
                <w:sz w:val="12"/>
                <w:szCs w:val="12"/>
                <w:color w:val="auto"/>
              </w:rPr>
            </w:pPr>
          </w:p>
        </w:tc>
        <w:tc>
          <w:tcPr>
            <w:tcW w:w="680" w:type="dxa"/>
            <w:vAlign w:val="bottom"/>
            <w:tcBorders>
              <w:bottom w:val="single" w:sz="8" w:color="auto"/>
              <w:right w:val="single" w:sz="8" w:color="auto"/>
            </w:tcBorders>
            <w:shd w:val="clear" w:color="auto" w:fill="B8CCE4"/>
          </w:tcPr>
          <w:p>
            <w:pPr>
              <w:spacing w:after="0"/>
              <w:rPr>
                <w:sz w:val="12"/>
                <w:szCs w:val="12"/>
                <w:color w:val="auto"/>
              </w:rPr>
            </w:pPr>
          </w:p>
        </w:tc>
        <w:tc>
          <w:tcPr>
            <w:tcW w:w="1060" w:type="dxa"/>
            <w:vAlign w:val="bottom"/>
            <w:tcBorders>
              <w:bottom w:val="single" w:sz="8" w:color="auto"/>
              <w:right w:val="single" w:sz="8" w:color="auto"/>
            </w:tcBorders>
            <w:shd w:val="clear" w:color="auto" w:fill="B8CCE4"/>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Borders>
              <w:left w:val="single" w:sz="8" w:color="auto"/>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Aptevo Therapeutics Inc</w:t>
            </w:r>
          </w:p>
        </w:tc>
        <w:tc>
          <w:tcPr>
            <w:tcW w:w="12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DE</w:t>
            </w:r>
          </w:p>
        </w:tc>
        <w:tc>
          <w:tcPr>
            <w:tcW w:w="660" w:type="dxa"/>
            <w:vAlign w:val="bottom"/>
          </w:tcPr>
          <w:p>
            <w:pPr>
              <w:ind w:left="60"/>
              <w:spacing w:after="0" w:line="130" w:lineRule="exact"/>
              <w:rPr>
                <w:sz w:val="20"/>
                <w:szCs w:val="20"/>
                <w:color w:val="auto"/>
              </w:rPr>
            </w:pPr>
            <w:r>
              <w:rPr>
                <w:rFonts w:ascii="Arial" w:cs="Arial" w:eastAsia="Arial" w:hAnsi="Arial"/>
                <w:sz w:val="14"/>
                <w:szCs w:val="14"/>
                <w:color w:val="auto"/>
              </w:rPr>
              <w:t>WA</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w w:val="99"/>
              </w:rPr>
              <w:t>5833686</w:t>
            </w:r>
          </w:p>
        </w:tc>
        <w:tc>
          <w:tcPr>
            <w:tcW w:w="6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81-</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2401 4th Ave,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8"/>
              </w:rPr>
              <w:t>Corporation</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1567056</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Suite 1050,</w:t>
            </w:r>
          </w:p>
        </w:tc>
        <w:tc>
          <w:tcPr>
            <w:tcW w:w="0" w:type="dxa"/>
            <w:vAlign w:val="bottom"/>
          </w:tcPr>
          <w:p>
            <w:pPr>
              <w:spacing w:after="0"/>
              <w:rPr>
                <w:sz w:val="1"/>
                <w:szCs w:val="1"/>
                <w:color w:val="auto"/>
              </w:rPr>
            </w:pPr>
          </w:p>
        </w:tc>
      </w:tr>
      <w:tr>
        <w:trPr>
          <w:trHeight w:val="153"/>
        </w:trPr>
        <w:tc>
          <w:tcPr>
            <w:tcW w:w="1980" w:type="dxa"/>
            <w:vAlign w:val="bottom"/>
            <w:tcBorders>
              <w:left w:val="single" w:sz="8" w:color="auto"/>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Seattle, WA</w:t>
            </w:r>
          </w:p>
        </w:tc>
        <w:tc>
          <w:tcPr>
            <w:tcW w:w="0" w:type="dxa"/>
            <w:vAlign w:val="bottom"/>
          </w:tcPr>
          <w:p>
            <w:pPr>
              <w:spacing w:after="0"/>
              <w:rPr>
                <w:sz w:val="1"/>
                <w:szCs w:val="1"/>
                <w:color w:val="auto"/>
              </w:rPr>
            </w:pPr>
          </w:p>
        </w:tc>
      </w:tr>
      <w:tr>
        <w:trPr>
          <w:trHeight w:val="156"/>
        </w:trPr>
        <w:tc>
          <w:tcPr>
            <w:tcW w:w="1980" w:type="dxa"/>
            <w:vAlign w:val="bottom"/>
            <w:tcBorders>
              <w:left w:val="single" w:sz="8" w:color="auto"/>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ind w:left="60"/>
              <w:spacing w:after="0" w:line="156" w:lineRule="exact"/>
              <w:rPr>
                <w:sz w:val="20"/>
                <w:szCs w:val="20"/>
                <w:color w:val="auto"/>
              </w:rPr>
            </w:pPr>
            <w:r>
              <w:rPr>
                <w:rFonts w:ascii="Arial" w:cs="Arial" w:eastAsia="Arial" w:hAnsi="Arial"/>
                <w:sz w:val="14"/>
                <w:szCs w:val="14"/>
                <w:color w:val="auto"/>
              </w:rPr>
              <w:t>98121</w:t>
            </w:r>
          </w:p>
        </w:tc>
        <w:tc>
          <w:tcPr>
            <w:tcW w:w="0" w:type="dxa"/>
            <w:vAlign w:val="bottom"/>
          </w:tcPr>
          <w:p>
            <w:pPr>
              <w:spacing w:after="0"/>
              <w:rPr>
                <w:sz w:val="1"/>
                <w:szCs w:val="1"/>
                <w:color w:val="auto"/>
              </w:rPr>
            </w:pPr>
          </w:p>
        </w:tc>
      </w:tr>
      <w:tr>
        <w:trPr>
          <w:trHeight w:val="130"/>
        </w:trPr>
        <w:tc>
          <w:tcPr>
            <w:tcW w:w="1980" w:type="dxa"/>
            <w:vAlign w:val="bottom"/>
            <w:tcBorders>
              <w:left w:val="single" w:sz="8" w:color="auto"/>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Aptevo Research and</w:t>
            </w:r>
          </w:p>
        </w:tc>
        <w:tc>
          <w:tcPr>
            <w:tcW w:w="12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w w:val="99"/>
              </w:rPr>
              <w:t>Emergent Product</w:t>
            </w:r>
          </w:p>
        </w:tc>
        <w:tc>
          <w:tcPr>
            <w:tcW w:w="8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DE Limited</w:t>
            </w:r>
          </w:p>
        </w:tc>
        <w:tc>
          <w:tcPr>
            <w:tcW w:w="660" w:type="dxa"/>
            <w:vAlign w:val="bottom"/>
          </w:tcPr>
          <w:p>
            <w:pPr>
              <w:ind w:left="60"/>
              <w:spacing w:after="0" w:line="130" w:lineRule="exact"/>
              <w:rPr>
                <w:sz w:val="20"/>
                <w:szCs w:val="20"/>
                <w:color w:val="auto"/>
              </w:rPr>
            </w:pPr>
            <w:r>
              <w:rPr>
                <w:rFonts w:ascii="Arial" w:cs="Arial" w:eastAsia="Arial" w:hAnsi="Arial"/>
                <w:sz w:val="14"/>
                <w:szCs w:val="14"/>
                <w:color w:val="auto"/>
              </w:rPr>
              <w:t>WA</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w w:val="99"/>
              </w:rPr>
              <w:t>4858233</w:t>
            </w:r>
          </w:p>
        </w:tc>
        <w:tc>
          <w:tcPr>
            <w:tcW w:w="6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52-</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2401 4th Ave,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Development LLC</w:t>
            </w: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Development</w:t>
            </w:r>
          </w:p>
        </w:tc>
        <w:tc>
          <w:tcPr>
            <w:tcW w:w="8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Liability</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2385898</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Suite 1050,</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vMerge w:val="continue"/>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vMerge w:val="continue"/>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Seattle, WA</w:t>
            </w:r>
          </w:p>
        </w:tc>
        <w:tc>
          <w:tcPr>
            <w:tcW w:w="0" w:type="dxa"/>
            <w:vAlign w:val="bottom"/>
          </w:tcPr>
          <w:p>
            <w:pPr>
              <w:spacing w:after="0"/>
              <w:rPr>
                <w:sz w:val="1"/>
                <w:szCs w:val="1"/>
                <w:color w:val="auto"/>
              </w:rPr>
            </w:pPr>
          </w:p>
        </w:tc>
      </w:tr>
      <w:tr>
        <w:trPr>
          <w:trHeight w:val="188"/>
        </w:trPr>
        <w:tc>
          <w:tcPr>
            <w:tcW w:w="1980" w:type="dxa"/>
            <w:vAlign w:val="bottom"/>
            <w:tcBorders>
              <w:left w:val="single" w:sz="8" w:color="auto"/>
              <w:right w:val="single" w:sz="8" w:color="auto"/>
            </w:tcBorders>
          </w:tcPr>
          <w:p>
            <w:pPr>
              <w:spacing w:after="0"/>
              <w:rPr>
                <w:sz w:val="16"/>
                <w:szCs w:val="16"/>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Seattle LLC</w:t>
            </w: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Company</w:t>
            </w: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98121</w:t>
            </w:r>
          </w:p>
        </w:tc>
        <w:tc>
          <w:tcPr>
            <w:tcW w:w="0" w:type="dxa"/>
            <w:vAlign w:val="bottom"/>
          </w:tcPr>
          <w:p>
            <w:pPr>
              <w:spacing w:after="0"/>
              <w:rPr>
                <w:sz w:val="1"/>
                <w:szCs w:val="1"/>
                <w:color w:val="auto"/>
              </w:rPr>
            </w:pPr>
          </w:p>
        </w:tc>
      </w:tr>
      <w:tr>
        <w:trPr>
          <w:trHeight w:val="299"/>
        </w:trPr>
        <w:tc>
          <w:tcPr>
            <w:tcW w:w="198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Trubion</w:t>
            </w:r>
          </w:p>
        </w:tc>
        <w:tc>
          <w:tcPr>
            <w:tcW w:w="82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Pharmaceuticals,</w:t>
            </w:r>
          </w:p>
        </w:tc>
        <w:tc>
          <w:tcPr>
            <w:tcW w:w="8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8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w:t>
            </w:r>
          </w:p>
        </w:tc>
        <w:tc>
          <w:tcPr>
            <w:tcW w:w="8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80" w:type="dxa"/>
            <w:vAlign w:val="bottom"/>
            <w:tcBorders>
              <w:left w:val="single" w:sz="8" w:color="auto"/>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Aptevo BioTherapeutics LLC</w:t>
            </w:r>
          </w:p>
        </w:tc>
        <w:tc>
          <w:tcPr>
            <w:tcW w:w="12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N/A</w:t>
            </w:r>
          </w:p>
        </w:tc>
        <w:tc>
          <w:tcPr>
            <w:tcW w:w="82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DE Limited</w:t>
            </w:r>
          </w:p>
        </w:tc>
        <w:tc>
          <w:tcPr>
            <w:tcW w:w="6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AL AZ</w:t>
            </w:r>
          </w:p>
        </w:tc>
        <w:tc>
          <w:tcPr>
            <w:tcW w:w="80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LA ME MI</w:t>
            </w:r>
          </w:p>
        </w:tc>
        <w:tc>
          <w:tcPr>
            <w:tcW w:w="320" w:type="dxa"/>
            <w:vAlign w:val="bottom"/>
          </w:tcPr>
          <w:p>
            <w:pPr>
              <w:ind w:left="60"/>
              <w:spacing w:after="0" w:line="130" w:lineRule="exact"/>
              <w:rPr>
                <w:sz w:val="20"/>
                <w:szCs w:val="20"/>
                <w:color w:val="auto"/>
              </w:rPr>
            </w:pPr>
            <w:r>
              <w:rPr>
                <w:rFonts w:ascii="Arial" w:cs="Arial" w:eastAsia="Arial" w:hAnsi="Arial"/>
                <w:sz w:val="14"/>
                <w:szCs w:val="14"/>
                <w:color w:val="auto"/>
              </w:rPr>
              <w:t>OH</w:t>
            </w:r>
          </w:p>
        </w:tc>
        <w:tc>
          <w:tcPr>
            <w:tcW w:w="24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rPr>
              <w:t>PA</w:t>
            </w:r>
          </w:p>
        </w:tc>
        <w:tc>
          <w:tcPr>
            <w:tcW w:w="6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w w:val="99"/>
              </w:rPr>
              <w:t>5937234</w:t>
            </w:r>
          </w:p>
        </w:tc>
        <w:tc>
          <w:tcPr>
            <w:tcW w:w="68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81-</w:t>
            </w:r>
          </w:p>
        </w:tc>
        <w:tc>
          <w:tcPr>
            <w:tcW w:w="1060" w:type="dxa"/>
            <w:vAlign w:val="bottom"/>
            <w:tcBorders>
              <w:right w:val="single" w:sz="8" w:color="auto"/>
            </w:tcBorders>
          </w:tcPr>
          <w:p>
            <w:pPr>
              <w:ind w:left="60"/>
              <w:spacing w:after="0" w:line="130" w:lineRule="exact"/>
              <w:rPr>
                <w:sz w:val="20"/>
                <w:szCs w:val="20"/>
                <w:color w:val="auto"/>
              </w:rPr>
            </w:pPr>
            <w:r>
              <w:rPr>
                <w:rFonts w:ascii="Arial" w:cs="Arial" w:eastAsia="Arial" w:hAnsi="Arial"/>
                <w:sz w:val="14"/>
                <w:szCs w:val="14"/>
                <w:color w:val="auto"/>
              </w:rPr>
              <w:t>2401 4th Ave,</w:t>
            </w:r>
          </w:p>
        </w:tc>
        <w:tc>
          <w:tcPr>
            <w:tcW w:w="0" w:type="dxa"/>
            <w:vAlign w:val="bottom"/>
          </w:tcPr>
          <w:p>
            <w:pPr>
              <w:spacing w:after="0"/>
              <w:rPr>
                <w:sz w:val="1"/>
                <w:szCs w:val="1"/>
                <w:color w:val="auto"/>
              </w:rPr>
            </w:pPr>
          </w:p>
        </w:tc>
      </w:tr>
      <w:tr>
        <w:trPr>
          <w:trHeight w:val="172"/>
        </w:trPr>
        <w:tc>
          <w:tcPr>
            <w:tcW w:w="198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Liability</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CA CO</w:t>
            </w:r>
          </w:p>
        </w:tc>
        <w:tc>
          <w:tcPr>
            <w:tcW w:w="8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MN MO</w:t>
            </w:r>
          </w:p>
        </w:tc>
        <w:tc>
          <w:tcPr>
            <w:tcW w:w="320" w:type="dxa"/>
            <w:vAlign w:val="bottom"/>
          </w:tcPr>
          <w:p>
            <w:pPr>
              <w:ind w:left="60"/>
              <w:spacing w:after="0"/>
              <w:rPr>
                <w:sz w:val="20"/>
                <w:szCs w:val="20"/>
                <w:color w:val="auto"/>
              </w:rPr>
            </w:pPr>
            <w:r>
              <w:rPr>
                <w:rFonts w:ascii="Arial" w:cs="Arial" w:eastAsia="Arial" w:hAnsi="Arial"/>
                <w:sz w:val="14"/>
                <w:szCs w:val="14"/>
                <w:color w:val="auto"/>
              </w:rPr>
              <w:t>SC</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TN</w:t>
            </w: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1429784</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Suite 1050,</w:t>
            </w:r>
          </w:p>
        </w:tc>
        <w:tc>
          <w:tcPr>
            <w:tcW w:w="0" w:type="dxa"/>
            <w:vAlign w:val="bottom"/>
          </w:tcPr>
          <w:p>
            <w:pPr>
              <w:spacing w:after="0"/>
              <w:rPr>
                <w:sz w:val="1"/>
                <w:szCs w:val="1"/>
                <w:color w:val="auto"/>
              </w:rPr>
            </w:pPr>
          </w:p>
        </w:tc>
      </w:tr>
      <w:tr>
        <w:trPr>
          <w:trHeight w:val="162"/>
        </w:trPr>
        <w:tc>
          <w:tcPr>
            <w:tcW w:w="198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Company</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9"/>
              </w:rPr>
              <w:t>FL GA IL</w:t>
            </w:r>
          </w:p>
        </w:tc>
        <w:tc>
          <w:tcPr>
            <w:tcW w:w="8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NV NJ NM</w:t>
            </w:r>
          </w:p>
        </w:tc>
        <w:tc>
          <w:tcPr>
            <w:tcW w:w="320" w:type="dxa"/>
            <w:vAlign w:val="bottom"/>
          </w:tcPr>
          <w:p>
            <w:pPr>
              <w:ind w:left="60"/>
              <w:spacing w:after="0"/>
              <w:rPr>
                <w:sz w:val="20"/>
                <w:szCs w:val="20"/>
                <w:color w:val="auto"/>
              </w:rPr>
            </w:pPr>
            <w:r>
              <w:rPr>
                <w:rFonts w:ascii="Arial" w:cs="Arial" w:eastAsia="Arial" w:hAnsi="Arial"/>
                <w:sz w:val="14"/>
                <w:szCs w:val="14"/>
                <w:color w:val="auto"/>
              </w:rPr>
              <w:t>TX</w:t>
            </w: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UT</w:t>
            </w:r>
          </w:p>
        </w:tc>
        <w:tc>
          <w:tcPr>
            <w:tcW w:w="62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Seattle, WA</w:t>
            </w: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 KY</w:t>
            </w:r>
          </w:p>
        </w:tc>
        <w:tc>
          <w:tcPr>
            <w:tcW w:w="8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NY NC</w:t>
            </w:r>
          </w:p>
        </w:tc>
        <w:tc>
          <w:tcPr>
            <w:tcW w:w="320" w:type="dxa"/>
            <w:vAlign w:val="bottom"/>
          </w:tcPr>
          <w:p>
            <w:pPr>
              <w:ind w:left="60"/>
              <w:spacing w:after="0"/>
              <w:rPr>
                <w:sz w:val="20"/>
                <w:szCs w:val="20"/>
                <w:color w:val="auto"/>
              </w:rPr>
            </w:pPr>
            <w:r>
              <w:rPr>
                <w:rFonts w:ascii="Arial" w:cs="Arial" w:eastAsia="Arial" w:hAnsi="Arial"/>
                <w:sz w:val="14"/>
                <w:szCs w:val="14"/>
                <w:color w:val="auto"/>
              </w:rPr>
              <w:t>WA</w:t>
            </w:r>
          </w:p>
        </w:tc>
        <w:tc>
          <w:tcPr>
            <w:tcW w:w="2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98121</w:t>
            </w:r>
          </w:p>
        </w:tc>
        <w:tc>
          <w:tcPr>
            <w:tcW w:w="0" w:type="dxa"/>
            <w:vAlign w:val="bottom"/>
          </w:tcPr>
          <w:p>
            <w:pPr>
              <w:spacing w:after="0"/>
              <w:rPr>
                <w:sz w:val="1"/>
                <w:szCs w:val="1"/>
                <w:color w:val="auto"/>
              </w:rPr>
            </w:pPr>
          </w:p>
        </w:tc>
      </w:tr>
      <w:tr>
        <w:trPr>
          <w:trHeight w:val="1113"/>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[Schedule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284" w:right="1440" w:bottom="1440" w:gutter="0" w:footer="0" w:header="0"/>
        </w:sectPr>
      </w:pPr>
    </w:p>
    <w:bookmarkStart w:id="189" w:name="page190"/>
    <w:bookmarkEnd w:id="189"/>
    <w:tbl>
      <w:tblPr>
        <w:tblLayout w:type="fixed"/>
        <w:tblInd w:w="13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Arial" w:cs="Arial" w:eastAsia="Arial" w:hAnsi="Arial"/>
                <w:sz w:val="15"/>
                <w:szCs w:val="15"/>
                <w:b w:val="1"/>
                <w:bCs w:val="1"/>
                <w:color w:val="auto"/>
              </w:rPr>
              <w:t>Schedule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Arial" w:cs="Arial" w:eastAsia="Arial" w:hAnsi="Arial"/>
                <w:sz w:val="15"/>
                <w:szCs w:val="15"/>
                <w:b w:val="1"/>
                <w:bCs w:val="1"/>
                <w:color w:val="auto"/>
              </w:rPr>
              <w:t>3.4</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40" w:type="dxa"/>
            <w:vAlign w:val="bottom"/>
          </w:tcPr>
          <w:p>
            <w:pPr>
              <w:ind w:left="340"/>
              <w:spacing w:after="0"/>
              <w:rPr>
                <w:sz w:val="20"/>
                <w:szCs w:val="20"/>
                <w:color w:val="auto"/>
              </w:rPr>
            </w:pPr>
            <w:r>
              <w:rPr>
                <w:rFonts w:ascii="Arial" w:cs="Arial" w:eastAsia="Arial" w:hAnsi="Arial"/>
                <w:sz w:val="15"/>
                <w:szCs w:val="15"/>
                <w:b w:val="1"/>
                <w:bCs w:val="1"/>
                <w:color w:val="auto"/>
              </w:rPr>
              <w:t>Capitalization</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2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shd w:val="clear" w:color="auto" w:fill="B8CCE4"/>
          </w:tcPr>
          <w:p>
            <w:pPr>
              <w:ind w:left="1160"/>
              <w:spacing w:after="0" w:line="135" w:lineRule="exact"/>
              <w:rPr>
                <w:sz w:val="20"/>
                <w:szCs w:val="20"/>
                <w:color w:val="auto"/>
              </w:rPr>
            </w:pPr>
            <w:r>
              <w:rPr>
                <w:rFonts w:ascii="Arial" w:cs="Arial" w:eastAsia="Arial" w:hAnsi="Arial"/>
                <w:sz w:val="14"/>
                <w:szCs w:val="14"/>
                <w:b w:val="1"/>
                <w:bCs w:val="1"/>
                <w:color w:val="auto"/>
              </w:rPr>
              <w:t>Credit Party</w:t>
            </w:r>
          </w:p>
        </w:tc>
        <w:tc>
          <w:tcPr>
            <w:tcW w:w="1440" w:type="dxa"/>
            <w:vAlign w:val="bottom"/>
            <w:tcBorders>
              <w:right w:val="single" w:sz="8" w:color="auto"/>
            </w:tcBorders>
            <w:shd w:val="clear" w:color="auto" w:fill="B8CCE4"/>
          </w:tcPr>
          <w:p>
            <w:pPr>
              <w:ind w:left="220"/>
              <w:spacing w:after="0" w:line="135" w:lineRule="exact"/>
              <w:rPr>
                <w:sz w:val="20"/>
                <w:szCs w:val="20"/>
                <w:color w:val="auto"/>
              </w:rPr>
            </w:pPr>
            <w:r>
              <w:rPr>
                <w:rFonts w:ascii="Arial" w:cs="Arial" w:eastAsia="Arial" w:hAnsi="Arial"/>
                <w:sz w:val="14"/>
                <w:szCs w:val="14"/>
                <w:b w:val="1"/>
                <w:bCs w:val="1"/>
                <w:color w:val="auto"/>
                <w:w w:val="98"/>
              </w:rPr>
              <w:t>Authorized Equity</w:t>
            </w:r>
          </w:p>
        </w:tc>
        <w:tc>
          <w:tcPr>
            <w:tcW w:w="1760" w:type="dxa"/>
            <w:vAlign w:val="bottom"/>
            <w:tcBorders>
              <w:right w:val="single" w:sz="8" w:color="auto"/>
            </w:tcBorders>
            <w:shd w:val="clear" w:color="auto" w:fill="B8CCE4"/>
          </w:tcPr>
          <w:p>
            <w:pPr>
              <w:ind w:left="200"/>
              <w:spacing w:after="0" w:line="135" w:lineRule="exact"/>
              <w:rPr>
                <w:sz w:val="20"/>
                <w:szCs w:val="20"/>
                <w:color w:val="auto"/>
              </w:rPr>
            </w:pPr>
            <w:r>
              <w:rPr>
                <w:rFonts w:ascii="Arial" w:cs="Arial" w:eastAsia="Arial" w:hAnsi="Arial"/>
                <w:sz w:val="14"/>
                <w:szCs w:val="14"/>
                <w:b w:val="1"/>
                <w:bCs w:val="1"/>
                <w:color w:val="auto"/>
                <w:w w:val="97"/>
              </w:rPr>
              <w:t>Holder(s) of Issued and</w:t>
            </w:r>
          </w:p>
        </w:tc>
        <w:tc>
          <w:tcPr>
            <w:tcW w:w="1540" w:type="dxa"/>
            <w:vAlign w:val="bottom"/>
            <w:tcBorders>
              <w:right w:val="single" w:sz="8" w:color="auto"/>
            </w:tcBorders>
            <w:shd w:val="clear" w:color="auto" w:fill="B8CCE4"/>
          </w:tcPr>
          <w:p>
            <w:pPr>
              <w:ind w:left="400"/>
              <w:spacing w:after="0" w:line="135" w:lineRule="exact"/>
              <w:rPr>
                <w:sz w:val="20"/>
                <w:szCs w:val="20"/>
                <w:color w:val="auto"/>
              </w:rPr>
            </w:pPr>
            <w:r>
              <w:rPr>
                <w:rFonts w:ascii="Arial" w:cs="Arial" w:eastAsia="Arial" w:hAnsi="Arial"/>
                <w:sz w:val="14"/>
                <w:szCs w:val="14"/>
                <w:b w:val="1"/>
                <w:bCs w:val="1"/>
                <w:color w:val="auto"/>
              </w:rPr>
              <w:t>Equity Held</w:t>
            </w:r>
          </w:p>
        </w:tc>
        <w:tc>
          <w:tcPr>
            <w:tcW w:w="1180" w:type="dxa"/>
            <w:vAlign w:val="bottom"/>
            <w:tcBorders>
              <w:right w:val="single" w:sz="8" w:color="auto"/>
            </w:tcBorders>
            <w:shd w:val="clear" w:color="auto" w:fill="B8CCE4"/>
          </w:tcPr>
          <w:p>
            <w:pPr>
              <w:jc w:val="right"/>
              <w:ind w:right="130"/>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shd w:val="clear" w:color="auto" w:fill="B8CCE4"/>
          </w:tcPr>
          <w:p>
            <w:pPr>
              <w:spacing w:after="0"/>
              <w:rPr>
                <w:sz w:val="14"/>
                <w:szCs w:val="14"/>
                <w:color w:val="auto"/>
              </w:rPr>
            </w:pPr>
          </w:p>
        </w:tc>
        <w:tc>
          <w:tcPr>
            <w:tcW w:w="1440" w:type="dxa"/>
            <w:vAlign w:val="bottom"/>
            <w:tcBorders>
              <w:right w:val="single" w:sz="8" w:color="auto"/>
            </w:tcBorders>
            <w:shd w:val="clear" w:color="auto" w:fill="B8CCE4"/>
          </w:tcPr>
          <w:p>
            <w:pPr>
              <w:spacing w:after="0"/>
              <w:rPr>
                <w:sz w:val="14"/>
                <w:szCs w:val="14"/>
                <w:color w:val="auto"/>
              </w:rPr>
            </w:pPr>
          </w:p>
        </w:tc>
        <w:tc>
          <w:tcPr>
            <w:tcW w:w="1760" w:type="dxa"/>
            <w:vAlign w:val="bottom"/>
            <w:tcBorders>
              <w:right w:val="single" w:sz="8" w:color="auto"/>
            </w:tcBorders>
            <w:shd w:val="clear" w:color="auto" w:fill="B8CCE4"/>
          </w:tcPr>
          <w:p>
            <w:pPr>
              <w:ind w:left="320"/>
              <w:spacing w:after="0"/>
              <w:rPr>
                <w:sz w:val="20"/>
                <w:szCs w:val="20"/>
                <w:color w:val="auto"/>
              </w:rPr>
            </w:pPr>
            <w:r>
              <w:rPr>
                <w:rFonts w:ascii="Arial" w:cs="Arial" w:eastAsia="Arial" w:hAnsi="Arial"/>
                <w:sz w:val="14"/>
                <w:szCs w:val="14"/>
                <w:b w:val="1"/>
                <w:bCs w:val="1"/>
                <w:color w:val="auto"/>
              </w:rPr>
              <w:t>Outstanding Equity</w:t>
            </w:r>
          </w:p>
        </w:tc>
        <w:tc>
          <w:tcPr>
            <w:tcW w:w="1540" w:type="dxa"/>
            <w:vAlign w:val="bottom"/>
            <w:tcBorders>
              <w:right w:val="single" w:sz="8" w:color="auto"/>
            </w:tcBorders>
            <w:shd w:val="clear" w:color="auto" w:fill="B8CCE4"/>
          </w:tcPr>
          <w:p>
            <w:pPr>
              <w:spacing w:after="0"/>
              <w:rPr>
                <w:sz w:val="14"/>
                <w:szCs w:val="14"/>
                <w:color w:val="auto"/>
              </w:rPr>
            </w:pPr>
          </w:p>
        </w:tc>
        <w:tc>
          <w:tcPr>
            <w:tcW w:w="1180" w:type="dxa"/>
            <w:vAlign w:val="bottom"/>
            <w:tcBorders>
              <w:right w:val="single" w:sz="8" w:color="auto"/>
            </w:tcBorders>
            <w:shd w:val="clear" w:color="auto" w:fill="B8CCE4"/>
          </w:tcPr>
          <w:p>
            <w:pPr>
              <w:ind w:left="40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83"/>
        </w:trPr>
        <w:tc>
          <w:tcPr>
            <w:tcW w:w="2540" w:type="dxa"/>
            <w:vAlign w:val="bottom"/>
            <w:tcBorders>
              <w:left w:val="single" w:sz="8" w:color="auto"/>
              <w:right w:val="single" w:sz="8" w:color="auto"/>
            </w:tcBorders>
            <w:shd w:val="clear" w:color="auto" w:fill="B8CCE4"/>
          </w:tcPr>
          <w:p>
            <w:pPr>
              <w:spacing w:after="0"/>
              <w:rPr>
                <w:sz w:val="15"/>
                <w:szCs w:val="15"/>
                <w:color w:val="auto"/>
              </w:rPr>
            </w:pPr>
          </w:p>
        </w:tc>
        <w:tc>
          <w:tcPr>
            <w:tcW w:w="1440" w:type="dxa"/>
            <w:vAlign w:val="bottom"/>
            <w:tcBorders>
              <w:right w:val="single" w:sz="8" w:color="auto"/>
            </w:tcBorders>
            <w:shd w:val="clear" w:color="auto" w:fill="B8CCE4"/>
          </w:tcPr>
          <w:p>
            <w:pPr>
              <w:spacing w:after="0"/>
              <w:rPr>
                <w:sz w:val="15"/>
                <w:szCs w:val="15"/>
                <w:color w:val="auto"/>
              </w:rPr>
            </w:pPr>
          </w:p>
        </w:tc>
        <w:tc>
          <w:tcPr>
            <w:tcW w:w="1760" w:type="dxa"/>
            <w:vAlign w:val="bottom"/>
            <w:tcBorders>
              <w:right w:val="single" w:sz="8" w:color="auto"/>
            </w:tcBorders>
            <w:shd w:val="clear" w:color="auto" w:fill="B8CCE4"/>
          </w:tcPr>
          <w:p>
            <w:pPr>
              <w:spacing w:after="0"/>
              <w:rPr>
                <w:sz w:val="15"/>
                <w:szCs w:val="15"/>
                <w:color w:val="auto"/>
              </w:rPr>
            </w:pPr>
          </w:p>
        </w:tc>
        <w:tc>
          <w:tcPr>
            <w:tcW w:w="1540" w:type="dxa"/>
            <w:vAlign w:val="bottom"/>
            <w:tcBorders>
              <w:right w:val="single" w:sz="8" w:color="auto"/>
            </w:tcBorders>
            <w:shd w:val="clear" w:color="auto" w:fill="B8CCE4"/>
          </w:tcPr>
          <w:p>
            <w:pPr>
              <w:spacing w:after="0"/>
              <w:rPr>
                <w:sz w:val="15"/>
                <w:szCs w:val="15"/>
                <w:color w:val="auto"/>
              </w:rPr>
            </w:pPr>
          </w:p>
        </w:tc>
        <w:tc>
          <w:tcPr>
            <w:tcW w:w="1180" w:type="dxa"/>
            <w:vAlign w:val="bottom"/>
            <w:tcBorders>
              <w:right w:val="single" w:sz="8" w:color="auto"/>
            </w:tcBorders>
            <w:shd w:val="clear" w:color="auto" w:fill="B8CCE4"/>
          </w:tcPr>
          <w:p>
            <w:pPr>
              <w:ind w:left="40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78"/>
        </w:trPr>
        <w:tc>
          <w:tcPr>
            <w:tcW w:w="2540" w:type="dxa"/>
            <w:vAlign w:val="bottom"/>
            <w:tcBorders>
              <w:left w:val="single" w:sz="8" w:color="auto"/>
              <w:bottom w:val="single" w:sz="8" w:color="auto"/>
              <w:right w:val="single" w:sz="8" w:color="auto"/>
            </w:tcBorders>
            <w:shd w:val="clear" w:color="auto" w:fill="B8CCE4"/>
          </w:tcPr>
          <w:p>
            <w:pPr>
              <w:spacing w:after="0"/>
              <w:rPr>
                <w:sz w:val="15"/>
                <w:szCs w:val="15"/>
                <w:color w:val="auto"/>
              </w:rPr>
            </w:pPr>
          </w:p>
        </w:tc>
        <w:tc>
          <w:tcPr>
            <w:tcW w:w="1440" w:type="dxa"/>
            <w:vAlign w:val="bottom"/>
            <w:tcBorders>
              <w:bottom w:val="single" w:sz="8" w:color="auto"/>
              <w:right w:val="single" w:sz="8" w:color="auto"/>
            </w:tcBorders>
            <w:shd w:val="clear" w:color="auto" w:fill="B8CCE4"/>
          </w:tcPr>
          <w:p>
            <w:pPr>
              <w:spacing w:after="0"/>
              <w:rPr>
                <w:sz w:val="15"/>
                <w:szCs w:val="15"/>
                <w:color w:val="auto"/>
              </w:rPr>
            </w:pPr>
          </w:p>
        </w:tc>
        <w:tc>
          <w:tcPr>
            <w:tcW w:w="1760" w:type="dxa"/>
            <w:vAlign w:val="bottom"/>
            <w:tcBorders>
              <w:bottom w:val="single" w:sz="8" w:color="auto"/>
              <w:right w:val="single" w:sz="8" w:color="auto"/>
            </w:tcBorders>
            <w:shd w:val="clear" w:color="auto" w:fill="B8CCE4"/>
          </w:tcPr>
          <w:p>
            <w:pPr>
              <w:spacing w:after="0"/>
              <w:rPr>
                <w:sz w:val="15"/>
                <w:szCs w:val="15"/>
                <w:color w:val="auto"/>
              </w:rPr>
            </w:pPr>
          </w:p>
        </w:tc>
        <w:tc>
          <w:tcPr>
            <w:tcW w:w="1540" w:type="dxa"/>
            <w:vAlign w:val="bottom"/>
            <w:tcBorders>
              <w:bottom w:val="single" w:sz="8" w:color="auto"/>
              <w:right w:val="single" w:sz="8" w:color="auto"/>
            </w:tcBorders>
            <w:shd w:val="clear" w:color="auto" w:fill="B8CCE4"/>
          </w:tcPr>
          <w:p>
            <w:pPr>
              <w:spacing w:after="0"/>
              <w:rPr>
                <w:sz w:val="15"/>
                <w:szCs w:val="15"/>
                <w:color w:val="auto"/>
              </w:rPr>
            </w:pPr>
          </w:p>
        </w:tc>
        <w:tc>
          <w:tcPr>
            <w:tcW w:w="1180" w:type="dxa"/>
            <w:vAlign w:val="bottom"/>
            <w:tcBorders>
              <w:bottom w:val="single" w:sz="8" w:color="auto"/>
              <w:right w:val="single" w:sz="8" w:color="auto"/>
            </w:tcBorders>
            <w:shd w:val="clear" w:color="auto" w:fill="B8CCE4"/>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540" w:type="dxa"/>
            <w:vAlign w:val="bottom"/>
            <w:tcBorders>
              <w:left w:val="single" w:sz="8" w:color="auto"/>
              <w:right w:val="single" w:sz="8" w:color="auto"/>
            </w:tcBorders>
          </w:tcPr>
          <w:p>
            <w:pPr>
              <w:spacing w:after="0"/>
              <w:rPr>
                <w:sz w:val="12"/>
                <w:szCs w:val="12"/>
                <w:color w:val="auto"/>
              </w:rPr>
            </w:pPr>
          </w:p>
        </w:tc>
        <w:tc>
          <w:tcPr>
            <w:tcW w:w="144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w w:val="96"/>
              </w:rPr>
              <w:t>500,000,000 shares of</w:t>
            </w:r>
          </w:p>
        </w:tc>
        <w:tc>
          <w:tcPr>
            <w:tcW w:w="176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Aptevo Therapeutics Inc.</w:t>
            </w: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Common Stock</w:t>
            </w:r>
          </w:p>
        </w:tc>
        <w:tc>
          <w:tcPr>
            <w:tcW w:w="176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Public Shareholders</w:t>
            </w: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All outstanding stock</w:t>
            </w:r>
          </w:p>
        </w:tc>
        <w:tc>
          <w:tcPr>
            <w:tcW w:w="118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540" w:type="dxa"/>
            <w:vAlign w:val="bottom"/>
            <w:tcBorders>
              <w:left w:val="single" w:sz="8" w:color="auto"/>
              <w:right w:val="single" w:sz="8" w:color="auto"/>
            </w:tcBorders>
            <w:vMerge w:val="continue"/>
          </w:tcPr>
          <w:p>
            <w:pPr>
              <w:spacing w:after="0"/>
              <w:rPr>
                <w:sz w:val="14"/>
                <w:szCs w:val="14"/>
                <w:color w:val="auto"/>
              </w:rPr>
            </w:pPr>
          </w:p>
        </w:tc>
        <w:tc>
          <w:tcPr>
            <w:tcW w:w="1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15,000,000 shares of</w:t>
            </w:r>
          </w:p>
        </w:tc>
        <w:tc>
          <w:tcPr>
            <w:tcW w:w="1760" w:type="dxa"/>
            <w:vAlign w:val="bottom"/>
            <w:tcBorders>
              <w:right w:val="single" w:sz="8" w:color="auto"/>
            </w:tcBorders>
            <w:vMerge w:val="continue"/>
          </w:tcPr>
          <w:p>
            <w:pPr>
              <w:spacing w:after="0"/>
              <w:rPr>
                <w:sz w:val="14"/>
                <w:szCs w:val="14"/>
                <w:color w:val="auto"/>
              </w:rPr>
            </w:pPr>
          </w:p>
        </w:tc>
        <w:tc>
          <w:tcPr>
            <w:tcW w:w="154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540" w:type="dxa"/>
            <w:vAlign w:val="bottom"/>
            <w:tcBorders>
              <w:left w:val="single" w:sz="8" w:color="auto"/>
              <w:right w:val="single" w:sz="8" w:color="auto"/>
            </w:tcBorders>
          </w:tcPr>
          <w:p>
            <w:pPr>
              <w:spacing w:after="0"/>
              <w:rPr>
                <w:sz w:val="8"/>
                <w:szCs w:val="8"/>
                <w:color w:val="auto"/>
              </w:rPr>
            </w:pPr>
          </w:p>
        </w:tc>
        <w:tc>
          <w:tcPr>
            <w:tcW w:w="144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1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40" w:type="dxa"/>
            <w:vAlign w:val="bottom"/>
            <w:tcBorders>
              <w:left w:val="single" w:sz="8" w:color="auto"/>
              <w:right w:val="single" w:sz="8" w:color="auto"/>
            </w:tcBorders>
          </w:tcPr>
          <w:p>
            <w:pPr>
              <w:spacing w:after="0"/>
              <w:rPr>
                <w:sz w:val="15"/>
                <w:szCs w:val="15"/>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Preferred Stock</w:t>
            </w:r>
          </w:p>
        </w:tc>
        <w:tc>
          <w:tcPr>
            <w:tcW w:w="176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w w:val="96"/>
              </w:rPr>
              <w:t>Aptevo Research and Development LLC</w:t>
            </w:r>
          </w:p>
        </w:tc>
        <w:tc>
          <w:tcPr>
            <w:tcW w:w="1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Membership interests</w:t>
            </w:r>
          </w:p>
        </w:tc>
        <w:tc>
          <w:tcPr>
            <w:tcW w:w="176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Aptevo Therapeutics Inc.</w:t>
            </w:r>
          </w:p>
        </w:tc>
        <w:tc>
          <w:tcPr>
            <w:tcW w:w="154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All membership</w:t>
            </w:r>
          </w:p>
        </w:tc>
        <w:tc>
          <w:tcPr>
            <w:tcW w:w="118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12"/>
        </w:trPr>
        <w:tc>
          <w:tcPr>
            <w:tcW w:w="2540" w:type="dxa"/>
            <w:vAlign w:val="bottom"/>
            <w:tcBorders>
              <w:left w:val="single" w:sz="8" w:color="auto"/>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interests</w:t>
            </w:r>
          </w:p>
        </w:tc>
        <w:tc>
          <w:tcPr>
            <w:tcW w:w="1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540" w:type="dxa"/>
            <w:vAlign w:val="bottom"/>
            <w:tcBorders>
              <w:left w:val="single" w:sz="8" w:color="auto"/>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Aptevo BioTherapeutics LLC</w:t>
            </w:r>
          </w:p>
        </w:tc>
        <w:tc>
          <w:tcPr>
            <w:tcW w:w="1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Membership interests</w:t>
            </w:r>
          </w:p>
        </w:tc>
        <w:tc>
          <w:tcPr>
            <w:tcW w:w="176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Aptevo Therapeutics Inc.</w:t>
            </w:r>
          </w:p>
        </w:tc>
        <w:tc>
          <w:tcPr>
            <w:tcW w:w="154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All membership</w:t>
            </w:r>
          </w:p>
        </w:tc>
        <w:tc>
          <w:tcPr>
            <w:tcW w:w="118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12"/>
        </w:trPr>
        <w:tc>
          <w:tcPr>
            <w:tcW w:w="2540" w:type="dxa"/>
            <w:vAlign w:val="bottom"/>
            <w:tcBorders>
              <w:left w:val="single" w:sz="8" w:color="auto"/>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interests</w:t>
            </w:r>
          </w:p>
        </w:tc>
        <w:tc>
          <w:tcPr>
            <w:tcW w:w="1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540" w:type="dxa"/>
            <w:vAlign w:val="bottom"/>
            <w:tcBorders>
              <w:left w:val="single" w:sz="8" w:color="auto"/>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vMerge w:val="continue"/>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bottom w:val="single" w:sz="8" w:color="auto"/>
              <w:right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76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4"/>
                <w:szCs w:val="14"/>
                <w:color w:val="auto"/>
              </w:rPr>
              <w:t>Aptevo Europe Limited</w:t>
            </w:r>
          </w:p>
        </w:tc>
        <w:tc>
          <w:tcPr>
            <w:tcW w:w="14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5"/>
              </w:rPr>
              <w:t>5,000 Ordinary Shares</w:t>
            </w:r>
          </w:p>
        </w:tc>
        <w:tc>
          <w:tcPr>
            <w:tcW w:w="17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Aptevo Therapeutics Inc.</w:t>
            </w:r>
          </w:p>
        </w:tc>
        <w:tc>
          <w:tcPr>
            <w:tcW w:w="1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1 ordinary share</w:t>
            </w:r>
          </w:p>
        </w:tc>
        <w:tc>
          <w:tcPr>
            <w:tcW w:w="1180" w:type="dxa"/>
            <w:vAlign w:val="bottom"/>
            <w:tcBorders>
              <w:right w:val="single" w:sz="8" w:color="auto"/>
            </w:tcBorders>
            <w:vMerge w:val="restart"/>
          </w:tcPr>
          <w:p>
            <w:pPr>
              <w:jc w:val="right"/>
              <w:ind w:right="73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83"/>
        </w:trPr>
        <w:tc>
          <w:tcPr>
            <w:tcW w:w="2540" w:type="dxa"/>
            <w:vAlign w:val="bottom"/>
            <w:tcBorders>
              <w:left w:val="single" w:sz="8" w:color="auto"/>
              <w:right w:val="single" w:sz="8" w:color="auto"/>
            </w:tcBorders>
            <w:vMerge w:val="continue"/>
          </w:tcPr>
          <w:p>
            <w:pPr>
              <w:spacing w:after="0"/>
              <w:rPr>
                <w:sz w:val="7"/>
                <w:szCs w:val="7"/>
                <w:color w:val="auto"/>
              </w:rPr>
            </w:pPr>
          </w:p>
        </w:tc>
        <w:tc>
          <w:tcPr>
            <w:tcW w:w="1440" w:type="dxa"/>
            <w:vAlign w:val="bottom"/>
            <w:tcBorders>
              <w:right w:val="single" w:sz="8" w:color="auto"/>
            </w:tcBorders>
            <w:vMerge w:val="continue"/>
          </w:tcPr>
          <w:p>
            <w:pPr>
              <w:spacing w:after="0"/>
              <w:rPr>
                <w:sz w:val="7"/>
                <w:szCs w:val="7"/>
                <w:color w:val="auto"/>
              </w:rPr>
            </w:pPr>
          </w:p>
        </w:tc>
        <w:tc>
          <w:tcPr>
            <w:tcW w:w="176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spacing w:after="0"/>
              <w:rPr>
                <w:sz w:val="19"/>
                <w:szCs w:val="19"/>
                <w:color w:val="auto"/>
              </w:rPr>
            </w:pPr>
          </w:p>
        </w:tc>
        <w:tc>
          <w:tcPr>
            <w:tcW w:w="11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[Schedule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283" w:right="1440" w:bottom="1440" w:gutter="0" w:footer="0" w:header="0"/>
        </w:sectPr>
      </w:pPr>
    </w:p>
    <w:bookmarkStart w:id="190" w:name="page191"/>
    <w:bookmarkEnd w:id="190"/>
    <w:p>
      <w:pPr>
        <w:jc w:val="right"/>
        <w:ind w:right="3619"/>
        <w:spacing w:after="0"/>
        <w:rPr>
          <w:sz w:val="20"/>
          <w:szCs w:val="20"/>
          <w:color w:val="auto"/>
        </w:rPr>
      </w:pPr>
      <w:r>
        <w:rPr>
          <w:rFonts w:ascii="Arial" w:cs="Arial" w:eastAsia="Arial" w:hAnsi="Arial"/>
          <w:sz w:val="15"/>
          <w:szCs w:val="15"/>
          <w:b w:val="1"/>
          <w:bCs w:val="1"/>
          <w:color w:val="auto"/>
        </w:rPr>
        <w:t>Schedule 3.6 – Litigation</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191" w:name="page192"/>
    <w:bookmarkEnd w:id="191"/>
    <w:p>
      <w:pPr>
        <w:jc w:val="right"/>
        <w:ind w:right="4259"/>
        <w:spacing w:after="0"/>
        <w:rPr>
          <w:sz w:val="20"/>
          <w:szCs w:val="20"/>
          <w:color w:val="auto"/>
        </w:rPr>
      </w:pPr>
      <w:r>
        <w:rPr>
          <w:rFonts w:ascii="Arial" w:cs="Arial" w:eastAsia="Arial" w:hAnsi="Arial"/>
          <w:sz w:val="15"/>
          <w:szCs w:val="15"/>
          <w:b w:val="1"/>
          <w:bCs w:val="1"/>
          <w:color w:val="auto"/>
        </w:rPr>
        <w:t>Schedule 3.15 – Brokers, Finders or Other Intermediaries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Piper Jaffray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192" w:name="page193"/>
    <w:bookmarkEnd w:id="192"/>
    <w:p>
      <w:pPr>
        <w:ind w:left="3600"/>
        <w:spacing w:after="0"/>
        <w:rPr>
          <w:sz w:val="20"/>
          <w:szCs w:val="20"/>
          <w:color w:val="auto"/>
        </w:rPr>
      </w:pPr>
      <w:r>
        <w:rPr>
          <w:rFonts w:ascii="Arial" w:cs="Arial" w:eastAsia="Arial" w:hAnsi="Arial"/>
          <w:sz w:val="15"/>
          <w:szCs w:val="15"/>
          <w:b w:val="1"/>
          <w:bCs w:val="1"/>
          <w:color w:val="auto"/>
        </w:rPr>
        <w:t>Schedule 3.17 – Material Contracts</w:t>
      </w:r>
    </w:p>
    <w:p>
      <w:pPr>
        <w:spacing w:after="0" w:line="148" w:lineRule="exact"/>
        <w:rPr>
          <w:sz w:val="20"/>
          <w:szCs w:val="20"/>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Manufacturing Services Agreement, dated May 27, 2015, by and between Aptevo BioTherapeutics LLC and Patheon UK Limited</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Development and Technical Transfer Services Agreement dated December 21, 2009, by and between Patheon UK Limited and Inspiration Biopharmaceuticals, Inc.</w:t>
      </w:r>
    </w:p>
    <w:p>
      <w:pPr>
        <w:spacing w:after="0" w:line="115" w:lineRule="exact"/>
        <w:rPr>
          <w:rFonts w:ascii="Arial" w:cs="Arial" w:eastAsia="Arial" w:hAnsi="Arial"/>
          <w:sz w:val="14"/>
          <w:szCs w:val="14"/>
          <w:color w:val="auto"/>
        </w:rPr>
      </w:pPr>
    </w:p>
    <w:p>
      <w:pPr>
        <w:ind w:left="960" w:right="720" w:hanging="430"/>
        <w:spacing w:after="0" w:line="268" w:lineRule="auto"/>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Addendum to Development and Technical Transfer Services Agreement dated December 21, 2009, dated October 7, 2013, by and between Patheon UK Limited and CNJ Holdings Inc.</w:t>
      </w:r>
    </w:p>
    <w:p>
      <w:pPr>
        <w:spacing w:after="0" w:line="79"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Non-Exclusive License Agreement, dated July 21, 2008, by between Trubion Pharmaceuticals and Hospital Clinic I Provincial de Barcelona</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Exclusive License Agreement, dated December 12, 2011, by and between University of Washington and Emergent Product Development Seattle LLC</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Commercial Platform License Agreement, dated January 8, 2016, by and between Open Monoclonal Technology, Inc. and Emergent Product Development Seattle, LLC</w:t>
      </w:r>
    </w:p>
    <w:p>
      <w:pPr>
        <w:spacing w:after="0" w:line="127" w:lineRule="exact"/>
        <w:rPr>
          <w:rFonts w:ascii="Arial" w:cs="Arial" w:eastAsia="Arial" w:hAnsi="Arial"/>
          <w:sz w:val="13"/>
          <w:szCs w:val="13"/>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License Agreement, dated December 13, 2013, by and between Lonza Sales AG and Emergent Product Development Seattle, LLC</w:t>
      </w:r>
    </w:p>
    <w:p>
      <w:pPr>
        <w:spacing w:after="0" w:line="12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License Agreement, dated April 10, 2018 by and between Lonza Sales AG and Aptevo Research and Development LLC</w:t>
      </w:r>
    </w:p>
    <w:p>
      <w:pPr>
        <w:spacing w:after="0" w:line="12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Amendment No. 1 dated May 10, 2018, to the License Agreement dated April 10, 2018, by and between Lonza Sales AG and Aptevo Research and Development LLC</w:t>
      </w:r>
    </w:p>
    <w:p>
      <w:pPr>
        <w:spacing w:after="0" w:line="136" w:lineRule="exact"/>
        <w:rPr>
          <w:rFonts w:ascii="Arial" w:cs="Arial" w:eastAsia="Arial" w:hAnsi="Arial"/>
          <w:sz w:val="13"/>
          <w:szCs w:val="13"/>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Research Evaluation Agreement, dated December 10, 2003, by and between Lonza Biologics PLC and Trubion Pharmaceuticals, Inc.</w:t>
      </w:r>
    </w:p>
    <w:p>
      <w:pPr>
        <w:spacing w:after="0" w:line="115" w:lineRule="exact"/>
        <w:rPr>
          <w:rFonts w:ascii="Arial" w:cs="Arial" w:eastAsia="Arial" w:hAnsi="Arial"/>
          <w:sz w:val="14"/>
          <w:szCs w:val="14"/>
          <w:color w:val="auto"/>
        </w:rPr>
      </w:pPr>
    </w:p>
    <w:p>
      <w:pPr>
        <w:ind w:left="960" w:right="120" w:hanging="430"/>
        <w:spacing w:after="0" w:line="268" w:lineRule="auto"/>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Amended and Restated License Agreement, dated as of November 28, 2008, by and between Cangene Corporation (as successor-in-interest to Inspiration Biopharmaceuticals, Inc.) and The University of North Carolina at Chapel Hill, as amended on June 14, 2012</w:t>
      </w:r>
    </w:p>
    <w:p>
      <w:pPr>
        <w:spacing w:after="0" w:line="79" w:lineRule="exact"/>
        <w:rPr>
          <w:rFonts w:ascii="Arial" w:cs="Arial" w:eastAsia="Arial" w:hAnsi="Arial"/>
          <w:sz w:val="14"/>
          <w:szCs w:val="14"/>
          <w:color w:val="auto"/>
        </w:rPr>
      </w:pPr>
    </w:p>
    <w:p>
      <w:pPr>
        <w:ind w:left="960" w:hanging="430"/>
        <w:spacing w:after="0" w:line="268" w:lineRule="auto"/>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Consent letter regarding Amended and Restated License Agreement dated as of November 28, 2008, dated July 23, 2012, by and between The University of North Carolina at Chapel Hill and Inspiration Biopharmaceuticals Inc.</w:t>
      </w:r>
    </w:p>
    <w:p>
      <w:pPr>
        <w:spacing w:after="0" w:line="79"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Lease, dated November 19, 2011, by and between Brandywine Operating Partnership, L.P. and Cangene Biopharma, Inc.</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First Amendment, dated April 2, 2017, by and between Brandywine Operating Partnership, L.P. and Aptevo BioTherapeutics LLC</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Second Amendment, dated November 30, 2017 by and between Brandywine Operating Partnership, L.P. and Aptevo BioTherapeutics LLC</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[Schedule 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140"/>
          </w:cols>
          <w:pgMar w:left="240" w:top="159" w:right="519" w:bottom="1440" w:gutter="0" w:footer="0" w:header="0"/>
        </w:sectPr>
      </w:pPr>
    </w:p>
    <w:bookmarkStart w:id="193" w:name="page194"/>
    <w:bookmarkEnd w:id="193"/>
    <w:p>
      <w:pPr>
        <w:ind w:left="960" w:hanging="430"/>
        <w:spacing w:after="0" w:line="268" w:lineRule="auto"/>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Fourth and Battery Office Lease, dated as of April 28, 2003, by and between Emergent Product Development Seattle, LLC (as successor-in-interest to Trubion Pharmaceuticals, Inc. and Genecraft, Inc.) and Selig Real Estate Holdings Eight L.L.C. (the “Seattle Office Lease”)</w:t>
      </w:r>
    </w:p>
    <w:p>
      <w:pPr>
        <w:spacing w:after="0" w:line="89"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First Amendment to Seattle Office Lease, dated December 8, 2004</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Second Amendment to Seattle Office Lease, dated February 1, 2006</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Third Amendment to Seattle Office Lease, dated February 2, 2007</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Fourth Amendment to Seattle Office Lease, dated June 7, 2010</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Fifth Amendment to Seattle Office Lease, dated December 21, 2010</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Sixth Amendment to Seattle Office Lease, dated July 17, 2012</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Seventh Amendment to Seattle Office Lease, dated December 5, 2014</w:t>
      </w:r>
    </w:p>
    <w:p>
      <w:pPr>
        <w:spacing w:after="0" w:line="154"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Amended and Restated Commercial Supply Agreement, dated June 16, 2017, between CMC ICOS Biologics, Inc. (AGC Biologics) and Aptevo BioTherapeutics LLC.</w:t>
      </w:r>
    </w:p>
    <w:p>
      <w:pPr>
        <w:spacing w:after="0" w:line="136" w:lineRule="exact"/>
        <w:rPr>
          <w:rFonts w:ascii="Arial" w:cs="Arial" w:eastAsia="Arial" w:hAnsi="Arial"/>
          <w:sz w:val="13"/>
          <w:szCs w:val="13"/>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Medicare Coverage Gap Discount Program Agreement, Contract No. P1325, effective May 2, 2016</w:t>
      </w:r>
    </w:p>
    <w:p>
      <w:pPr>
        <w:spacing w:after="0" w:line="125"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Medicare Coverage Gap Discount Program Data Agreement, Contract No. P1325, with an initial effective date of January 1, 2013.</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3"/>
          <w:szCs w:val="13"/>
          <w:color w:val="auto"/>
        </w:rPr>
      </w:pPr>
      <w:r>
        <w:rPr>
          <w:rFonts w:ascii="Arial" w:cs="Arial" w:eastAsia="Arial" w:hAnsi="Arial"/>
          <w:sz w:val="13"/>
          <w:szCs w:val="13"/>
          <w:color w:val="auto"/>
        </w:rPr>
        <w:t>Life Technologies DG44 Commercial Production License Agreement, dated July 28, 2016, by and between Life Techonologies Corporation and Emergent BioSolutions Inc.</w:t>
      </w:r>
    </w:p>
    <w:p>
      <w:pPr>
        <w:spacing w:after="0" w:line="127" w:lineRule="exact"/>
        <w:rPr>
          <w:rFonts w:ascii="Arial" w:cs="Arial" w:eastAsia="Arial" w:hAnsi="Arial"/>
          <w:sz w:val="13"/>
          <w:szCs w:val="13"/>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Collaboration and Option Agreement, dated as of July 20, 2017, by and between Aptevo Research and Development LLC, and Alligator Bioscience AB.</w:t>
      </w:r>
    </w:p>
    <w:p>
      <w:pPr>
        <w:spacing w:after="0" w:line="115"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Antibody Library Subscription Agreement, dated March 14, 2016, by and between Distributed Bio Inc. and Emergent Product Development Seattle LLC.</w:t>
      </w:r>
    </w:p>
    <w:p>
      <w:pPr>
        <w:spacing w:after="0" w:line="173" w:lineRule="exact"/>
        <w:rPr>
          <w:rFonts w:ascii="Arial" w:cs="Arial" w:eastAsia="Arial" w:hAnsi="Arial"/>
          <w:sz w:val="14"/>
          <w:szCs w:val="14"/>
          <w:color w:val="auto"/>
        </w:rPr>
      </w:pPr>
    </w:p>
    <w:p>
      <w:pPr>
        <w:ind w:left="960" w:hanging="430"/>
        <w:spacing w:after="0"/>
        <w:tabs>
          <w:tab w:leader="none" w:pos="9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Amendment No. 1 to the Antibody Library Subscription Agreement, dated May 25, 2018.</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[Schedule 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060"/>
          </w:cols>
          <w:pgMar w:left="240" w:top="385" w:right="599" w:bottom="1440" w:gutter="0" w:footer="0" w:header="0"/>
        </w:sectPr>
      </w:pPr>
    </w:p>
    <w:bookmarkStart w:id="194" w:name="page195"/>
    <w:bookmarkEnd w:id="194"/>
    <w:p>
      <w:pPr>
        <w:jc w:val="right"/>
        <w:ind w:right="4299"/>
        <w:spacing w:after="0"/>
        <w:rPr>
          <w:sz w:val="20"/>
          <w:szCs w:val="20"/>
          <w:color w:val="auto"/>
        </w:rPr>
      </w:pPr>
      <w:r>
        <w:rPr>
          <w:rFonts w:ascii="Arial" w:cs="Arial" w:eastAsia="Arial" w:hAnsi="Arial"/>
          <w:sz w:val="15"/>
          <w:szCs w:val="15"/>
          <w:b w:val="1"/>
          <w:bCs w:val="1"/>
          <w:color w:val="auto"/>
        </w:rPr>
        <w:t>Schedule 3.18 – Environmental Compliance</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195" w:name="page196"/>
    <w:bookmarkEnd w:id="195"/>
    <w:p>
      <w:pPr>
        <w:ind w:left="5120"/>
        <w:spacing w:after="0"/>
        <w:rPr>
          <w:sz w:val="20"/>
          <w:szCs w:val="20"/>
          <w:color w:val="auto"/>
        </w:rPr>
      </w:pPr>
      <w:r>
        <w:rPr>
          <w:rFonts w:ascii="Arial" w:cs="Arial" w:eastAsia="Arial" w:hAnsi="Arial"/>
          <w:sz w:val="15"/>
          <w:szCs w:val="15"/>
          <w:b w:val="1"/>
          <w:bCs w:val="1"/>
          <w:color w:val="auto"/>
        </w:rPr>
        <w:t>Schedule 3.19 – Registered Intellectual Property</w:t>
      </w:r>
    </w:p>
    <w:p>
      <w:pPr>
        <w:spacing w:after="0" w:line="147" w:lineRule="exact"/>
        <w:rPr>
          <w:sz w:val="20"/>
          <w:szCs w:val="20"/>
          <w:color w:val="auto"/>
        </w:rPr>
      </w:pPr>
    </w:p>
    <w:p>
      <w:pPr>
        <w:ind w:left="1100" w:hanging="427"/>
        <w:spacing w:after="0"/>
        <w:tabs>
          <w:tab w:leader="none" w:pos="1100" w:val="left"/>
        </w:tabs>
        <w:numPr>
          <w:ilvl w:val="0"/>
          <w:numId w:val="81"/>
        </w:numPr>
        <w:rPr>
          <w:rFonts w:ascii="Arial" w:cs="Arial" w:eastAsia="Arial" w:hAnsi="Arial"/>
          <w:sz w:val="15"/>
          <w:szCs w:val="15"/>
          <w:color w:val="auto"/>
        </w:rPr>
      </w:pPr>
      <w:r>
        <w:rPr>
          <w:rFonts w:ascii="Arial" w:cs="Arial" w:eastAsia="Arial" w:hAnsi="Arial"/>
          <w:sz w:val="15"/>
          <w:szCs w:val="15"/>
          <w:u w:val="single" w:color="auto"/>
          <w:color w:val="auto"/>
        </w:rPr>
        <w:t>Patents</w:t>
      </w:r>
    </w:p>
    <w:p>
      <w:pPr>
        <w:spacing w:after="0" w:line="182"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FIX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-92075</wp:posOffset>
            </wp:positionV>
            <wp:extent cx="5425440" cy="30918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25440" cy="309181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3"/>
          <w:szCs w:val="13"/>
          <w:b w:val="1"/>
          <w:bCs w:val="1"/>
          <w:color w:val="auto"/>
        </w:rPr>
        <w:t>rPROTEIN</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3"/>
          <w:szCs w:val="13"/>
          <w:b w:val="1"/>
          <w:bCs w:val="1"/>
          <w:color w:val="auto"/>
        </w:rPr>
        <w:t>Method of producing biologically active vitamin K dependent proteins by recombinant methods</w:t>
      </w:r>
    </w:p>
    <w:p>
      <w:pPr>
        <w:spacing w:after="0" w:line="14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APVO.40900</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1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vMerge w:val="restart"/>
          </w:tcPr>
          <w:p>
            <w:pPr>
              <w:jc w:val="right"/>
              <w:ind w:right="24"/>
              <w:spacing w:after="0"/>
              <w:rPr>
                <w:sz w:val="20"/>
                <w:szCs w:val="20"/>
                <w:color w:val="auto"/>
              </w:rPr>
            </w:pPr>
            <w:r>
              <w:rPr>
                <w:rFonts w:ascii="Arial" w:cs="Arial" w:eastAsia="Arial" w:hAnsi="Arial"/>
                <w:sz w:val="13"/>
                <w:szCs w:val="13"/>
                <w:b w:val="1"/>
                <w:bCs w:val="1"/>
                <w:color w:val="auto"/>
                <w:w w:val="93"/>
              </w:rPr>
              <w:t>Subcase</w:t>
            </w:r>
          </w:p>
        </w:tc>
        <w:tc>
          <w:tcPr>
            <w:tcW w:w="66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w w:val="89"/>
              </w:rPr>
              <w:t>Case Type</w:t>
            </w:r>
          </w:p>
        </w:tc>
        <w:tc>
          <w:tcPr>
            <w:tcW w:w="13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8"/>
              </w:rPr>
              <w:t>Application Status</w:t>
            </w:r>
          </w:p>
        </w:tc>
        <w:tc>
          <w:tcPr>
            <w:tcW w:w="11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3"/>
                <w:szCs w:val="13"/>
                <w:b w:val="1"/>
                <w:bCs w:val="1"/>
                <w:color w:val="auto"/>
              </w:rPr>
              <w:t>Application</w:t>
            </w:r>
          </w:p>
        </w:tc>
        <w:tc>
          <w:tcPr>
            <w:tcW w:w="9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Patent Number</w:t>
            </w:r>
          </w:p>
        </w:tc>
        <w:tc>
          <w:tcPr>
            <w:tcW w:w="980" w:type="dxa"/>
            <w:vAlign w:val="bottom"/>
            <w:tcBorders>
              <w:top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16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Number</w:t>
            </w:r>
          </w:p>
        </w:tc>
        <w:tc>
          <w:tcPr>
            <w:tcW w:w="92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6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673396</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2006331501</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2006331501</w:t>
            </w:r>
          </w:p>
        </w:tc>
        <w:tc>
          <w:tcPr>
            <w:tcW w:w="980" w:type="dxa"/>
            <w:vAlign w:val="bottom"/>
          </w:tcPr>
          <w:p>
            <w:pPr>
              <w:spacing w:after="0"/>
              <w:rPr>
                <w:sz w:val="20"/>
                <w:szCs w:val="20"/>
                <w:color w:val="auto"/>
              </w:rPr>
            </w:pPr>
            <w:r>
              <w:rPr>
                <w:rFonts w:ascii="Arial" w:cs="Arial" w:eastAsia="Arial" w:hAnsi="Arial"/>
                <w:sz w:val="13"/>
                <w:szCs w:val="13"/>
                <w:color w:val="auto"/>
              </w:rPr>
              <w:t>19-Dec-2013</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jc w:val="right"/>
              <w:ind w:right="484"/>
              <w:spacing w:after="0"/>
              <w:rPr>
                <w:sz w:val="20"/>
                <w:szCs w:val="20"/>
                <w:color w:val="auto"/>
              </w:rPr>
            </w:pPr>
            <w:r>
              <w:rPr>
                <w:rFonts w:ascii="Arial" w:cs="Arial" w:eastAsia="Arial" w:hAnsi="Arial"/>
                <w:sz w:val="10"/>
                <w:szCs w:val="10"/>
                <w:color w:val="auto"/>
                <w:w w:val="71"/>
              </w:rPr>
              <w:t>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2013211534</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02-Aug-2013</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2013211534</w:t>
            </w:r>
          </w:p>
        </w:tc>
        <w:tc>
          <w:tcPr>
            <w:tcW w:w="980" w:type="dxa"/>
            <w:vAlign w:val="bottom"/>
          </w:tcPr>
          <w:p>
            <w:pPr>
              <w:ind w:left="20"/>
              <w:spacing w:after="0"/>
              <w:rPr>
                <w:sz w:val="20"/>
                <w:szCs w:val="20"/>
                <w:color w:val="auto"/>
              </w:rPr>
            </w:pPr>
            <w:r>
              <w:rPr>
                <w:rFonts w:ascii="Arial" w:cs="Arial" w:eastAsia="Arial" w:hAnsi="Arial"/>
                <w:sz w:val="13"/>
                <w:szCs w:val="13"/>
                <w:color w:val="auto"/>
              </w:rPr>
              <w:t>16-Jun-2016</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41661-BE-U</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54"/>
        </w:trPr>
        <w:tc>
          <w:tcPr>
            <w:tcW w:w="1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BG</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2,633,661</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CY2014220002</w:t>
            </w:r>
          </w:p>
        </w:tc>
        <w:tc>
          <w:tcPr>
            <w:tcW w:w="980" w:type="dxa"/>
            <w:vAlign w:val="bottom"/>
          </w:tcPr>
          <w:p>
            <w:pPr>
              <w:spacing w:after="0"/>
              <w:rPr>
                <w:sz w:val="20"/>
                <w:szCs w:val="20"/>
                <w:color w:val="auto"/>
              </w:rPr>
            </w:pPr>
            <w:r>
              <w:rPr>
                <w:rFonts w:ascii="Arial" w:cs="Arial" w:eastAsia="Arial" w:hAnsi="Arial"/>
                <w:sz w:val="13"/>
                <w:szCs w:val="13"/>
                <w:color w:val="auto"/>
              </w:rPr>
              <w:t>16-Sep-2014</w:t>
            </w:r>
          </w:p>
        </w:tc>
        <w:tc>
          <w:tcPr>
            <w:tcW w:w="0" w:type="dxa"/>
            <w:vAlign w:val="bottom"/>
          </w:tcPr>
          <w:p>
            <w:pPr>
              <w:spacing w:after="0"/>
              <w:rPr>
                <w:sz w:val="1"/>
                <w:szCs w:val="1"/>
                <w:color w:val="auto"/>
              </w:rPr>
            </w:pPr>
          </w:p>
        </w:tc>
      </w:tr>
      <w:tr>
        <w:trPr>
          <w:trHeight w:val="154"/>
        </w:trPr>
        <w:tc>
          <w:tcPr>
            <w:tcW w:w="1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CZ</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E214840</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980" w:type="dxa"/>
            <w:vAlign w:val="bottom"/>
          </w:tcPr>
          <w:p>
            <w:pPr>
              <w:spacing w:after="0"/>
              <w:rPr>
                <w:sz w:val="20"/>
                <w:szCs w:val="20"/>
                <w:color w:val="auto"/>
              </w:rPr>
            </w:pPr>
            <w:r>
              <w:rPr>
                <w:rFonts w:ascii="Arial" w:cs="Arial" w:eastAsia="Arial" w:hAnsi="Arial"/>
                <w:sz w:val="13"/>
                <w:szCs w:val="13"/>
                <w:color w:val="auto"/>
              </w:rPr>
              <w:t>18-Jun-2014</w:t>
            </w: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283" w:right="1440" w:bottom="1440" w:gutter="0" w:footer="0" w:header="0"/>
        </w:sectPr>
      </w:pPr>
    </w:p>
    <w:bookmarkStart w:id="196" w:name="page197"/>
    <w:bookmarkEnd w:id="196"/>
    <w:tbl>
      <w:tblPr>
        <w:tblLayout w:type="fixed"/>
        <w:tblInd w:w="150" w:type="dxa"/>
        <w:tblCellMar>
          <w:top w:w="0" w:type="dxa"/>
          <w:left w:w="0" w:type="dxa"/>
          <w:bottom w:w="0" w:type="dxa"/>
          <w:right w:w="0" w:type="dxa"/>
        </w:tblCellMar>
      </w:tblPr>
      <w:tr>
        <w:trPr>
          <w:trHeight w:val="171"/>
        </w:trPr>
        <w:tc>
          <w:tcPr>
            <w:tcW w:w="1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EE</w:t>
            </w:r>
          </w:p>
        </w:tc>
        <w:tc>
          <w:tcPr>
            <w:tcW w:w="6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E009452</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300136771</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60 2006 041 992.9</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12104533.2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HU</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E06848864</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IS</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86"/>
              </w:rPr>
              <w:t>502014000000502.00</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2008-547588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5526332</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25-Apr-2014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LI</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LT</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LV</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500114787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197" w:name="page198"/>
    <w:bookmarkEnd w:id="197"/>
    <w:tbl>
      <w:tblPr>
        <w:tblLayout w:type="fixed"/>
        <w:tblInd w:w="150" w:type="dxa"/>
        <w:tblCellMar>
          <w:top w:w="0" w:type="dxa"/>
          <w:left w:w="0" w:type="dxa"/>
          <w:bottom w:w="0" w:type="dxa"/>
          <w:right w:w="0" w:type="dxa"/>
        </w:tblCellMar>
      </w:tblPr>
      <w:tr>
        <w:trPr>
          <w:trHeight w:val="171"/>
        </w:trPr>
        <w:tc>
          <w:tcPr>
            <w:tcW w:w="1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PL</w:t>
            </w:r>
          </w:p>
        </w:tc>
        <w:tc>
          <w:tcPr>
            <w:tcW w:w="60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86"/>
              </w:rPr>
              <w:t>201400000472409.00</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RO</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3908</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1969127</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1000011882</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TR</w:t>
            </w:r>
          </w:p>
        </w:tc>
        <w:tc>
          <w:tcPr>
            <w:tcW w:w="6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6848864.2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21-Dec-2006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2014/10859</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18-Jun-2014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APVO.40900</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3</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15/875,373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19-Jan-2018</w:t>
            </w:r>
          </w:p>
        </w:tc>
        <w:tc>
          <w:tcPr>
            <w:tcW w:w="114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9"/>
        <w:spacing w:after="0"/>
        <w:rPr>
          <w:sz w:val="20"/>
          <w:szCs w:val="20"/>
          <w:color w:val="auto"/>
        </w:rPr>
      </w:pPr>
      <w:r>
        <w:rPr>
          <w:rFonts w:ascii="Arial" w:cs="Arial" w:eastAsia="Arial" w:hAnsi="Arial"/>
          <w:sz w:val="13"/>
          <w:szCs w:val="13"/>
          <w:b w:val="1"/>
          <w:bCs w:val="1"/>
          <w:color w:val="auto"/>
        </w:rPr>
        <w:t>METHOD OF PRODUCING RECOMBINANT VITAMIN K DEPENDENT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19725" cy="128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19725" cy="1285240"/>
                    </a:xfrm>
                    <a:prstGeom prst="rect">
                      <a:avLst/>
                    </a:prstGeom>
                    <a:noFill/>
                  </pic:spPr>
                </pic:pic>
              </a:graphicData>
            </a:graphic>
          </wp:anchor>
        </w:drawing>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APVO.40901</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49"/>
        </w:trPr>
        <w:tc>
          <w:tcPr>
            <w:tcW w:w="1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Country</w:t>
            </w:r>
          </w:p>
        </w:tc>
        <w:tc>
          <w:tcPr>
            <w:tcW w:w="5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85"/>
              </w:rPr>
              <w:t>Subcase</w:t>
            </w:r>
          </w:p>
        </w:tc>
        <w:tc>
          <w:tcPr>
            <w:tcW w:w="7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92"/>
              </w:rPr>
              <w:t>Case Type</w:t>
            </w:r>
          </w:p>
        </w:tc>
        <w:tc>
          <w:tcPr>
            <w:tcW w:w="13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w w:val="99"/>
              </w:rPr>
              <w:t>Application Status</w:t>
            </w: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Application</w:t>
            </w:r>
          </w:p>
        </w:tc>
        <w:tc>
          <w:tcPr>
            <w:tcW w:w="9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1160" w:type="dxa"/>
            <w:vAlign w:val="bottom"/>
            <w:tcBorders>
              <w:top w:val="single" w:sz="8" w:color="auto"/>
              <w:right w:val="single" w:sz="8" w:color="auto"/>
            </w:tcBorders>
            <w:vMerge w:val="restart"/>
          </w:tcPr>
          <w:p>
            <w:pPr>
              <w:jc w:val="right"/>
              <w:ind w:right="116"/>
              <w:spacing w:after="0"/>
              <w:rPr>
                <w:sz w:val="20"/>
                <w:szCs w:val="20"/>
                <w:color w:val="auto"/>
              </w:rPr>
            </w:pPr>
            <w:r>
              <w:rPr>
                <w:rFonts w:ascii="Arial" w:cs="Arial" w:eastAsia="Arial" w:hAnsi="Arial"/>
                <w:sz w:val="13"/>
                <w:szCs w:val="13"/>
                <w:b w:val="1"/>
                <w:bCs w:val="1"/>
                <w:color w:val="auto"/>
              </w:rPr>
              <w:t>Patent Number</w:t>
            </w:r>
          </w:p>
        </w:tc>
        <w:tc>
          <w:tcPr>
            <w:tcW w:w="1280" w:type="dxa"/>
            <w:vAlign w:val="bottom"/>
            <w:tcBorders>
              <w:top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16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56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Number</w:t>
            </w:r>
          </w:p>
        </w:tc>
        <w:tc>
          <w:tcPr>
            <w:tcW w:w="9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6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APVO.40901</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5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10827499.4</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28-Oct-2010</w:t>
            </w:r>
          </w:p>
        </w:tc>
        <w:tc>
          <w:tcPr>
            <w:tcW w:w="1160" w:type="dxa"/>
            <w:vAlign w:val="bottom"/>
            <w:tcBorders>
              <w:right w:val="single" w:sz="8" w:color="auto"/>
            </w:tcBorders>
          </w:tcPr>
          <w:p>
            <w:pPr>
              <w:jc w:val="right"/>
              <w:ind w:right="636"/>
              <w:spacing w:after="0"/>
              <w:rPr>
                <w:sz w:val="20"/>
                <w:szCs w:val="20"/>
                <w:color w:val="auto"/>
              </w:rPr>
            </w:pPr>
            <w:r>
              <w:rPr>
                <w:rFonts w:ascii="Arial" w:cs="Arial" w:eastAsia="Arial" w:hAnsi="Arial"/>
                <w:sz w:val="13"/>
                <w:szCs w:val="13"/>
                <w:color w:val="auto"/>
                <w:w w:val="86"/>
              </w:rPr>
              <w:t>2494040</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APVO.40901</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5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13102606.7</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28-Oct-2010</w:t>
            </w:r>
          </w:p>
        </w:tc>
        <w:tc>
          <w:tcPr>
            <w:tcW w:w="116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APVO.40901</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56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2012-537082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28-Oct-2010</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5851410</w:t>
            </w:r>
          </w:p>
        </w:tc>
        <w:tc>
          <w:tcPr>
            <w:tcW w:w="1280" w:type="dxa"/>
            <w:vAlign w:val="bottom"/>
          </w:tcPr>
          <w:p>
            <w:pPr>
              <w:ind w:left="40"/>
              <w:spacing w:after="0"/>
              <w:rPr>
                <w:sz w:val="20"/>
                <w:szCs w:val="20"/>
                <w:color w:val="auto"/>
              </w:rPr>
            </w:pPr>
            <w:r>
              <w:rPr>
                <w:rFonts w:ascii="Arial" w:cs="Arial" w:eastAsia="Arial" w:hAnsi="Arial"/>
                <w:sz w:val="13"/>
                <w:szCs w:val="13"/>
                <w:color w:val="auto"/>
              </w:rPr>
              <w:t>11-Dec-2015</w:t>
            </w:r>
          </w:p>
        </w:tc>
        <w:tc>
          <w:tcPr>
            <w:tcW w:w="0" w:type="dxa"/>
            <w:vAlign w:val="bottom"/>
          </w:tcPr>
          <w:p>
            <w:pPr>
              <w:spacing w:after="0"/>
              <w:rPr>
                <w:sz w:val="1"/>
                <w:szCs w:val="1"/>
                <w:color w:val="auto"/>
              </w:rPr>
            </w:pPr>
          </w:p>
        </w:tc>
      </w:tr>
      <w:tr>
        <w:trPr>
          <w:trHeight w:val="154"/>
        </w:trPr>
        <w:tc>
          <w:tcPr>
            <w:tcW w:w="1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198" w:name="page199"/>
    <w:bookmarkEnd w:id="198"/>
    <w:tbl>
      <w:tblPr>
        <w:tblLayout w:type="fixed"/>
        <w:tblInd w:w="150" w:type="dxa"/>
        <w:tblCellMar>
          <w:top w:w="0" w:type="dxa"/>
          <w:left w:w="0" w:type="dxa"/>
          <w:bottom w:w="0" w:type="dxa"/>
          <w:right w:w="0" w:type="dxa"/>
        </w:tblCellMar>
      </w:tblPr>
      <w:tr>
        <w:trPr>
          <w:trHeight w:val="171"/>
        </w:trPr>
        <w:tc>
          <w:tcPr>
            <w:tcW w:w="1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APVO.40901</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US</w:t>
            </w:r>
          </w:p>
        </w:tc>
        <w:tc>
          <w:tcPr>
            <w:tcW w:w="540" w:type="dxa"/>
            <w:vAlign w:val="bottom"/>
            <w:tcBorders>
              <w:top w:val="single" w:sz="8" w:color="auto"/>
              <w:right w:val="single" w:sz="8" w:color="auto"/>
            </w:tcBorders>
          </w:tcPr>
          <w:p>
            <w:pPr>
              <w:jc w:val="right"/>
              <w:ind w:right="451"/>
              <w:spacing w:after="0"/>
              <w:rPr>
                <w:sz w:val="20"/>
                <w:szCs w:val="20"/>
                <w:color w:val="auto"/>
              </w:rPr>
            </w:pPr>
            <w:r>
              <w:rPr>
                <w:rFonts w:ascii="Arial" w:cs="Arial" w:eastAsia="Arial" w:hAnsi="Arial"/>
                <w:sz w:val="5"/>
                <w:szCs w:val="5"/>
                <w:color w:val="auto"/>
                <w:w w:val="70"/>
              </w:rPr>
              <w:t>2</w:t>
            </w:r>
          </w:p>
        </w:tc>
        <w:tc>
          <w:tcPr>
            <w:tcW w:w="7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CON</w:t>
            </w:r>
          </w:p>
        </w:tc>
        <w:tc>
          <w:tcPr>
            <w:tcW w:w="13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14/475,881</w:t>
            </w:r>
          </w:p>
        </w:tc>
        <w:tc>
          <w:tcPr>
            <w:tcW w:w="9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03-Sep-2014</w:t>
            </w:r>
          </w:p>
        </w:tc>
        <w:tc>
          <w:tcPr>
            <w:tcW w:w="1180" w:type="dxa"/>
            <w:vAlign w:val="bottom"/>
            <w:tcBorders>
              <w:top w:val="single" w:sz="8" w:color="auto"/>
              <w:right w:val="single" w:sz="8" w:color="auto"/>
            </w:tcBorders>
            <w:gridSpan w:val="2"/>
          </w:tcPr>
          <w:p>
            <w:pPr>
              <w:jc w:val="right"/>
              <w:ind w:right="576"/>
              <w:spacing w:after="0"/>
              <w:rPr>
                <w:sz w:val="20"/>
                <w:szCs w:val="20"/>
                <w:color w:val="auto"/>
              </w:rPr>
            </w:pPr>
            <w:r>
              <w:rPr>
                <w:rFonts w:ascii="Arial" w:cs="Arial" w:eastAsia="Arial" w:hAnsi="Arial"/>
                <w:sz w:val="13"/>
                <w:szCs w:val="13"/>
                <w:color w:val="auto"/>
                <w:w w:val="89"/>
              </w:rPr>
              <w:t>9,587,008</w:t>
            </w:r>
          </w:p>
        </w:tc>
        <w:tc>
          <w:tcPr>
            <w:tcW w:w="130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07-Mar-2017</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8"/>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4600" w:type="dxa"/>
            <w:vAlign w:val="bottom"/>
            <w:gridSpan w:val="8"/>
          </w:tcPr>
          <w:p>
            <w:pPr>
              <w:ind w:left="320"/>
              <w:spacing w:after="0"/>
              <w:rPr>
                <w:sz w:val="20"/>
                <w:szCs w:val="20"/>
                <w:color w:val="auto"/>
              </w:rPr>
            </w:pPr>
            <w:r>
              <w:rPr>
                <w:rFonts w:ascii="Arial" w:cs="Arial" w:eastAsia="Arial" w:hAnsi="Arial"/>
                <w:sz w:val="13"/>
                <w:szCs w:val="13"/>
                <w:b w:val="1"/>
                <w:bCs w:val="1"/>
                <w:color w:val="auto"/>
                <w:w w:val="98"/>
              </w:rPr>
              <w:t>STABILIZED FACTOR IX FORMULATIONS CONTAINING TREHALOSE</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3"/>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6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3"/>
          </w:tcPr>
          <w:p>
            <w:pPr>
              <w:ind w:left="780"/>
              <w:spacing w:after="0"/>
              <w:rPr>
                <w:sz w:val="20"/>
                <w:szCs w:val="20"/>
                <w:color w:val="auto"/>
              </w:rPr>
            </w:pPr>
            <w:r>
              <w:rPr>
                <w:rFonts w:ascii="Arial" w:cs="Arial" w:eastAsia="Arial" w:hAnsi="Arial"/>
                <w:sz w:val="13"/>
                <w:szCs w:val="13"/>
                <w:b w:val="1"/>
                <w:bCs w:val="1"/>
                <w:color w:val="auto"/>
              </w:rPr>
              <w:t>APVO.40902</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1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Country</w:t>
            </w:r>
          </w:p>
        </w:tc>
        <w:tc>
          <w:tcPr>
            <w:tcW w:w="540" w:type="dxa"/>
            <w:vAlign w:val="bottom"/>
            <w:tcBorders>
              <w:right w:val="single" w:sz="8" w:color="auto"/>
            </w:tcBorders>
            <w:vMerge w:val="restart"/>
          </w:tcPr>
          <w:p>
            <w:pPr>
              <w:jc w:val="right"/>
              <w:ind w:right="11"/>
              <w:spacing w:after="0"/>
              <w:rPr>
                <w:sz w:val="20"/>
                <w:szCs w:val="20"/>
                <w:color w:val="auto"/>
              </w:rPr>
            </w:pPr>
            <w:r>
              <w:rPr>
                <w:rFonts w:ascii="Arial" w:cs="Arial" w:eastAsia="Arial" w:hAnsi="Arial"/>
                <w:sz w:val="13"/>
                <w:szCs w:val="13"/>
                <w:b w:val="1"/>
                <w:bCs w:val="1"/>
                <w:color w:val="auto"/>
                <w:w w:val="85"/>
              </w:rPr>
              <w:t>Subcase</w:t>
            </w:r>
          </w:p>
        </w:tc>
        <w:tc>
          <w:tcPr>
            <w:tcW w:w="700" w:type="dxa"/>
            <w:vAlign w:val="bottom"/>
            <w:vMerge w:val="restart"/>
          </w:tcPr>
          <w:p>
            <w:pPr>
              <w:ind w:left="120"/>
              <w:spacing w:after="0"/>
              <w:rPr>
                <w:sz w:val="20"/>
                <w:szCs w:val="20"/>
                <w:color w:val="auto"/>
              </w:rPr>
            </w:pPr>
            <w:r>
              <w:rPr>
                <w:rFonts w:ascii="Arial" w:cs="Arial" w:eastAsia="Arial" w:hAnsi="Arial"/>
                <w:sz w:val="13"/>
                <w:szCs w:val="13"/>
                <w:b w:val="1"/>
                <w:bCs w:val="1"/>
                <w:color w:val="auto"/>
                <w:w w:val="82"/>
              </w:rPr>
              <w:t>Case Type</w:t>
            </w:r>
          </w:p>
        </w:tc>
        <w:tc>
          <w:tcPr>
            <w:tcW w:w="1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w w:val="96"/>
              </w:rPr>
              <w:t>Application Status</w:t>
            </w:r>
          </w:p>
        </w:tc>
        <w:tc>
          <w:tcPr>
            <w:tcW w:w="110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0"/>
              </w:rPr>
              <w:t>Application</w:t>
            </w:r>
          </w:p>
        </w:tc>
        <w:tc>
          <w:tcPr>
            <w:tcW w:w="92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3"/>
                <w:szCs w:val="13"/>
                <w:b w:val="1"/>
                <w:bCs w:val="1"/>
                <w:color w:val="auto"/>
              </w:rPr>
              <w:t>Filing Date</w:t>
            </w:r>
          </w:p>
        </w:tc>
        <w:tc>
          <w:tcPr>
            <w:tcW w:w="11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Patent Number</w:t>
            </w:r>
          </w:p>
        </w:tc>
        <w:tc>
          <w:tcPr>
            <w:tcW w:w="9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16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Number</w:t>
            </w:r>
          </w:p>
        </w:tc>
        <w:tc>
          <w:tcPr>
            <w:tcW w:w="920" w:type="dxa"/>
            <w:vAlign w:val="bottom"/>
            <w:tcBorders>
              <w:right w:val="single" w:sz="8" w:color="auto"/>
            </w:tcBorders>
            <w:gridSpan w:val="2"/>
            <w:vMerge w:val="continue"/>
          </w:tcPr>
          <w:p>
            <w:pPr>
              <w:spacing w:after="0"/>
              <w:rPr>
                <w:sz w:val="7"/>
                <w:szCs w:val="7"/>
                <w:color w:val="auto"/>
              </w:rPr>
            </w:pPr>
          </w:p>
        </w:tc>
        <w:tc>
          <w:tcPr>
            <w:tcW w:w="1160" w:type="dxa"/>
            <w:vAlign w:val="bottom"/>
            <w:tcBorders>
              <w:right w:val="single" w:sz="8" w:color="auto"/>
            </w:tcBorders>
            <w:gridSpan w:val="2"/>
            <w:vMerge w:val="continue"/>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16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w w:val="99"/>
              </w:rPr>
              <w:t>2008340304</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ind w:left="40"/>
              <w:spacing w:after="0"/>
              <w:rPr>
                <w:sz w:val="20"/>
                <w:szCs w:val="20"/>
                <w:color w:val="auto"/>
              </w:rPr>
            </w:pPr>
            <w:r>
              <w:rPr>
                <w:rFonts w:ascii="Arial" w:cs="Arial" w:eastAsia="Arial" w:hAnsi="Arial"/>
                <w:sz w:val="13"/>
                <w:szCs w:val="13"/>
                <w:color w:val="auto"/>
              </w:rPr>
              <w:t>2008340304</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16-Jun-2016</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PI0821591-0</w:t>
            </w: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540" w:type="dxa"/>
            <w:vAlign w:val="bottom"/>
            <w:tcBorders>
              <w:right w:val="single" w:sz="8" w:color="auto"/>
            </w:tcBorders>
          </w:tcPr>
          <w:p>
            <w:pPr>
              <w:jc w:val="right"/>
              <w:ind w:right="431"/>
              <w:spacing w:after="0"/>
              <w:rPr>
                <w:sz w:val="20"/>
                <w:szCs w:val="20"/>
                <w:color w:val="auto"/>
              </w:rPr>
            </w:pPr>
            <w:r>
              <w:rPr>
                <w:rFonts w:ascii="Arial" w:cs="Arial" w:eastAsia="Arial" w:hAnsi="Arial"/>
                <w:sz w:val="10"/>
                <w:szCs w:val="10"/>
                <w:color w:val="auto"/>
                <w:w w:val="71"/>
              </w:rPr>
              <w:t>1</w:t>
            </w:r>
          </w:p>
        </w:tc>
        <w:tc>
          <w:tcPr>
            <w:tcW w:w="700" w:type="dxa"/>
            <w:vAlign w:val="bottom"/>
          </w:tcPr>
          <w:p>
            <w:pPr>
              <w:spacing w:after="0"/>
              <w:rPr>
                <w:sz w:val="20"/>
                <w:szCs w:val="20"/>
                <w:color w:val="auto"/>
              </w:rPr>
            </w:pPr>
            <w:r>
              <w:rPr>
                <w:rFonts w:ascii="Arial" w:cs="Arial" w:eastAsia="Arial" w:hAnsi="Arial"/>
                <w:sz w:val="13"/>
                <w:szCs w:val="13"/>
                <w:color w:val="auto"/>
              </w:rPr>
              <w:t>DIV</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760" w:type="dxa"/>
            <w:vAlign w:val="bottom"/>
          </w:tcPr>
          <w:p>
            <w:pPr>
              <w:spacing w:after="0"/>
              <w:rPr>
                <w:sz w:val="20"/>
                <w:szCs w:val="20"/>
                <w:color w:val="auto"/>
              </w:rPr>
            </w:pPr>
            <w:r>
              <w:rPr>
                <w:rFonts w:ascii="Arial" w:cs="Arial" w:eastAsia="Arial" w:hAnsi="Arial"/>
                <w:sz w:val="13"/>
                <w:szCs w:val="13"/>
                <w:color w:val="auto"/>
              </w:rPr>
              <w:t>2,991,162</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540" w:type="dxa"/>
            <w:vAlign w:val="bottom"/>
            <w:tcBorders>
              <w:right w:val="single" w:sz="8" w:color="auto"/>
            </w:tcBorders>
          </w:tcPr>
          <w:p>
            <w:pPr>
              <w:jc w:val="right"/>
              <w:ind w:right="431"/>
              <w:spacing w:after="0"/>
              <w:rPr>
                <w:sz w:val="20"/>
                <w:szCs w:val="20"/>
                <w:color w:val="auto"/>
              </w:rPr>
            </w:pPr>
            <w:r>
              <w:rPr>
                <w:rFonts w:ascii="Arial" w:cs="Arial" w:eastAsia="Arial" w:hAnsi="Arial"/>
                <w:sz w:val="10"/>
                <w:szCs w:val="10"/>
                <w:color w:val="auto"/>
                <w:w w:val="71"/>
              </w:rPr>
              <w:t>1</w:t>
            </w:r>
          </w:p>
        </w:tc>
        <w:tc>
          <w:tcPr>
            <w:tcW w:w="700" w:type="dxa"/>
            <w:vAlign w:val="bottom"/>
          </w:tcPr>
          <w:p>
            <w:pPr>
              <w:spacing w:after="0"/>
              <w:rPr>
                <w:sz w:val="20"/>
                <w:szCs w:val="20"/>
                <w:color w:val="auto"/>
              </w:rPr>
            </w:pPr>
            <w:r>
              <w:rPr>
                <w:rFonts w:ascii="Arial" w:cs="Arial" w:eastAsia="Arial" w:hAnsi="Arial"/>
                <w:sz w:val="13"/>
                <w:szCs w:val="13"/>
                <w:color w:val="auto"/>
              </w:rPr>
              <w:t>DIV</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2015106594510</w:t>
            </w: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gridSpan w:val="2"/>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540" w:type="dxa"/>
            <w:vAlign w:val="bottom"/>
            <w:tcBorders>
              <w:right w:val="single" w:sz="8" w:color="auto"/>
            </w:tcBorders>
          </w:tcPr>
          <w:p>
            <w:pPr>
              <w:jc w:val="right"/>
              <w:ind w:right="431"/>
              <w:spacing w:after="0"/>
              <w:rPr>
                <w:sz w:val="20"/>
                <w:szCs w:val="20"/>
                <w:color w:val="auto"/>
              </w:rPr>
            </w:pPr>
            <w:r>
              <w:rPr>
                <w:rFonts w:ascii="Arial" w:cs="Arial" w:eastAsia="Arial" w:hAnsi="Arial"/>
                <w:sz w:val="10"/>
                <w:szCs w:val="10"/>
                <w:color w:val="auto"/>
                <w:w w:val="71"/>
              </w:rPr>
              <w:t>1</w:t>
            </w:r>
          </w:p>
        </w:tc>
        <w:tc>
          <w:tcPr>
            <w:tcW w:w="700" w:type="dxa"/>
            <w:vAlign w:val="bottom"/>
          </w:tcPr>
          <w:p>
            <w:pPr>
              <w:spacing w:after="0"/>
              <w:rPr>
                <w:sz w:val="20"/>
                <w:szCs w:val="20"/>
                <w:color w:val="auto"/>
              </w:rPr>
            </w:pPr>
            <w:r>
              <w:rPr>
                <w:rFonts w:ascii="Arial" w:cs="Arial" w:eastAsia="Arial" w:hAnsi="Arial"/>
                <w:sz w:val="13"/>
                <w:szCs w:val="13"/>
                <w:color w:val="auto"/>
              </w:rPr>
              <w:t>DIV</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760" w:type="dxa"/>
            <w:vAlign w:val="bottom"/>
          </w:tcPr>
          <w:p>
            <w:pPr>
              <w:spacing w:after="0"/>
              <w:rPr>
                <w:sz w:val="20"/>
                <w:szCs w:val="20"/>
                <w:color w:val="auto"/>
              </w:rPr>
            </w:pPr>
            <w:r>
              <w:rPr>
                <w:rFonts w:ascii="Arial" w:cs="Arial" w:eastAsia="Arial" w:hAnsi="Arial"/>
                <w:sz w:val="13"/>
                <w:szCs w:val="13"/>
                <w:color w:val="auto"/>
              </w:rPr>
              <w:t>13165012.9</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ind w:left="40"/>
              <w:spacing w:after="0"/>
              <w:rPr>
                <w:sz w:val="20"/>
                <w:szCs w:val="20"/>
                <w:color w:val="auto"/>
              </w:rPr>
            </w:pPr>
            <w:r>
              <w:rPr>
                <w:rFonts w:ascii="Arial" w:cs="Arial" w:eastAsia="Arial" w:hAnsi="Arial"/>
                <w:sz w:val="13"/>
                <w:szCs w:val="13"/>
                <w:color w:val="auto"/>
              </w:rPr>
              <w:t>2633860</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w w:val="94"/>
              </w:rPr>
              <w:t>088864646.8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54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EPP</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20"/>
                <w:szCs w:val="20"/>
                <w:color w:val="auto"/>
              </w:rPr>
            </w:pPr>
            <w:r>
              <w:rPr>
                <w:rFonts w:ascii="Arial" w:cs="Arial" w:eastAsia="Arial" w:hAnsi="Arial"/>
                <w:sz w:val="13"/>
                <w:szCs w:val="13"/>
                <w:color w:val="auto"/>
              </w:rPr>
              <w:t>08864646.8</w:t>
            </w:r>
          </w:p>
        </w:tc>
        <w:tc>
          <w:tcPr>
            <w:tcW w:w="3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16-Dec-2008</w:t>
            </w:r>
          </w:p>
        </w:tc>
        <w:tc>
          <w:tcPr>
            <w:tcW w:w="840" w:type="dxa"/>
            <w:vAlign w:val="bottom"/>
          </w:tcPr>
          <w:p>
            <w:pPr>
              <w:spacing w:after="0"/>
              <w:rPr>
                <w:sz w:val="20"/>
                <w:szCs w:val="20"/>
                <w:color w:val="auto"/>
              </w:rPr>
            </w:pPr>
            <w:r>
              <w:rPr>
                <w:rFonts w:ascii="Arial" w:cs="Arial" w:eastAsia="Arial" w:hAnsi="Arial"/>
                <w:sz w:val="13"/>
                <w:szCs w:val="13"/>
                <w:color w:val="auto"/>
              </w:rPr>
              <w:t>2222315</w:t>
            </w:r>
          </w:p>
        </w:tc>
        <w:tc>
          <w:tcPr>
            <w:tcW w:w="3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c>
          <w:tcPr>
            <w:tcW w:w="0" w:type="dxa"/>
            <w:vAlign w:val="bottom"/>
          </w:tcPr>
          <w:p>
            <w:pPr>
              <w:spacing w:after="0"/>
              <w:rPr>
                <w:sz w:val="1"/>
                <w:szCs w:val="1"/>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199" w:name="page200"/>
    <w:bookmarkEnd w:id="199"/>
    <w:tbl>
      <w:tblPr>
        <w:tblLayout w:type="fixed"/>
        <w:tblInd w:w="150" w:type="dxa"/>
        <w:tblCellMar>
          <w:top w:w="0" w:type="dxa"/>
          <w:left w:w="0" w:type="dxa"/>
          <w:bottom w:w="0" w:type="dxa"/>
          <w:right w:w="0" w:type="dxa"/>
        </w:tblCellMar>
      </w:tblPr>
      <w:tr>
        <w:trPr>
          <w:trHeight w:val="171"/>
        </w:trPr>
        <w:tc>
          <w:tcPr>
            <w:tcW w:w="11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GB</w:t>
            </w:r>
          </w:p>
        </w:tc>
        <w:tc>
          <w:tcPr>
            <w:tcW w:w="54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top w:val="single" w:sz="8" w:color="auto"/>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14101930.5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16106932.0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2"/>
              </w:rPr>
              <w:t>1530/MUMNP/2010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2010-539710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5649451</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21-Dec-2014</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2010122379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2481823</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20-May-2013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5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08864646.8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16-Dec-2008</w:t>
            </w:r>
          </w:p>
        </w:tc>
        <w:tc>
          <w:tcPr>
            <w:tcW w:w="116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2"/>
              </w:rPr>
              <w:t>2222315</w:t>
            </w:r>
          </w:p>
        </w:tc>
        <w:tc>
          <w:tcPr>
            <w:tcW w:w="10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24-Apr-2013</w:t>
            </w:r>
          </w:p>
        </w:tc>
      </w:tr>
      <w:tr>
        <w:trPr>
          <w:trHeight w:val="144"/>
        </w:trPr>
        <w:tc>
          <w:tcPr>
            <w:tcW w:w="11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r>
      <w:tr>
        <w:trPr>
          <w:trHeight w:val="151"/>
        </w:trPr>
        <w:tc>
          <w:tcPr>
            <w:tcW w:w="11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40" w:type="dxa"/>
            <w:vAlign w:val="bottom"/>
            <w:tcBorders>
              <w:right w:val="single" w:sz="8" w:color="auto"/>
            </w:tcBorders>
          </w:tcPr>
          <w:p>
            <w:pPr>
              <w:jc w:val="right"/>
              <w:ind w:right="432"/>
              <w:spacing w:after="0"/>
              <w:rPr>
                <w:sz w:val="20"/>
                <w:szCs w:val="20"/>
                <w:color w:val="auto"/>
              </w:rPr>
            </w:pPr>
            <w:r>
              <w:rPr>
                <w:rFonts w:ascii="Arial" w:cs="Arial" w:eastAsia="Arial" w:hAnsi="Arial"/>
                <w:sz w:val="10"/>
                <w:szCs w:val="10"/>
                <w:color w:val="auto"/>
                <w:w w:val="71"/>
              </w:rPr>
              <w:t>2</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1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16/028,736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06-Jul-2018</w:t>
            </w:r>
          </w:p>
        </w:tc>
        <w:tc>
          <w:tcPr>
            <w:tcW w:w="11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54"/>
        </w:trPr>
        <w:tc>
          <w:tcPr>
            <w:tcW w:w="11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r>
    </w:tbl>
    <w:p>
      <w:pPr>
        <w:spacing w:after="0" w:line="302" w:lineRule="exact"/>
        <w:rPr>
          <w:sz w:val="20"/>
          <w:szCs w:val="20"/>
          <w:color w:val="auto"/>
        </w:rPr>
      </w:pPr>
    </w:p>
    <w:p>
      <w:pPr>
        <w:jc w:val="center"/>
        <w:ind w:right="1419"/>
        <w:spacing w:after="0"/>
        <w:rPr>
          <w:sz w:val="20"/>
          <w:szCs w:val="20"/>
          <w:color w:val="auto"/>
        </w:rPr>
      </w:pPr>
      <w:r>
        <w:rPr>
          <w:rFonts w:ascii="Arial" w:cs="Arial" w:eastAsia="Arial" w:hAnsi="Arial"/>
          <w:sz w:val="13"/>
          <w:szCs w:val="13"/>
          <w:b w:val="1"/>
          <w:bCs w:val="1"/>
          <w:color w:val="auto"/>
        </w:rPr>
        <w:t>RECOMBINANT VITAMIN K DEPENDENT PROTEINS WITH HIGH SIALIC ACID CONTENT AND METHODS OF PREPARING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-92075</wp:posOffset>
            </wp:positionV>
            <wp:extent cx="5419725" cy="5880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19725" cy="588010"/>
                    </a:xfrm>
                    <a:prstGeom prst="rect">
                      <a:avLst/>
                    </a:prstGeom>
                    <a:noFill/>
                  </pic:spPr>
                </pic:pic>
              </a:graphicData>
            </a:graphic>
          </wp:anchor>
        </w:drawing>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APVO.40903</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12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3"/>
              </w:rPr>
              <w:t>Subcase</w:t>
            </w:r>
          </w:p>
        </w:tc>
        <w:tc>
          <w:tcPr>
            <w:tcW w:w="8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Case Type</w:t>
            </w:r>
          </w:p>
        </w:tc>
        <w:tc>
          <w:tcPr>
            <w:tcW w:w="1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Application Status</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7"/>
              </w:rPr>
              <w:t>Application Number</w:t>
            </w:r>
          </w:p>
        </w:tc>
        <w:tc>
          <w:tcPr>
            <w:tcW w:w="9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Filing Date</w:t>
            </w:r>
          </w:p>
        </w:tc>
        <w:tc>
          <w:tcPr>
            <w:tcW w:w="9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Patent Number</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Issue Date</w:t>
            </w:r>
          </w:p>
        </w:tc>
      </w:tr>
      <w:tr>
        <w:trPr>
          <w:trHeight w:val="150"/>
        </w:trPr>
        <w:tc>
          <w:tcPr>
            <w:tcW w:w="12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0" w:name="page201"/>
    <w:bookmarkEnd w:id="200"/>
    <w:tbl>
      <w:tblPr>
        <w:tblLayout w:type="fixed"/>
        <w:tblInd w:w="150" w:type="dxa"/>
        <w:tblCellMar>
          <w:top w:w="0" w:type="dxa"/>
          <w:left w:w="0" w:type="dxa"/>
          <w:bottom w:w="0" w:type="dxa"/>
          <w:right w:w="0" w:type="dxa"/>
        </w:tblCellMar>
      </w:tblPr>
      <w:tr>
        <w:trPr>
          <w:trHeight w:val="171"/>
        </w:trPr>
        <w:tc>
          <w:tcPr>
            <w:tcW w:w="1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top w:val="single" w:sz="8" w:color="auto"/>
            </w:tcBorders>
          </w:tcPr>
          <w:p>
            <w:pPr>
              <w:jc w:val="right"/>
              <w:ind w:right="473"/>
              <w:spacing w:after="0"/>
              <w:rPr>
                <w:sz w:val="20"/>
                <w:szCs w:val="20"/>
                <w:color w:val="auto"/>
              </w:rPr>
            </w:pPr>
            <w:r>
              <w:rPr>
                <w:rFonts w:ascii="Arial" w:cs="Arial" w:eastAsia="Arial" w:hAnsi="Arial"/>
                <w:sz w:val="13"/>
                <w:szCs w:val="13"/>
                <w:color w:val="auto"/>
                <w:w w:val="82"/>
              </w:rPr>
              <w:t>1</w:t>
            </w:r>
          </w:p>
        </w:tc>
        <w:tc>
          <w:tcPr>
            <w:tcW w:w="4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DIV</w:t>
            </w:r>
          </w:p>
        </w:tc>
        <w:tc>
          <w:tcPr>
            <w:tcW w:w="80" w:type="dxa"/>
            <w:vAlign w:val="bottom"/>
            <w:tcBorders>
              <w:top w:val="single" w:sz="8" w:color="auto"/>
              <w:right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Granted</w:t>
            </w:r>
          </w:p>
        </w:tc>
        <w:tc>
          <w:tcPr>
            <w:tcW w:w="6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2014202989</w:t>
            </w:r>
          </w:p>
        </w:tc>
        <w:tc>
          <w:tcPr>
            <w:tcW w:w="16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color w:val="auto"/>
              </w:rPr>
              <w:t>2014202989</w:t>
            </w:r>
          </w:p>
        </w:tc>
        <w:tc>
          <w:tcPr>
            <w:tcW w:w="16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20-Oct-2016</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Pr>
          <w:p>
            <w:pPr>
              <w:jc w:val="right"/>
              <w:ind w:right="473"/>
              <w:spacing w:after="0"/>
              <w:rPr>
                <w:sz w:val="20"/>
                <w:szCs w:val="20"/>
                <w:color w:val="auto"/>
              </w:rPr>
            </w:pPr>
            <w:r>
              <w:rPr>
                <w:rFonts w:ascii="Arial" w:cs="Arial" w:eastAsia="Arial" w:hAnsi="Arial"/>
                <w:sz w:val="13"/>
                <w:szCs w:val="13"/>
                <w:color w:val="auto"/>
                <w:w w:val="82"/>
              </w:rPr>
              <w:t>2</w:t>
            </w: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DIV</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2016238889</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PCT</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2,683,423</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REP</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13105065.4</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PCT</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Granted</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2010-506563</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right w:val="single" w:sz="8" w:color="auto"/>
            </w:tcBorders>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6050927</w:t>
            </w: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02-Dec-2016</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Pr>
          <w:p>
            <w:pPr>
              <w:jc w:val="right"/>
              <w:ind w:right="473"/>
              <w:spacing w:after="0"/>
              <w:rPr>
                <w:sz w:val="20"/>
                <w:szCs w:val="20"/>
                <w:color w:val="auto"/>
              </w:rPr>
            </w:pPr>
            <w:r>
              <w:rPr>
                <w:rFonts w:ascii="Arial" w:cs="Arial" w:eastAsia="Arial" w:hAnsi="Arial"/>
                <w:sz w:val="13"/>
                <w:szCs w:val="13"/>
                <w:color w:val="auto"/>
                <w:w w:val="82"/>
              </w:rPr>
              <w:t>1</w:t>
            </w: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DIV</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Granted</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2014-246477</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28-Apr-2008</w:t>
            </w:r>
          </w:p>
        </w:tc>
        <w:tc>
          <w:tcPr>
            <w:tcW w:w="220" w:type="dxa"/>
            <w:vAlign w:val="bottom"/>
            <w:tcBorders>
              <w:right w:val="single" w:sz="8" w:color="auto"/>
            </w:tcBorders>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auto"/>
              </w:rPr>
              <w:t>6223319</w:t>
            </w: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13-Oct-2017</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APVO.40903</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Pr>
          <w:p>
            <w:pPr>
              <w:jc w:val="right"/>
              <w:ind w:right="473"/>
              <w:spacing w:after="0"/>
              <w:rPr>
                <w:sz w:val="20"/>
                <w:szCs w:val="20"/>
                <w:color w:val="auto"/>
              </w:rPr>
            </w:pPr>
            <w:r>
              <w:rPr>
                <w:rFonts w:ascii="Arial" w:cs="Arial" w:eastAsia="Arial" w:hAnsi="Arial"/>
                <w:sz w:val="13"/>
                <w:szCs w:val="13"/>
                <w:color w:val="auto"/>
                <w:w w:val="82"/>
              </w:rPr>
              <w:t>1</w:t>
            </w:r>
          </w:p>
        </w:tc>
        <w:tc>
          <w:tcPr>
            <w:tcW w:w="4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CON</w:t>
            </w:r>
          </w:p>
        </w:tc>
        <w:tc>
          <w:tcPr>
            <w:tcW w:w="80" w:type="dxa"/>
            <w:vAlign w:val="bottom"/>
            <w:tcBorders>
              <w:right w:val="single" w:sz="8" w:color="auto"/>
            </w:tcBorders>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Borders>
              <w:right w:val="single" w:sz="8" w:color="auto"/>
            </w:tcBorders>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14/860,042</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0"/>
              </w:rPr>
              <w:t>21-Sep-2015</w:t>
            </w:r>
          </w:p>
        </w:tc>
        <w:tc>
          <w:tcPr>
            <w:tcW w:w="22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gridSpan w:val="7"/>
          </w:tcPr>
          <w:p>
            <w:pPr>
              <w:ind w:left="80"/>
              <w:spacing w:after="0"/>
              <w:rPr>
                <w:sz w:val="20"/>
                <w:szCs w:val="20"/>
                <w:color w:val="auto"/>
              </w:rPr>
            </w:pPr>
            <w:r>
              <w:rPr>
                <w:rFonts w:ascii="Arial" w:cs="Arial" w:eastAsia="Arial" w:hAnsi="Arial"/>
                <w:sz w:val="13"/>
                <w:szCs w:val="13"/>
                <w:b w:val="1"/>
                <w:bCs w:val="1"/>
                <w:color w:val="auto"/>
              </w:rPr>
              <w:t>Cells expressing vitamin K epoxide reductase and use thereof</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3"/>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6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3"/>
          </w:tcPr>
          <w:p>
            <w:pPr>
              <w:ind w:left="560"/>
              <w:spacing w:after="0"/>
              <w:rPr>
                <w:sz w:val="20"/>
                <w:szCs w:val="20"/>
                <w:color w:val="auto"/>
              </w:rPr>
            </w:pPr>
            <w:r>
              <w:rPr>
                <w:rFonts w:ascii="Arial" w:cs="Arial" w:eastAsia="Arial" w:hAnsi="Arial"/>
                <w:sz w:val="13"/>
                <w:szCs w:val="13"/>
                <w:b w:val="1"/>
                <w:bCs w:val="1"/>
                <w:color w:val="auto"/>
              </w:rPr>
              <w:t>APVO.40904</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6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3"/>
                <w:szCs w:val="13"/>
                <w:b w:val="1"/>
                <w:bCs w:val="1"/>
                <w:color w:val="auto"/>
                <w:w w:val="89"/>
              </w:rPr>
              <w:t>Subcase</w:t>
            </w:r>
          </w:p>
        </w:tc>
        <w:tc>
          <w:tcPr>
            <w:tcW w:w="40" w:type="dxa"/>
            <w:vAlign w:val="bottom"/>
          </w:tcPr>
          <w:p>
            <w:pPr>
              <w:spacing w:after="0"/>
              <w:rPr>
                <w:sz w:val="11"/>
                <w:szCs w:val="11"/>
                <w:color w:val="auto"/>
              </w:rPr>
            </w:pP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w w:val="98"/>
              </w:rPr>
              <w:t>Case Type</w:t>
            </w:r>
          </w:p>
        </w:tc>
        <w:tc>
          <w:tcPr>
            <w:tcW w:w="80" w:type="dxa"/>
            <w:vAlign w:val="bottom"/>
          </w:tcPr>
          <w:p>
            <w:pPr>
              <w:spacing w:after="0"/>
              <w:rPr>
                <w:sz w:val="11"/>
                <w:szCs w:val="11"/>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w w:val="92"/>
              </w:rPr>
              <w:t>Application Status</w:t>
            </w:r>
          </w:p>
        </w:tc>
        <w:tc>
          <w:tcPr>
            <w:tcW w:w="12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w w:val="92"/>
              </w:rPr>
              <w:t>Application Number</w:t>
            </w:r>
          </w:p>
        </w:tc>
        <w:tc>
          <w:tcPr>
            <w:tcW w:w="88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Filing Date</w:t>
            </w:r>
          </w:p>
        </w:tc>
        <w:tc>
          <w:tcPr>
            <w:tcW w:w="220" w:type="dxa"/>
            <w:vAlign w:val="bottom"/>
          </w:tcPr>
          <w:p>
            <w:pPr>
              <w:spacing w:after="0"/>
              <w:rPr>
                <w:sz w:val="11"/>
                <w:szCs w:val="11"/>
                <w:color w:val="auto"/>
              </w:rPr>
            </w:pPr>
          </w:p>
        </w:tc>
        <w:tc>
          <w:tcPr>
            <w:tcW w:w="640" w:type="dxa"/>
            <w:vAlign w:val="bottom"/>
            <w:tcBorders>
              <w:right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Patent</w:t>
            </w:r>
          </w:p>
        </w:tc>
        <w:tc>
          <w:tcPr>
            <w:tcW w:w="160" w:type="dxa"/>
            <w:vAlign w:val="bottom"/>
          </w:tcPr>
          <w:p>
            <w:pPr>
              <w:spacing w:after="0"/>
              <w:rPr>
                <w:sz w:val="11"/>
                <w:szCs w:val="11"/>
                <w:color w:val="auto"/>
              </w:rPr>
            </w:pPr>
          </w:p>
        </w:tc>
        <w:tc>
          <w:tcPr>
            <w:tcW w:w="98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89"/>
        </w:trPr>
        <w:tc>
          <w:tcPr>
            <w:tcW w:w="126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gridSpan w:val="2"/>
            <w:vMerge w:val="continue"/>
          </w:tcPr>
          <w:p>
            <w:pPr>
              <w:spacing w:after="0"/>
              <w:rPr>
                <w:sz w:val="7"/>
                <w:szCs w:val="7"/>
                <w:color w:val="auto"/>
              </w:rPr>
            </w:pPr>
          </w:p>
        </w:tc>
        <w:tc>
          <w:tcPr>
            <w:tcW w:w="86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7"/>
                <w:szCs w:val="7"/>
                <w:color w:val="auto"/>
              </w:rPr>
            </w:pPr>
          </w:p>
        </w:tc>
        <w:tc>
          <w:tcPr>
            <w:tcW w:w="9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6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gridSpan w:val="2"/>
          </w:tcPr>
          <w:p>
            <w:pPr>
              <w:spacing w:after="0"/>
              <w:rPr>
                <w:sz w:val="13"/>
                <w:szCs w:val="13"/>
                <w:color w:val="auto"/>
              </w:rPr>
            </w:pPr>
          </w:p>
        </w:tc>
        <w:tc>
          <w:tcPr>
            <w:tcW w:w="1180" w:type="dxa"/>
            <w:vAlign w:val="bottom"/>
            <w:tcBorders>
              <w:bottom w:val="single" w:sz="8" w:color="auto"/>
              <w:right w:val="single" w:sz="8" w:color="auto"/>
            </w:tcBorders>
            <w:gridSpan w:val="2"/>
          </w:tcPr>
          <w:p>
            <w:pPr>
              <w:spacing w:after="0"/>
              <w:rPr>
                <w:sz w:val="13"/>
                <w:szCs w:val="13"/>
                <w:color w:val="auto"/>
              </w:rPr>
            </w:pPr>
          </w:p>
        </w:tc>
        <w:tc>
          <w:tcPr>
            <w:tcW w:w="1220" w:type="dxa"/>
            <w:vAlign w:val="bottom"/>
            <w:tcBorders>
              <w:bottom w:val="single" w:sz="8" w:color="auto"/>
              <w:right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gridSpan w:val="2"/>
          </w:tcPr>
          <w:p>
            <w:pPr>
              <w:spacing w:after="0"/>
              <w:rPr>
                <w:sz w:val="13"/>
                <w:szCs w:val="13"/>
                <w:color w:val="auto"/>
              </w:rPr>
            </w:pPr>
          </w:p>
        </w:tc>
        <w:tc>
          <w:tcPr>
            <w:tcW w:w="86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600" w:type="dxa"/>
            <w:vAlign w:val="bottom"/>
            <w:tcBorders>
              <w:right w:val="single" w:sz="8" w:color="auto"/>
            </w:tcBorders>
          </w:tcPr>
          <w:p>
            <w:pPr>
              <w:jc w:val="right"/>
              <w:ind w:right="513"/>
              <w:spacing w:after="0"/>
              <w:rPr>
                <w:sz w:val="20"/>
                <w:szCs w:val="20"/>
                <w:color w:val="auto"/>
              </w:rPr>
            </w:pPr>
            <w:r>
              <w:rPr>
                <w:rFonts w:ascii="Arial" w:cs="Arial" w:eastAsia="Arial" w:hAnsi="Arial"/>
                <w:sz w:val="5"/>
                <w:szCs w:val="5"/>
                <w:color w:val="auto"/>
                <w:w w:val="70"/>
              </w:rPr>
              <w:t>1</w:t>
            </w: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2380985</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01-Jan-2014</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spacing w:after="0"/>
              <w:rPr>
                <w:sz w:val="12"/>
                <w:szCs w:val="12"/>
                <w:color w:val="auto"/>
              </w:rPr>
            </w:pPr>
          </w:p>
        </w:tc>
        <w:tc>
          <w:tcPr>
            <w:tcW w:w="11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11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2004275828</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2004275828</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29-Apr-2010</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spacing w:after="0"/>
              <w:rPr>
                <w:sz w:val="12"/>
                <w:szCs w:val="12"/>
                <w:color w:val="auto"/>
              </w:rPr>
            </w:pPr>
          </w:p>
        </w:tc>
        <w:tc>
          <w:tcPr>
            <w:tcW w:w="11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11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600" w:type="dxa"/>
            <w:vAlign w:val="bottom"/>
            <w:tcBorders>
              <w:right w:val="single" w:sz="8" w:color="auto"/>
            </w:tcBorders>
          </w:tcPr>
          <w:p>
            <w:pPr>
              <w:jc w:val="right"/>
              <w:ind w:right="513"/>
              <w:spacing w:after="0"/>
              <w:rPr>
                <w:sz w:val="20"/>
                <w:szCs w:val="20"/>
                <w:color w:val="auto"/>
              </w:rPr>
            </w:pPr>
            <w:r>
              <w:rPr>
                <w:rFonts w:ascii="Arial" w:cs="Arial" w:eastAsia="Arial" w:hAnsi="Arial"/>
                <w:sz w:val="5"/>
                <w:szCs w:val="5"/>
                <w:color w:val="auto"/>
                <w:w w:val="70"/>
              </w:rPr>
              <w:t>1</w:t>
            </w: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2380985</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01-Jan-2014</w:t>
            </w:r>
          </w:p>
        </w:tc>
        <w:tc>
          <w:tcPr>
            <w:tcW w:w="0" w:type="dxa"/>
            <w:vAlign w:val="bottom"/>
          </w:tcPr>
          <w:p>
            <w:pPr>
              <w:spacing w:after="0"/>
              <w:rPr>
                <w:sz w:val="1"/>
                <w:szCs w:val="1"/>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gridSpan w:val="2"/>
          </w:tcPr>
          <w:p>
            <w:pPr>
              <w:spacing w:after="0"/>
              <w:rPr>
                <w:sz w:val="13"/>
                <w:szCs w:val="13"/>
                <w:color w:val="auto"/>
              </w:rPr>
            </w:pPr>
          </w:p>
        </w:tc>
        <w:tc>
          <w:tcPr>
            <w:tcW w:w="1180" w:type="dxa"/>
            <w:vAlign w:val="bottom"/>
            <w:tcBorders>
              <w:bottom w:val="single" w:sz="8" w:color="auto"/>
              <w:right w:val="single" w:sz="8" w:color="auto"/>
            </w:tcBorders>
            <w:gridSpan w:val="2"/>
          </w:tcPr>
          <w:p>
            <w:pPr>
              <w:spacing w:after="0"/>
              <w:rPr>
                <w:sz w:val="13"/>
                <w:szCs w:val="13"/>
                <w:color w:val="auto"/>
              </w:rPr>
            </w:pPr>
          </w:p>
        </w:tc>
        <w:tc>
          <w:tcPr>
            <w:tcW w:w="1220" w:type="dxa"/>
            <w:vAlign w:val="bottom"/>
            <w:tcBorders>
              <w:bottom w:val="single" w:sz="8" w:color="auto"/>
              <w:right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gridSpan w:val="2"/>
          </w:tcPr>
          <w:p>
            <w:pPr>
              <w:spacing w:after="0"/>
              <w:rPr>
                <w:sz w:val="13"/>
                <w:szCs w:val="13"/>
                <w:color w:val="auto"/>
              </w:rPr>
            </w:pPr>
          </w:p>
        </w:tc>
        <w:tc>
          <w:tcPr>
            <w:tcW w:w="86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2,539,434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2539434</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18-Mar-2014</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spacing w:after="0"/>
              <w:rPr>
                <w:sz w:val="12"/>
                <w:szCs w:val="12"/>
                <w:color w:val="auto"/>
              </w:rPr>
            </w:pPr>
          </w:p>
        </w:tc>
        <w:tc>
          <w:tcPr>
            <w:tcW w:w="11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11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600" w:type="dxa"/>
            <w:vAlign w:val="bottom"/>
            <w:tcBorders>
              <w:right w:val="single" w:sz="8" w:color="auto"/>
            </w:tcBorders>
          </w:tcPr>
          <w:p>
            <w:pPr>
              <w:jc w:val="right"/>
              <w:ind w:right="513"/>
              <w:spacing w:after="0"/>
              <w:rPr>
                <w:sz w:val="20"/>
                <w:szCs w:val="20"/>
                <w:color w:val="auto"/>
              </w:rPr>
            </w:pPr>
            <w:r>
              <w:rPr>
                <w:rFonts w:ascii="Arial" w:cs="Arial" w:eastAsia="Arial" w:hAnsi="Arial"/>
                <w:sz w:val="5"/>
                <w:szCs w:val="5"/>
                <w:color w:val="auto"/>
                <w:w w:val="70"/>
              </w:rPr>
              <w:t>1</w:t>
            </w: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CH 2380985</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13-Jan-2010</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spacing w:after="0"/>
              <w:rPr>
                <w:sz w:val="12"/>
                <w:szCs w:val="12"/>
                <w:color w:val="auto"/>
              </w:rPr>
            </w:pPr>
          </w:p>
        </w:tc>
        <w:tc>
          <w:tcPr>
            <w:tcW w:w="11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11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1842920</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13-Jan-2010</w:t>
            </w:r>
          </w:p>
        </w:tc>
        <w:tc>
          <w:tcPr>
            <w:tcW w:w="0" w:type="dxa"/>
            <w:vAlign w:val="bottom"/>
          </w:tcPr>
          <w:p>
            <w:pPr>
              <w:spacing w:after="0"/>
              <w:rPr>
                <w:sz w:val="1"/>
                <w:szCs w:val="1"/>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gridSpan w:val="2"/>
          </w:tcPr>
          <w:p>
            <w:pPr>
              <w:spacing w:after="0"/>
              <w:rPr>
                <w:sz w:val="12"/>
                <w:szCs w:val="12"/>
                <w:color w:val="auto"/>
              </w:rPr>
            </w:pPr>
          </w:p>
        </w:tc>
        <w:tc>
          <w:tcPr>
            <w:tcW w:w="118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1140" w:type="dxa"/>
            <w:vAlign w:val="bottom"/>
            <w:tcBorders>
              <w:bottom w:val="single" w:sz="8" w:color="auto"/>
              <w:right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00" w:type="dxa"/>
            <w:vAlign w:val="bottom"/>
            <w:tcBorders>
              <w:right w:val="single" w:sz="8" w:color="auto"/>
            </w:tcBorders>
          </w:tcPr>
          <w:p>
            <w:pPr>
              <w:jc w:val="right"/>
              <w:ind w:right="513"/>
              <w:spacing w:after="0"/>
              <w:rPr>
                <w:sz w:val="20"/>
                <w:szCs w:val="20"/>
                <w:color w:val="auto"/>
              </w:rPr>
            </w:pPr>
            <w:r>
              <w:rPr>
                <w:rFonts w:ascii="Arial" w:cs="Arial" w:eastAsia="Arial" w:hAnsi="Arial"/>
                <w:sz w:val="5"/>
                <w:szCs w:val="5"/>
                <w:color w:val="auto"/>
                <w:w w:val="70"/>
              </w:rPr>
              <w:t>1</w:t>
            </w: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2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2380985</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13-Jan-2010</w:t>
            </w:r>
          </w:p>
        </w:tc>
        <w:tc>
          <w:tcPr>
            <w:tcW w:w="0" w:type="dxa"/>
            <w:vAlign w:val="bottom"/>
          </w:tcPr>
          <w:p>
            <w:pPr>
              <w:spacing w:after="0"/>
              <w:rPr>
                <w:sz w:val="1"/>
                <w:szCs w:val="1"/>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1" w:name="page202"/>
    <w:bookmarkEnd w:id="201"/>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DK</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07109358.3</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61140030</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1093223</w:t>
            </w:r>
          </w:p>
        </w:tc>
        <w:tc>
          <w:tcPr>
            <w:tcW w:w="11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2012054537</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5840539</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20-Nov-2015</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01-Jan-2014</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02" w:name="page203"/>
    <w:bookmarkEnd w:id="202"/>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SE</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13-Jan-2010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11156979.4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2380985</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01-Jan-2014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7109353.8</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23-Sep-2004</w:t>
            </w: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1842920</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13-Jan-2010</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11/516,229</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06-Sep-2006</w:t>
            </w: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7,524,665</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28-Apr-2009</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14/490,244</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18-Sep-2014</w:t>
            </w:r>
          </w:p>
        </w:tc>
        <w:tc>
          <w:tcPr>
            <w:tcW w:w="12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11/699,930</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30-Jan-2007</w:t>
            </w: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7,482,141</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27-Jan-2009</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CIP</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11/787,072</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13-Apr-2007</w:t>
            </w:r>
          </w:p>
        </w:tc>
        <w:tc>
          <w:tcPr>
            <w:tcW w:w="8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7,645,602</w:t>
            </w:r>
          </w:p>
        </w:tc>
        <w:tc>
          <w:tcPr>
            <w:tcW w:w="11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12-Jan-2010</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16/020,731</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27-Jun-2018</w:t>
            </w:r>
          </w:p>
        </w:tc>
        <w:tc>
          <w:tcPr>
            <w:tcW w:w="12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295"/>
        </w:trPr>
        <w:tc>
          <w:tcPr>
            <w:tcW w:w="12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9"/>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6160" w:type="dxa"/>
            <w:vAlign w:val="bottom"/>
            <w:gridSpan w:val="9"/>
          </w:tcPr>
          <w:p>
            <w:pPr>
              <w:ind w:left="100"/>
              <w:spacing w:after="0"/>
              <w:rPr>
                <w:sz w:val="20"/>
                <w:szCs w:val="20"/>
                <w:color w:val="auto"/>
              </w:rPr>
            </w:pPr>
            <w:r>
              <w:rPr>
                <w:rFonts w:ascii="Arial" w:cs="Arial" w:eastAsia="Arial" w:hAnsi="Arial"/>
                <w:sz w:val="13"/>
                <w:szCs w:val="13"/>
                <w:b w:val="1"/>
                <w:bCs w:val="1"/>
                <w:color w:val="auto"/>
              </w:rPr>
              <w:t>METHODS AND COMPOSITIONS FOR PRODUCING ACTIVE VITAMIN K-DEPENDENT PROTEINS</w:t>
            </w:r>
          </w:p>
        </w:tc>
        <w:tc>
          <w:tcPr>
            <w:tcW w:w="2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0" w:type="dxa"/>
            <w:vAlign w:val="bottom"/>
            <w:tcBorders>
              <w:bottom w:val="single" w:sz="8" w:color="auto"/>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gridSpan w:val="2"/>
          </w:tcPr>
          <w:p>
            <w:pPr>
              <w:ind w:left="580"/>
              <w:spacing w:after="0"/>
              <w:rPr>
                <w:sz w:val="20"/>
                <w:szCs w:val="20"/>
                <w:color w:val="auto"/>
              </w:rPr>
            </w:pPr>
            <w:r>
              <w:rPr>
                <w:rFonts w:ascii="Arial" w:cs="Arial" w:eastAsia="Arial" w:hAnsi="Arial"/>
                <w:sz w:val="13"/>
                <w:szCs w:val="13"/>
                <w:b w:val="1"/>
                <w:bCs w:val="1"/>
                <w:color w:val="auto"/>
              </w:rPr>
              <w:t>APVO.40905</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93"/>
              </w:rPr>
              <w:t>Subcase</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Case Type</w:t>
            </w:r>
          </w:p>
        </w:tc>
        <w:tc>
          <w:tcPr>
            <w:tcW w:w="11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1"/>
              </w:rPr>
              <w:t>Application Status</w:t>
            </w:r>
          </w:p>
        </w:tc>
        <w:tc>
          <w:tcPr>
            <w:tcW w:w="1240" w:type="dxa"/>
            <w:vAlign w:val="bottom"/>
          </w:tcPr>
          <w:p>
            <w:pPr>
              <w:ind w:left="120"/>
              <w:spacing w:after="0"/>
              <w:rPr>
                <w:sz w:val="20"/>
                <w:szCs w:val="20"/>
                <w:color w:val="auto"/>
              </w:rPr>
            </w:pPr>
            <w:r>
              <w:rPr>
                <w:rFonts w:ascii="Arial" w:cs="Arial" w:eastAsia="Arial" w:hAnsi="Arial"/>
                <w:sz w:val="13"/>
                <w:szCs w:val="13"/>
                <w:b w:val="1"/>
                <w:bCs w:val="1"/>
                <w:color w:val="auto"/>
                <w:w w:val="87"/>
              </w:rPr>
              <w:t>Application Number</w:t>
            </w:r>
          </w:p>
        </w:tc>
        <w:tc>
          <w:tcPr>
            <w:tcW w:w="160" w:type="dxa"/>
            <w:vAlign w:val="bottom"/>
            <w:tcBorders>
              <w:right w:val="single" w:sz="8" w:color="auto"/>
            </w:tcBorders>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3"/>
                <w:szCs w:val="13"/>
                <w:b w:val="1"/>
                <w:bCs w:val="1"/>
                <w:color w:val="auto"/>
                <w:w w:val="87"/>
              </w:rPr>
              <w:t>Filing Date</w:t>
            </w:r>
          </w:p>
        </w:tc>
        <w:tc>
          <w:tcPr>
            <w:tcW w:w="1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Pr>
          <w:p>
            <w:pPr>
              <w:spacing w:after="0"/>
              <w:rPr>
                <w:sz w:val="20"/>
                <w:szCs w:val="20"/>
                <w:color w:val="auto"/>
              </w:rPr>
            </w:pPr>
            <w:r>
              <w:rPr>
                <w:rFonts w:ascii="Arial" w:cs="Arial" w:eastAsia="Arial" w:hAnsi="Arial"/>
                <w:sz w:val="13"/>
                <w:szCs w:val="13"/>
                <w:color w:val="auto"/>
              </w:rPr>
              <w:t>2601574</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1"/>
              </w:rPr>
              <w:t>15-Mar-2005</w:t>
            </w:r>
          </w:p>
        </w:tc>
        <w:tc>
          <w:tcPr>
            <w:tcW w:w="12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2601574</w:t>
            </w:r>
          </w:p>
        </w:tc>
        <w:tc>
          <w:tcPr>
            <w:tcW w:w="2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02-Dec-2014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jc w:val="right"/>
              <w:ind w:right="50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240" w:type="dxa"/>
            <w:vAlign w:val="bottom"/>
          </w:tcPr>
          <w:p>
            <w:pPr>
              <w:spacing w:after="0"/>
              <w:rPr>
                <w:sz w:val="20"/>
                <w:szCs w:val="20"/>
                <w:color w:val="auto"/>
              </w:rPr>
            </w:pPr>
            <w:r>
              <w:rPr>
                <w:rFonts w:ascii="Arial" w:cs="Arial" w:eastAsia="Arial" w:hAnsi="Arial"/>
                <w:sz w:val="13"/>
                <w:szCs w:val="13"/>
                <w:color w:val="auto"/>
              </w:rPr>
              <w:t>12/612,154</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0"/>
              </w:rPr>
              <w:t>04-Nov-2009</w:t>
            </w:r>
          </w:p>
        </w:tc>
        <w:tc>
          <w:tcPr>
            <w:tcW w:w="12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8,603,823</w:t>
            </w:r>
          </w:p>
        </w:tc>
        <w:tc>
          <w:tcPr>
            <w:tcW w:w="2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10-Dec-2013</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jc w:val="right"/>
              <w:ind w:right="502"/>
              <w:spacing w:after="0"/>
              <w:rPr>
                <w:sz w:val="20"/>
                <w:szCs w:val="20"/>
                <w:color w:val="auto"/>
              </w:rPr>
            </w:pPr>
            <w:r>
              <w:rPr>
                <w:rFonts w:ascii="Arial" w:cs="Arial" w:eastAsia="Arial" w:hAnsi="Arial"/>
                <w:sz w:val="10"/>
                <w:szCs w:val="10"/>
                <w:color w:val="auto"/>
                <w:w w:val="71"/>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240" w:type="dxa"/>
            <w:vAlign w:val="bottom"/>
          </w:tcPr>
          <w:p>
            <w:pPr>
              <w:spacing w:after="0"/>
              <w:rPr>
                <w:sz w:val="20"/>
                <w:szCs w:val="20"/>
                <w:color w:val="auto"/>
              </w:rPr>
            </w:pPr>
            <w:r>
              <w:rPr>
                <w:rFonts w:ascii="Arial" w:cs="Arial" w:eastAsia="Arial" w:hAnsi="Arial"/>
                <w:sz w:val="13"/>
                <w:szCs w:val="13"/>
                <w:color w:val="auto"/>
              </w:rPr>
              <w:t>14/496,801</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0"/>
              </w:rPr>
              <w:t>25-Sep-2014</w:t>
            </w:r>
          </w:p>
        </w:tc>
        <w:tc>
          <w:tcPr>
            <w:tcW w:w="120" w:type="dxa"/>
            <w:vAlign w:val="bottom"/>
            <w:tcBorders>
              <w:right w:val="single" w:sz="8" w:color="auto"/>
            </w:tcBorders>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color w:val="auto"/>
              </w:rPr>
              <w:t>9,828,588</w:t>
            </w:r>
          </w:p>
        </w:tc>
        <w:tc>
          <w:tcPr>
            <w:tcW w:w="2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28-Nov-2017</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jc w:val="right"/>
              <w:ind w:right="502"/>
              <w:spacing w:after="0"/>
              <w:rPr>
                <w:sz w:val="20"/>
                <w:szCs w:val="20"/>
                <w:color w:val="auto"/>
              </w:rPr>
            </w:pPr>
            <w:r>
              <w:rPr>
                <w:rFonts w:ascii="Arial" w:cs="Arial" w:eastAsia="Arial" w:hAnsi="Arial"/>
                <w:sz w:val="10"/>
                <w:szCs w:val="10"/>
                <w:color w:val="auto"/>
                <w:w w:val="71"/>
              </w:rPr>
              <w:t>3</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240" w:type="dxa"/>
            <w:vAlign w:val="bottom"/>
          </w:tcPr>
          <w:p>
            <w:pPr>
              <w:spacing w:after="0"/>
              <w:rPr>
                <w:sz w:val="20"/>
                <w:szCs w:val="20"/>
                <w:color w:val="auto"/>
              </w:rPr>
            </w:pPr>
            <w:r>
              <w:rPr>
                <w:rFonts w:ascii="Arial" w:cs="Arial" w:eastAsia="Arial" w:hAnsi="Arial"/>
                <w:sz w:val="13"/>
                <w:szCs w:val="13"/>
                <w:color w:val="auto"/>
              </w:rPr>
              <w:t>15/794,788</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w w:val="94"/>
              </w:rPr>
              <w:t>26-Oct-2017</w:t>
            </w:r>
          </w:p>
        </w:tc>
        <w:tc>
          <w:tcPr>
            <w:tcW w:w="1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APVO.40905</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jc w:val="right"/>
              <w:ind w:right="502"/>
              <w:spacing w:after="0"/>
              <w:rPr>
                <w:sz w:val="20"/>
                <w:szCs w:val="20"/>
                <w:color w:val="auto"/>
              </w:rPr>
            </w:pPr>
            <w:r>
              <w:rPr>
                <w:rFonts w:ascii="Arial" w:cs="Arial" w:eastAsia="Arial" w:hAnsi="Arial"/>
                <w:sz w:val="10"/>
                <w:szCs w:val="10"/>
                <w:color w:val="auto"/>
                <w:w w:val="71"/>
              </w:rPr>
              <w:t>4</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240" w:type="dxa"/>
            <w:vAlign w:val="bottom"/>
          </w:tcPr>
          <w:p>
            <w:pPr>
              <w:spacing w:after="0"/>
              <w:rPr>
                <w:sz w:val="20"/>
                <w:szCs w:val="20"/>
                <w:color w:val="auto"/>
              </w:rPr>
            </w:pPr>
            <w:r>
              <w:rPr>
                <w:rFonts w:ascii="Arial" w:cs="Arial" w:eastAsia="Arial" w:hAnsi="Arial"/>
                <w:sz w:val="13"/>
                <w:szCs w:val="13"/>
                <w:color w:val="auto"/>
              </w:rPr>
              <w:t>16/001,476</w:t>
            </w:r>
          </w:p>
        </w:tc>
        <w:tc>
          <w:tcPr>
            <w:tcW w:w="160" w:type="dxa"/>
            <w:vAlign w:val="bottom"/>
            <w:tcBorders>
              <w:right w:val="single" w:sz="8" w:color="auto"/>
            </w:tcBorders>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3"/>
                <w:szCs w:val="13"/>
                <w:color w:val="auto"/>
              </w:rPr>
              <w:t>6-Jun-2018</w:t>
            </w:r>
          </w:p>
        </w:tc>
        <w:tc>
          <w:tcPr>
            <w:tcW w:w="12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03" w:name="page204"/>
    <w:bookmarkEnd w:id="203"/>
    <w:p>
      <w:pPr>
        <w:jc w:val="center"/>
        <w:ind w:right="1379"/>
        <w:spacing w:after="0"/>
        <w:rPr>
          <w:sz w:val="20"/>
          <w:szCs w:val="20"/>
          <w:color w:val="auto"/>
        </w:rPr>
      </w:pPr>
      <w:r>
        <w:rPr>
          <w:rFonts w:ascii="Arial" w:cs="Arial" w:eastAsia="Arial" w:hAnsi="Arial"/>
          <w:sz w:val="13"/>
          <w:szCs w:val="13"/>
          <w:b w:val="1"/>
          <w:bCs w:val="1"/>
          <w:color w:val="auto"/>
        </w:rPr>
        <w:t>BINDING DOMAIN-IMMUNOGLOBULIN FUSION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25440" cy="3703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25440" cy="3703955"/>
                    </a:xfrm>
                    <a:prstGeom prst="rect">
                      <a:avLst/>
                    </a:prstGeom>
                    <a:noFill/>
                  </pic:spPr>
                </pic:pic>
              </a:graphicData>
            </a:graphic>
          </wp:anchor>
        </w:drawing>
      </w:r>
    </w:p>
    <w:p>
      <w:pPr>
        <w:spacing w:after="0" w:line="126"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EPDS.80011a</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12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89"/>
              </w:rPr>
              <w:t>Subcase</w:t>
            </w:r>
          </w:p>
        </w:tc>
        <w:tc>
          <w:tcPr>
            <w:tcW w:w="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Case Type</w:t>
            </w:r>
          </w:p>
        </w:tc>
        <w:tc>
          <w:tcPr>
            <w:tcW w:w="1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6"/>
              </w:rPr>
              <w:t>Application Status</w:t>
            </w:r>
          </w:p>
        </w:tc>
        <w:tc>
          <w:tcPr>
            <w:tcW w:w="13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8"/>
              </w:rPr>
              <w:t>Application Number</w:t>
            </w:r>
          </w:p>
        </w:tc>
        <w:tc>
          <w:tcPr>
            <w:tcW w:w="8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1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9"/>
              </w:rPr>
              <w:t>Patent Number</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140"/>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2002241922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2002241922</w:t>
            </w:r>
          </w:p>
        </w:tc>
        <w:tc>
          <w:tcPr>
            <w:tcW w:w="780" w:type="dxa"/>
            <w:vAlign w:val="bottom"/>
          </w:tcPr>
          <w:p>
            <w:pPr>
              <w:jc w:val="right"/>
              <w:spacing w:after="0"/>
              <w:rPr>
                <w:sz w:val="20"/>
                <w:szCs w:val="20"/>
                <w:color w:val="auto"/>
              </w:rPr>
            </w:pPr>
            <w:r>
              <w:rPr>
                <w:rFonts w:ascii="Arial" w:cs="Arial" w:eastAsia="Arial" w:hAnsi="Arial"/>
                <w:sz w:val="13"/>
                <w:szCs w:val="13"/>
                <w:color w:val="auto"/>
                <w:w w:val="99"/>
              </w:rPr>
              <w:t>07-Feb-2008</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2008200400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2008200400</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20-Sep-2012</w:t>
            </w:r>
          </w:p>
        </w:tc>
        <w:tc>
          <w:tcPr>
            <w:tcW w:w="0" w:type="dxa"/>
            <w:vAlign w:val="bottom"/>
          </w:tcPr>
          <w:p>
            <w:pPr>
              <w:spacing w:after="0"/>
              <w:rPr>
                <w:sz w:val="1"/>
                <w:szCs w:val="1"/>
                <w:color w:val="auto"/>
              </w:rPr>
            </w:pPr>
          </w:p>
        </w:tc>
      </w:tr>
      <w:tr>
        <w:trPr>
          <w:trHeight w:val="154"/>
        </w:trPr>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2433877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2433877</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18-Nov-2014</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02803820.7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ZL02803820.7</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09-Aug-2006</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CN</w:t>
            </w:r>
          </w:p>
        </w:tc>
        <w:tc>
          <w:tcPr>
            <w:tcW w:w="6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DIV</w:t>
            </w: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200610093692.4</w:t>
            </w:r>
          </w:p>
        </w:tc>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4"/>
              </w:rPr>
              <w:t>ZL200610093692.</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w w:val="96"/>
              </w:rPr>
              <w:t>29-May-2013</w:t>
            </w:r>
          </w:p>
        </w:tc>
        <w:tc>
          <w:tcPr>
            <w:tcW w:w="0" w:type="dxa"/>
            <w:vAlign w:val="bottom"/>
          </w:tcPr>
          <w:p>
            <w:pPr>
              <w:spacing w:after="0"/>
              <w:rPr>
                <w:sz w:val="1"/>
                <w:szCs w:val="1"/>
                <w:color w:val="auto"/>
              </w:rPr>
            </w:pPr>
          </w:p>
        </w:tc>
      </w:tr>
      <w:tr>
        <w:trPr>
          <w:trHeight w:val="85"/>
        </w:trPr>
        <w:tc>
          <w:tcPr>
            <w:tcW w:w="122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6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38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4</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20" w:type="dxa"/>
            <w:vAlign w:val="bottom"/>
            <w:tcBorders>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38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10-2003-7009474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10-0927261</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10-Nov-2009</w:t>
            </w:r>
          </w:p>
        </w:tc>
        <w:tc>
          <w:tcPr>
            <w:tcW w:w="0" w:type="dxa"/>
            <w:vAlign w:val="bottom"/>
          </w:tcPr>
          <w:p>
            <w:pPr>
              <w:spacing w:after="0"/>
              <w:rPr>
                <w:sz w:val="1"/>
                <w:szCs w:val="1"/>
                <w:color w:val="auto"/>
              </w:rPr>
            </w:pPr>
          </w:p>
        </w:tc>
      </w:tr>
      <w:tr>
        <w:trPr>
          <w:trHeight w:val="154"/>
        </w:trPr>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PA/a/2003/006358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282451</w:t>
            </w:r>
          </w:p>
        </w:tc>
        <w:tc>
          <w:tcPr>
            <w:tcW w:w="780" w:type="dxa"/>
            <w:vAlign w:val="bottom"/>
          </w:tcPr>
          <w:p>
            <w:pPr>
              <w:jc w:val="right"/>
              <w:spacing w:after="0"/>
              <w:rPr>
                <w:sz w:val="20"/>
                <w:szCs w:val="20"/>
                <w:color w:val="auto"/>
              </w:rPr>
            </w:pPr>
            <w:r>
              <w:rPr>
                <w:rFonts w:ascii="Arial" w:cs="Arial" w:eastAsia="Arial" w:hAnsi="Arial"/>
                <w:sz w:val="13"/>
                <w:szCs w:val="13"/>
                <w:color w:val="auto"/>
              </w:rPr>
              <w:t>05-Jan-2011</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MX/a/2011/000016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303607</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21-Sep-2012</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527591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527591</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10-Aug-2006</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2003125266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2420537</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28-Nov-2011</w:t>
            </w:r>
          </w:p>
        </w:tc>
        <w:tc>
          <w:tcPr>
            <w:tcW w:w="0" w:type="dxa"/>
            <w:vAlign w:val="bottom"/>
          </w:tcPr>
          <w:p>
            <w:pPr>
              <w:spacing w:after="0"/>
              <w:rPr>
                <w:sz w:val="1"/>
                <w:szCs w:val="1"/>
                <w:color w:val="auto"/>
              </w:rPr>
            </w:pPr>
          </w:p>
        </w:tc>
      </w:tr>
      <w:tr>
        <w:trPr>
          <w:trHeight w:val="154"/>
        </w:trPr>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11/088,693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23-Mar-2005</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8,106,161</w:t>
            </w:r>
          </w:p>
        </w:tc>
        <w:tc>
          <w:tcPr>
            <w:tcW w:w="780" w:type="dxa"/>
            <w:vAlign w:val="bottom"/>
          </w:tcPr>
          <w:p>
            <w:pPr>
              <w:jc w:val="right"/>
              <w:spacing w:after="0"/>
              <w:rPr>
                <w:sz w:val="20"/>
                <w:szCs w:val="20"/>
                <w:color w:val="auto"/>
              </w:rPr>
            </w:pPr>
            <w:r>
              <w:rPr>
                <w:rFonts w:ascii="Arial" w:cs="Arial" w:eastAsia="Arial" w:hAnsi="Arial"/>
                <w:sz w:val="13"/>
                <w:szCs w:val="13"/>
                <w:color w:val="auto"/>
              </w:rPr>
              <w:t>31-Jan-2012</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12/901,297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08-Oct-2010</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8,197,810</w:t>
            </w:r>
          </w:p>
        </w:tc>
        <w:tc>
          <w:tcPr>
            <w:tcW w:w="780" w:type="dxa"/>
            <w:vAlign w:val="bottom"/>
          </w:tcPr>
          <w:p>
            <w:pPr>
              <w:jc w:val="right"/>
              <w:spacing w:after="0"/>
              <w:rPr>
                <w:sz w:val="20"/>
                <w:szCs w:val="20"/>
                <w:color w:val="auto"/>
              </w:rPr>
            </w:pPr>
            <w:r>
              <w:rPr>
                <w:rFonts w:ascii="Arial" w:cs="Arial" w:eastAsia="Arial" w:hAnsi="Arial"/>
                <w:sz w:val="13"/>
                <w:szCs w:val="13"/>
                <w:color w:val="auto"/>
              </w:rPr>
              <w:t>12-Jun-2012</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13/451,641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9,005,612</w:t>
            </w:r>
          </w:p>
        </w:tc>
        <w:tc>
          <w:tcPr>
            <w:tcW w:w="780" w:type="dxa"/>
            <w:vAlign w:val="bottom"/>
          </w:tcPr>
          <w:p>
            <w:pPr>
              <w:jc w:val="right"/>
              <w:spacing w:after="0"/>
              <w:rPr>
                <w:sz w:val="20"/>
                <w:szCs w:val="20"/>
                <w:color w:val="auto"/>
              </w:rPr>
            </w:pPr>
            <w:r>
              <w:rPr>
                <w:rFonts w:ascii="Arial" w:cs="Arial" w:eastAsia="Arial" w:hAnsi="Arial"/>
                <w:sz w:val="13"/>
                <w:szCs w:val="13"/>
                <w:color w:val="auto"/>
              </w:rPr>
              <w:t>14-Apr-2015</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12/901,295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08-Oct-2010</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8,188,237</w:t>
            </w:r>
          </w:p>
        </w:tc>
        <w:tc>
          <w:tcPr>
            <w:tcW w:w="780" w:type="dxa"/>
            <w:vAlign w:val="bottom"/>
          </w:tcPr>
          <w:p>
            <w:pPr>
              <w:jc w:val="right"/>
              <w:spacing w:after="0"/>
              <w:rPr>
                <w:sz w:val="20"/>
                <w:szCs w:val="20"/>
                <w:color w:val="auto"/>
              </w:rPr>
            </w:pPr>
            <w:r>
              <w:rPr>
                <w:rFonts w:ascii="Arial" w:cs="Arial" w:eastAsia="Arial" w:hAnsi="Arial"/>
                <w:sz w:val="13"/>
                <w:szCs w:val="13"/>
                <w:color w:val="auto"/>
                <w:w w:val="96"/>
              </w:rPr>
              <w:t>29-May-2012</w:t>
            </w:r>
          </w:p>
        </w:tc>
        <w:tc>
          <w:tcPr>
            <w:tcW w:w="0" w:type="dxa"/>
            <w:vAlign w:val="bottom"/>
          </w:tcPr>
          <w:p>
            <w:pPr>
              <w:spacing w:after="0"/>
              <w:rPr>
                <w:sz w:val="1"/>
                <w:szCs w:val="1"/>
                <w:color w:val="auto"/>
              </w:rPr>
            </w:pPr>
          </w:p>
        </w:tc>
      </w:tr>
      <w:tr>
        <w:trPr>
          <w:trHeight w:val="154"/>
        </w:trPr>
        <w:tc>
          <w:tcPr>
            <w:tcW w:w="122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2003/05098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17-Jan-2002</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2003/05098</w:t>
            </w:r>
          </w:p>
        </w:tc>
        <w:tc>
          <w:tcPr>
            <w:tcW w:w="780" w:type="dxa"/>
            <w:vAlign w:val="bottom"/>
          </w:tcPr>
          <w:p>
            <w:pPr>
              <w:jc w:val="right"/>
              <w:spacing w:after="0"/>
              <w:rPr>
                <w:sz w:val="20"/>
                <w:szCs w:val="20"/>
                <w:color w:val="auto"/>
              </w:rPr>
            </w:pPr>
            <w:r>
              <w:rPr>
                <w:rFonts w:ascii="Arial" w:cs="Arial" w:eastAsia="Arial" w:hAnsi="Arial"/>
                <w:sz w:val="13"/>
                <w:szCs w:val="13"/>
                <w:color w:val="auto"/>
                <w:w w:val="98"/>
              </w:rPr>
              <w:t>29-Dec-2004</w:t>
            </w:r>
          </w:p>
        </w:tc>
        <w:tc>
          <w:tcPr>
            <w:tcW w:w="0" w:type="dxa"/>
            <w:vAlign w:val="bottom"/>
          </w:tcPr>
          <w:p>
            <w:pPr>
              <w:spacing w:after="0"/>
              <w:rPr>
                <w:sz w:val="1"/>
                <w:szCs w:val="1"/>
                <w:color w:val="auto"/>
              </w:rPr>
            </w:pPr>
          </w:p>
        </w:tc>
      </w:tr>
      <w:tr>
        <w:trPr>
          <w:trHeight w:val="144"/>
        </w:trPr>
        <w:tc>
          <w:tcPr>
            <w:tcW w:w="12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8" w:right="1440" w:bottom="1440" w:gutter="0" w:footer="0" w:header="0"/>
        </w:sectPr>
      </w:pPr>
    </w:p>
    <w:bookmarkStart w:id="204" w:name="page205"/>
    <w:bookmarkEnd w:id="204"/>
    <w:p>
      <w:pPr>
        <w:ind w:left="2600"/>
        <w:spacing w:after="0"/>
        <w:rPr>
          <w:sz w:val="20"/>
          <w:szCs w:val="20"/>
          <w:color w:val="auto"/>
        </w:rPr>
      </w:pPr>
      <w:r>
        <w:rPr>
          <w:rFonts w:ascii="Arial" w:cs="Arial" w:eastAsia="Arial" w:hAnsi="Arial"/>
          <w:sz w:val="13"/>
          <w:szCs w:val="13"/>
          <w:b w:val="1"/>
          <w:bCs w:val="1"/>
          <w:color w:val="auto"/>
        </w:rPr>
        <w:t>BINDING CONSTRUCTS AND METHODS FOR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25440" cy="11880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25440" cy="1188085"/>
                    </a:xfrm>
                    <a:prstGeom prst="rect">
                      <a:avLst/>
                    </a:prstGeom>
                    <a:noFill/>
                  </pic:spPr>
                </pic:pic>
              </a:graphicData>
            </a:graphic>
          </wp:anchor>
        </w:drawing>
      </w:r>
    </w:p>
    <w:p>
      <w:pPr>
        <w:spacing w:after="0" w:line="126" w:lineRule="exact"/>
        <w:rPr>
          <w:sz w:val="20"/>
          <w:szCs w:val="20"/>
          <w:color w:val="auto"/>
        </w:rPr>
      </w:pPr>
    </w:p>
    <w:p>
      <w:pPr>
        <w:ind w:left="3480"/>
        <w:spacing w:after="0"/>
        <w:rPr>
          <w:sz w:val="20"/>
          <w:szCs w:val="20"/>
          <w:color w:val="auto"/>
        </w:rPr>
      </w:pPr>
      <w:r>
        <w:rPr>
          <w:rFonts w:ascii="Arial" w:cs="Arial" w:eastAsia="Arial" w:hAnsi="Arial"/>
          <w:sz w:val="13"/>
          <w:szCs w:val="13"/>
          <w:b w:val="1"/>
          <w:bCs w:val="1"/>
          <w:color w:val="auto"/>
        </w:rPr>
        <w:t>APVO.80011c</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1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3"/>
              </w:rPr>
              <w:t>Subcase</w:t>
            </w:r>
          </w:p>
        </w:tc>
        <w:tc>
          <w:tcPr>
            <w:tcW w:w="7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Case Type</w:t>
            </w:r>
          </w:p>
        </w:tc>
        <w:tc>
          <w:tcPr>
            <w:tcW w:w="136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Application Status</w:t>
            </w:r>
          </w:p>
        </w:tc>
        <w:tc>
          <w:tcPr>
            <w:tcW w:w="13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APVO.80011c</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200600553-2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24-Dec-2003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119455</w:t>
            </w:r>
          </w:p>
        </w:tc>
        <w:tc>
          <w:tcPr>
            <w:tcW w:w="920" w:type="dxa"/>
            <w:vAlign w:val="bottom"/>
          </w:tcPr>
          <w:p>
            <w:pPr>
              <w:spacing w:after="0"/>
              <w:rPr>
                <w:sz w:val="20"/>
                <w:szCs w:val="20"/>
                <w:color w:val="auto"/>
              </w:rPr>
            </w:pPr>
            <w:r>
              <w:rPr>
                <w:rFonts w:ascii="Arial" w:cs="Arial" w:eastAsia="Arial" w:hAnsi="Arial"/>
                <w:sz w:val="13"/>
                <w:szCs w:val="13"/>
                <w:color w:val="auto"/>
              </w:rPr>
              <w:t>29-Feb-2008</w:t>
            </w: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APVO.80011c</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PRI</w:t>
            </w:r>
          </w:p>
        </w:tc>
        <w:tc>
          <w:tcPr>
            <w:tcW w:w="1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10/627,556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26-Jul-2003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7829084</w:t>
            </w:r>
          </w:p>
        </w:tc>
        <w:tc>
          <w:tcPr>
            <w:tcW w:w="920" w:type="dxa"/>
            <w:vAlign w:val="bottom"/>
          </w:tcPr>
          <w:p>
            <w:pPr>
              <w:spacing w:after="0"/>
              <w:rPr>
                <w:sz w:val="20"/>
                <w:szCs w:val="20"/>
                <w:color w:val="auto"/>
              </w:rPr>
            </w:pPr>
            <w:r>
              <w:rPr>
                <w:rFonts w:ascii="Arial" w:cs="Arial" w:eastAsia="Arial" w:hAnsi="Arial"/>
                <w:sz w:val="13"/>
                <w:szCs w:val="13"/>
                <w:color w:val="auto"/>
              </w:rPr>
              <w:t>09-Nov-2010</w:t>
            </w:r>
          </w:p>
        </w:tc>
      </w:tr>
      <w:tr>
        <w:trPr>
          <w:trHeight w:val="154"/>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APVO.80011c</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0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2006/01653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24-Dec-2003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2006/01653</w:t>
            </w:r>
          </w:p>
        </w:tc>
        <w:tc>
          <w:tcPr>
            <w:tcW w:w="920" w:type="dxa"/>
            <w:vAlign w:val="bottom"/>
          </w:tcPr>
          <w:p>
            <w:pPr>
              <w:spacing w:after="0"/>
              <w:rPr>
                <w:sz w:val="20"/>
                <w:szCs w:val="20"/>
                <w:color w:val="auto"/>
              </w:rPr>
            </w:pPr>
            <w:r>
              <w:rPr>
                <w:rFonts w:ascii="Arial" w:cs="Arial" w:eastAsia="Arial" w:hAnsi="Arial"/>
                <w:sz w:val="13"/>
                <w:szCs w:val="13"/>
                <w:color w:val="auto"/>
              </w:rPr>
              <w:t>30-May-2007</w:t>
            </w: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bl>
    <w:p>
      <w:pPr>
        <w:spacing w:after="0" w:line="293" w:lineRule="exact"/>
        <w:rPr>
          <w:sz w:val="20"/>
          <w:szCs w:val="20"/>
          <w:color w:val="auto"/>
        </w:rPr>
      </w:pPr>
    </w:p>
    <w:p>
      <w:pPr>
        <w:jc w:val="center"/>
        <w:ind w:right="1379"/>
        <w:spacing w:after="0"/>
        <w:rPr>
          <w:sz w:val="20"/>
          <w:szCs w:val="20"/>
          <w:color w:val="auto"/>
        </w:rPr>
      </w:pPr>
      <w:r>
        <w:rPr>
          <w:rFonts w:ascii="Arial" w:cs="Arial" w:eastAsia="Arial" w:hAnsi="Arial"/>
          <w:sz w:val="13"/>
          <w:szCs w:val="13"/>
          <w:b w:val="1"/>
          <w:bCs w:val="1"/>
          <w:color w:val="auto"/>
        </w:rPr>
        <w:t>BINDING CONSTRUCTS AND METHODS FOR USE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25440" cy="9880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25440" cy="988060"/>
                    </a:xfrm>
                    <a:prstGeom prst="rect">
                      <a:avLst/>
                    </a:prstGeom>
                    <a:noFill/>
                  </pic:spPr>
                </pic:pic>
              </a:graphicData>
            </a:graphic>
          </wp:anchor>
        </w:drawing>
      </w:r>
    </w:p>
    <w:p>
      <w:pPr>
        <w:spacing w:after="0" w:line="12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APVO.80011b</w:t>
      </w:r>
    </w:p>
    <w:p>
      <w:pPr>
        <w:spacing w:after="0" w:line="139" w:lineRule="exact"/>
        <w:rPr>
          <w:sz w:val="20"/>
          <w:szCs w:val="20"/>
          <w:color w:val="auto"/>
        </w:rPr>
      </w:pPr>
    </w:p>
    <w:tbl>
      <w:tblPr>
        <w:tblLayout w:type="fixed"/>
        <w:tblInd w:w="150" w:type="dxa"/>
        <w:tblCellMar>
          <w:top w:w="0" w:type="dxa"/>
          <w:left w:w="0" w:type="dxa"/>
          <w:bottom w:w="0" w:type="dxa"/>
          <w:right w:w="0" w:type="dxa"/>
        </w:tblCellMar>
      </w:tblPr>
      <w:tr>
        <w:trPr>
          <w:trHeight w:val="175"/>
        </w:trPr>
        <w:tc>
          <w:tcPr>
            <w:tcW w:w="1200" w:type="dxa"/>
            <w:vAlign w:val="bottom"/>
            <w:tcBorders>
              <w:top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40" w:type="dxa"/>
            <w:vAlign w:val="bottom"/>
            <w:tcBorders>
              <w:top w:val="single" w:sz="8" w:color="auto"/>
              <w:right w:val="single" w:sz="8" w:color="auto"/>
            </w:tcBorders>
          </w:tcPr>
          <w:p>
            <w:pPr>
              <w:spacing w:after="0"/>
              <w:rPr>
                <w:sz w:val="15"/>
                <w:szCs w:val="15"/>
                <w:color w:val="auto"/>
              </w:rPr>
            </w:pPr>
          </w:p>
        </w:tc>
        <w:tc>
          <w:tcPr>
            <w:tcW w:w="64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Country</w:t>
            </w:r>
          </w:p>
        </w:tc>
        <w:tc>
          <w:tcPr>
            <w:tcW w:w="5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85"/>
              </w:rPr>
              <w:t>Subcase</w:t>
            </w:r>
          </w:p>
        </w:tc>
        <w:tc>
          <w:tcPr>
            <w:tcW w:w="7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Case Type</w:t>
            </w:r>
          </w:p>
        </w:tc>
        <w:tc>
          <w:tcPr>
            <w:tcW w:w="40" w:type="dxa"/>
            <w:vAlign w:val="bottom"/>
            <w:tcBorders>
              <w:top w:val="single" w:sz="8" w:color="auto"/>
            </w:tcBorders>
          </w:tcPr>
          <w:p>
            <w:pPr>
              <w:spacing w:after="0"/>
              <w:rPr>
                <w:sz w:val="15"/>
                <w:szCs w:val="15"/>
                <w:color w:val="auto"/>
              </w:rPr>
            </w:pPr>
          </w:p>
        </w:tc>
        <w:tc>
          <w:tcPr>
            <w:tcW w:w="13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Application Status</w:t>
            </w:r>
          </w:p>
        </w:tc>
        <w:tc>
          <w:tcPr>
            <w:tcW w:w="13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top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51"/>
        </w:trPr>
        <w:tc>
          <w:tcPr>
            <w:tcW w:w="1200" w:type="dxa"/>
            <w:vAlign w:val="bottom"/>
          </w:tcPr>
          <w:p>
            <w:pPr>
              <w:ind w:left="20"/>
              <w:spacing w:after="0"/>
              <w:rPr>
                <w:sz w:val="20"/>
                <w:szCs w:val="20"/>
                <w:color w:val="auto"/>
              </w:rPr>
            </w:pPr>
            <w:r>
              <w:rPr>
                <w:rFonts w:ascii="Arial" w:cs="Arial" w:eastAsia="Arial" w:hAnsi="Arial"/>
                <w:sz w:val="13"/>
                <w:szCs w:val="13"/>
                <w:color w:val="auto"/>
              </w:rPr>
              <w:t>APVO.80011b</w:t>
            </w:r>
          </w:p>
        </w:tc>
        <w:tc>
          <w:tcPr>
            <w:tcW w:w="4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US</w:t>
            </w:r>
          </w:p>
        </w:tc>
        <w:tc>
          <w:tcPr>
            <w:tcW w:w="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12/541,062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13-Aug-2009</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8,147,835</w:t>
            </w:r>
          </w:p>
        </w:tc>
        <w:tc>
          <w:tcPr>
            <w:tcW w:w="940" w:type="dxa"/>
            <w:vAlign w:val="bottom"/>
          </w:tcPr>
          <w:p>
            <w:pPr>
              <w:spacing w:after="0"/>
              <w:rPr>
                <w:sz w:val="20"/>
                <w:szCs w:val="20"/>
                <w:color w:val="auto"/>
              </w:rPr>
            </w:pPr>
            <w:r>
              <w:rPr>
                <w:rFonts w:ascii="Arial" w:cs="Arial" w:eastAsia="Arial" w:hAnsi="Arial"/>
                <w:sz w:val="13"/>
                <w:szCs w:val="13"/>
                <w:color w:val="auto"/>
              </w:rPr>
              <w:t>03-Apr-2012</w:t>
            </w:r>
          </w:p>
        </w:tc>
      </w:tr>
      <w:tr>
        <w:trPr>
          <w:trHeight w:val="144"/>
        </w:trPr>
        <w:tc>
          <w:tcPr>
            <w:tcW w:w="12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151"/>
        </w:trPr>
        <w:tc>
          <w:tcPr>
            <w:tcW w:w="1200" w:type="dxa"/>
            <w:vAlign w:val="bottom"/>
          </w:tcPr>
          <w:p>
            <w:pPr>
              <w:ind w:left="20"/>
              <w:spacing w:after="0"/>
              <w:rPr>
                <w:sz w:val="20"/>
                <w:szCs w:val="20"/>
                <w:color w:val="auto"/>
              </w:rPr>
            </w:pPr>
            <w:r>
              <w:rPr>
                <w:rFonts w:ascii="Arial" w:cs="Arial" w:eastAsia="Arial" w:hAnsi="Arial"/>
                <w:sz w:val="13"/>
                <w:szCs w:val="13"/>
                <w:color w:val="auto"/>
              </w:rPr>
              <w:t>APVO.80011b</w:t>
            </w:r>
          </w:p>
        </w:tc>
        <w:tc>
          <w:tcPr>
            <w:tcW w:w="4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US</w:t>
            </w:r>
          </w:p>
        </w:tc>
        <w:tc>
          <w:tcPr>
            <w:tcW w:w="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13/396,147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14-Feb-2012</w:t>
            </w:r>
          </w:p>
        </w:tc>
        <w:tc>
          <w:tcPr>
            <w:tcW w:w="920" w:type="dxa"/>
            <w:vAlign w:val="bottom"/>
            <w:tcBorders>
              <w:right w:val="single" w:sz="8" w:color="auto"/>
            </w:tcBorders>
          </w:tcPr>
          <w:p>
            <w:pPr>
              <w:jc w:val="right"/>
              <w:ind w:right="356"/>
              <w:spacing w:after="0"/>
              <w:rPr>
                <w:sz w:val="20"/>
                <w:szCs w:val="20"/>
                <w:color w:val="auto"/>
              </w:rPr>
            </w:pPr>
            <w:r>
              <w:rPr>
                <w:rFonts w:ascii="Arial" w:cs="Arial" w:eastAsia="Arial" w:hAnsi="Arial"/>
                <w:sz w:val="13"/>
                <w:szCs w:val="13"/>
                <w:color w:val="auto"/>
                <w:w w:val="82"/>
              </w:rPr>
              <w:t>8,853,366</w:t>
            </w:r>
          </w:p>
        </w:tc>
        <w:tc>
          <w:tcPr>
            <w:tcW w:w="940" w:type="dxa"/>
            <w:vAlign w:val="bottom"/>
          </w:tcPr>
          <w:p>
            <w:pPr>
              <w:spacing w:after="0"/>
              <w:rPr>
                <w:sz w:val="20"/>
                <w:szCs w:val="20"/>
                <w:color w:val="auto"/>
              </w:rPr>
            </w:pPr>
            <w:r>
              <w:rPr>
                <w:rFonts w:ascii="Arial" w:cs="Arial" w:eastAsia="Arial" w:hAnsi="Arial"/>
                <w:sz w:val="13"/>
                <w:szCs w:val="13"/>
                <w:color w:val="auto"/>
              </w:rPr>
              <w:t>07-Oct-2014</w:t>
            </w:r>
          </w:p>
        </w:tc>
      </w:tr>
      <w:tr>
        <w:trPr>
          <w:trHeight w:val="154"/>
        </w:trPr>
        <w:tc>
          <w:tcPr>
            <w:tcW w:w="120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95"/>
        </w:trPr>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9"/>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120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380" w:type="dxa"/>
            <w:vAlign w:val="bottom"/>
            <w:gridSpan w:val="9"/>
          </w:tcPr>
          <w:p>
            <w:pPr>
              <w:jc w:val="right"/>
              <w:ind w:right="576"/>
              <w:spacing w:after="0"/>
              <w:rPr>
                <w:sz w:val="20"/>
                <w:szCs w:val="20"/>
                <w:color w:val="auto"/>
              </w:rPr>
            </w:pPr>
            <w:r>
              <w:rPr>
                <w:rFonts w:ascii="Arial" w:cs="Arial" w:eastAsia="Arial" w:hAnsi="Arial"/>
                <w:sz w:val="13"/>
                <w:szCs w:val="13"/>
                <w:b w:val="1"/>
                <w:bCs w:val="1"/>
                <w:color w:val="auto"/>
              </w:rPr>
              <w:t>B-CELL REDUCTION USING CD37-SPECIFIC AND CD20-SPECIFIC BINDING MOLECULES</w:t>
            </w:r>
          </w:p>
        </w:tc>
        <w:tc>
          <w:tcPr>
            <w:tcW w:w="940" w:type="dxa"/>
            <w:vAlign w:val="bottom"/>
            <w:tcBorders>
              <w:right w:val="single" w:sz="8" w:color="auto"/>
            </w:tcBorders>
          </w:tcPr>
          <w:p>
            <w:pPr>
              <w:spacing w:after="0"/>
              <w:rPr>
                <w:sz w:val="13"/>
                <w:szCs w:val="13"/>
                <w:color w:val="auto"/>
              </w:rPr>
            </w:pPr>
          </w:p>
        </w:tc>
      </w:tr>
      <w:tr>
        <w:trPr>
          <w:trHeight w:val="121"/>
        </w:trPr>
        <w:tc>
          <w:tcPr>
            <w:tcW w:w="12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0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ind w:left="580"/>
              <w:spacing w:after="0"/>
              <w:rPr>
                <w:sz w:val="20"/>
                <w:szCs w:val="20"/>
                <w:color w:val="auto"/>
              </w:rPr>
            </w:pPr>
            <w:r>
              <w:rPr>
                <w:rFonts w:ascii="Arial" w:cs="Arial" w:eastAsia="Arial" w:hAnsi="Arial"/>
                <w:sz w:val="13"/>
                <w:szCs w:val="13"/>
                <w:b w:val="1"/>
                <w:bCs w:val="1"/>
                <w:color w:val="auto"/>
                <w:w w:val="93"/>
              </w:rPr>
              <w:t>APVO.80100</w:t>
            </w: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21"/>
        </w:trPr>
        <w:tc>
          <w:tcPr>
            <w:tcW w:w="12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40" w:type="dxa"/>
            <w:vAlign w:val="bottom"/>
          </w:tcPr>
          <w:p>
            <w:pPr>
              <w:spacing w:after="0"/>
              <w:rPr>
                <w:sz w:val="13"/>
                <w:szCs w:val="13"/>
                <w:color w:val="auto"/>
              </w:rPr>
            </w:pPr>
          </w:p>
        </w:tc>
        <w:tc>
          <w:tcPr>
            <w:tcW w:w="60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Country</w:t>
            </w:r>
          </w:p>
        </w:tc>
        <w:tc>
          <w:tcPr>
            <w:tcW w:w="40" w:type="dxa"/>
            <w:vAlign w:val="bottom"/>
          </w:tcPr>
          <w:p>
            <w:pPr>
              <w:spacing w:after="0"/>
              <w:rPr>
                <w:sz w:val="13"/>
                <w:szCs w:val="13"/>
                <w:color w:val="auto"/>
              </w:rPr>
            </w:pPr>
          </w:p>
        </w:tc>
        <w:tc>
          <w:tcPr>
            <w:tcW w:w="5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7"/>
              </w:rPr>
              <w:t>Subcase</w:t>
            </w: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w w:val="92"/>
              </w:rPr>
              <w:t>Case Type</w:t>
            </w:r>
          </w:p>
        </w:tc>
        <w:tc>
          <w:tcPr>
            <w:tcW w:w="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w w:val="99"/>
              </w:rPr>
              <w:t>Application Status</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AE</w:t>
            </w:r>
          </w:p>
        </w:tc>
        <w:tc>
          <w:tcPr>
            <w:tcW w:w="4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73/2008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623" w:right="1440" w:bottom="1440" w:gutter="0" w:footer="0" w:header="0"/>
        </w:sectPr>
      </w:pPr>
    </w:p>
    <w:bookmarkStart w:id="205" w:name="page206"/>
    <w:bookmarkEnd w:id="205"/>
    <w:tbl>
      <w:tblPr>
        <w:tblLayout w:type="fixed"/>
        <w:tblInd w:w="150" w:type="dxa"/>
        <w:tblCellMar>
          <w:top w:w="0" w:type="dxa"/>
          <w:left w:w="0" w:type="dxa"/>
          <w:bottom w:w="0" w:type="dxa"/>
          <w:right w:w="0" w:type="dxa"/>
        </w:tblCellMar>
      </w:tblPr>
      <w:tr>
        <w:trPr>
          <w:trHeight w:val="171"/>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AL</w:t>
            </w:r>
          </w:p>
        </w:tc>
        <w:tc>
          <w:tcPr>
            <w:tcW w:w="6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AL/P/2014/000099</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 E 651839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2006272555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2006272555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21-Jun-2012</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2012203322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2012203322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23-Oct-2014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E01403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BG</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BG</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PI0614184-6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2616395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jc w:val="right"/>
              <w:ind w:right="416"/>
              <w:spacing w:after="0"/>
              <w:rPr>
                <w:sz w:val="20"/>
                <w:szCs w:val="20"/>
                <w:color w:val="auto"/>
              </w:rPr>
            </w:pPr>
            <w:r>
              <w:rPr>
                <w:rFonts w:ascii="Arial" w:cs="Arial" w:eastAsia="Arial" w:hAnsi="Arial"/>
                <w:sz w:val="13"/>
                <w:szCs w:val="13"/>
                <w:color w:val="auto"/>
                <w:w w:val="86"/>
              </w:rPr>
              <w:t>2616395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04-Oct-2016</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80"/>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200680027227.9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5"/>
              </w:rPr>
              <w:t>ZL20068002722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29-Apr-2015</w:t>
            </w:r>
          </w:p>
        </w:tc>
      </w:tr>
      <w:tr>
        <w:trPr>
          <w:trHeight w:val="161"/>
        </w:trPr>
        <w:tc>
          <w:tcPr>
            <w:tcW w:w="120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7.9</w:t>
            </w:r>
          </w:p>
        </w:tc>
        <w:tc>
          <w:tcPr>
            <w:tcW w:w="920" w:type="dxa"/>
            <w:vAlign w:val="bottom"/>
            <w:tcBorders>
              <w:right w:val="single" w:sz="8" w:color="auto"/>
            </w:tcBorders>
          </w:tcPr>
          <w:p>
            <w:pPr>
              <w:spacing w:after="0"/>
              <w:rPr>
                <w:sz w:val="14"/>
                <w:szCs w:val="14"/>
                <w:color w:val="auto"/>
              </w:rPr>
            </w:pPr>
          </w:p>
        </w:tc>
      </w:tr>
      <w:tr>
        <w:trPr>
          <w:trHeight w:val="106"/>
        </w:trPr>
        <w:tc>
          <w:tcPr>
            <w:tcW w:w="1200" w:type="dxa"/>
            <w:vAlign w:val="bottom"/>
            <w:tcBorders>
              <w:left w:val="single" w:sz="8" w:color="auto"/>
              <w:bottom w:val="single" w:sz="8" w:color="auto"/>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6" w:name="page207"/>
    <w:bookmarkEnd w:id="206"/>
    <w:tbl>
      <w:tblPr>
        <w:tblLayout w:type="fixed"/>
        <w:tblInd w:w="150" w:type="dxa"/>
        <w:tblCellMar>
          <w:top w:w="0" w:type="dxa"/>
          <w:left w:w="0" w:type="dxa"/>
          <w:bottom w:w="0" w:type="dxa"/>
          <w:right w:w="0" w:type="dxa"/>
        </w:tblCellMar>
      </w:tblPr>
      <w:tr>
        <w:trPr>
          <w:trHeight w:val="200"/>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CN</w:t>
            </w:r>
          </w:p>
        </w:tc>
        <w:tc>
          <w:tcPr>
            <w:tcW w:w="600" w:type="dxa"/>
            <w:vAlign w:val="bottom"/>
            <w:tcBorders>
              <w:top w:val="single" w:sz="8" w:color="auto"/>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DIV</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201510137983.8</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26-Mar-2015</w:t>
            </w:r>
          </w:p>
        </w:tc>
        <w:tc>
          <w:tcPr>
            <w:tcW w:w="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2"/>
              </w:rPr>
              <w:t>ZL20151013798</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22-Jun-2018</w:t>
            </w:r>
          </w:p>
        </w:tc>
        <w:tc>
          <w:tcPr>
            <w:tcW w:w="0" w:type="dxa"/>
            <w:vAlign w:val="bottom"/>
          </w:tcPr>
          <w:p>
            <w:pPr>
              <w:spacing w:after="0"/>
              <w:rPr>
                <w:sz w:val="1"/>
                <w:szCs w:val="1"/>
                <w:color w:val="auto"/>
              </w:rPr>
            </w:pPr>
          </w:p>
        </w:tc>
      </w:tr>
      <w:tr>
        <w:trPr>
          <w:trHeight w:val="161"/>
        </w:trPr>
        <w:tc>
          <w:tcPr>
            <w:tcW w:w="120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3.8</w:t>
            </w:r>
          </w:p>
        </w:tc>
        <w:tc>
          <w:tcPr>
            <w:tcW w:w="9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200" w:type="dxa"/>
            <w:vAlign w:val="bottom"/>
            <w:tcBorders>
              <w:left w:val="single" w:sz="8" w:color="auto"/>
              <w:bottom w:val="single" w:sz="8" w:color="auto"/>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08003675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08003675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17-Oct-2013</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CR</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9761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3051</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07-May-2014</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CZ</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CZ</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DK</w:t>
            </w:r>
          </w:p>
        </w:tc>
        <w:tc>
          <w:tcPr>
            <w:tcW w:w="6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DK/EP</w:t>
            </w:r>
          </w:p>
        </w:tc>
        <w:tc>
          <w:tcPr>
            <w:tcW w:w="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85"/>
        </w:trPr>
        <w:tc>
          <w:tcPr>
            <w:tcW w:w="120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1912675T3</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EE</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EE</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5"/>
              </w:rPr>
              <w:t>ES 20406517T3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7" w:name="page208"/>
    <w:bookmarkEnd w:id="207"/>
    <w:tbl>
      <w:tblPr>
        <w:tblLayout w:type="fixed"/>
        <w:tblInd w:w="150" w:type="dxa"/>
        <w:tblCellMar>
          <w:top w:w="0" w:type="dxa"/>
          <w:left w:w="0" w:type="dxa"/>
          <w:bottom w:w="0" w:type="dxa"/>
          <w:right w:w="0" w:type="dxa"/>
        </w:tblCellMar>
      </w:tblPr>
      <w:tr>
        <w:trPr>
          <w:trHeight w:val="171"/>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FR</w:t>
            </w:r>
          </w:p>
        </w:tc>
        <w:tc>
          <w:tcPr>
            <w:tcW w:w="6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GT</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A-20080004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23-Jan-2008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5617/412/19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11-Nov-2011</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08111578.9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1115820</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01-Aug-2014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09102857.9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1125288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20-Nov-2015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2</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11110031.7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1155761</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31-Dec-2015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4</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13110586.4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HR</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HR</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HU</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HU</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W-00200800171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8" w:name="page209"/>
    <w:bookmarkEnd w:id="208"/>
    <w:tbl>
      <w:tblPr>
        <w:tblLayout w:type="fixed"/>
        <w:tblInd w:w="150" w:type="dxa"/>
        <w:tblCellMar>
          <w:top w:w="0" w:type="dxa"/>
          <w:left w:w="0" w:type="dxa"/>
          <w:bottom w:w="0" w:type="dxa"/>
          <w:right w:w="0" w:type="dxa"/>
        </w:tblCellMar>
      </w:tblPr>
      <w:tr>
        <w:trPr>
          <w:trHeight w:val="171"/>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IL</w:t>
            </w:r>
          </w:p>
        </w:tc>
        <w:tc>
          <w:tcPr>
            <w:tcW w:w="6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188345</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188345</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31-Jul-2015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197/DELNP/2008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270418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18-Dec-2015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IS</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IS</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2008-524109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5740076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01-May-2015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10-2008-7003703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10-1251157</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29-Mar-2013</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LI</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LI</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LT</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LT</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LV</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LV</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09" w:name="page210"/>
    <w:bookmarkEnd w:id="209"/>
    <w:tbl>
      <w:tblPr>
        <w:tblLayout w:type="fixed"/>
        <w:tblInd w:w="150" w:type="dxa"/>
        <w:tblCellMar>
          <w:top w:w="0" w:type="dxa"/>
          <w:left w:w="0" w:type="dxa"/>
          <w:bottom w:w="0" w:type="dxa"/>
          <w:right w:w="0" w:type="dxa"/>
        </w:tblCellMar>
      </w:tblPr>
      <w:tr>
        <w:trPr>
          <w:trHeight w:val="171"/>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MK</w:t>
            </w:r>
          </w:p>
        </w:tc>
        <w:tc>
          <w:tcPr>
            <w:tcW w:w="6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2014/136</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MX/a/2008/001131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314397</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21-Oct-2013</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NI</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2008-0032I</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2446 RPI</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29-Jan-2016</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20080217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594275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26-Jul-2011</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594274</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30-Jul-2013</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2</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606294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25-Jan-2013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606294</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06-Jan-2015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RO</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RO</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RS</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P-2014/0232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RS</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2008106893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2423381</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10-Jul-2011</w:t>
            </w: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10" w:name="page211"/>
    <w:bookmarkEnd w:id="210"/>
    <w:tbl>
      <w:tblPr>
        <w:tblLayout w:type="fixed"/>
        <w:tblInd w:w="150" w:type="dxa"/>
        <w:tblCellMar>
          <w:top w:w="0" w:type="dxa"/>
          <w:left w:w="0" w:type="dxa"/>
          <w:bottom w:w="0" w:type="dxa"/>
          <w:right w:w="0" w:type="dxa"/>
        </w:tblCellMar>
      </w:tblPr>
      <w:tr>
        <w:trPr>
          <w:trHeight w:val="171"/>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SE</w:t>
            </w:r>
          </w:p>
        </w:tc>
        <w:tc>
          <w:tcPr>
            <w:tcW w:w="60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2</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201009615-4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168530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15-Sep-2014</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06788565.7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1912675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TR</w:t>
            </w:r>
          </w:p>
        </w:tc>
        <w:tc>
          <w:tcPr>
            <w:tcW w:w="6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EPP</w:t>
            </w: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20140400893</w:t>
            </w:r>
          </w:p>
        </w:tc>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TR</w:t>
            </w:r>
          </w:p>
        </w:tc>
        <w:tc>
          <w:tcPr>
            <w:tcW w:w="9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12-Feb-2014</w:t>
            </w:r>
          </w:p>
        </w:tc>
        <w:tc>
          <w:tcPr>
            <w:tcW w:w="0" w:type="dxa"/>
            <w:vAlign w:val="bottom"/>
          </w:tcPr>
          <w:p>
            <w:pPr>
              <w:spacing w:after="0"/>
              <w:rPr>
                <w:sz w:val="1"/>
                <w:szCs w:val="1"/>
                <w:color w:val="auto"/>
              </w:rPr>
            </w:pPr>
          </w:p>
        </w:tc>
      </w:tr>
      <w:tr>
        <w:trPr>
          <w:trHeight w:val="85"/>
        </w:trPr>
        <w:tc>
          <w:tcPr>
            <w:tcW w:w="120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201404796TR</w:t>
            </w: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TR</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EDV</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10181126.3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2298815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11-Mar-2015</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UA</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200802255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97469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25-Nov-2011</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ORD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11/493,132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3</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13/836,103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15-Mar-2013</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VN</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1-2008-00373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2008/00692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25-Jul-2006</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2008/00692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26-Oct-2011</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419"/>
        <w:spacing w:after="0"/>
        <w:rPr>
          <w:sz w:val="20"/>
          <w:szCs w:val="20"/>
          <w:color w:val="auto"/>
        </w:rPr>
      </w:pPr>
      <w:r>
        <w:rPr>
          <w:rFonts w:ascii="Arial" w:cs="Arial" w:eastAsia="Arial" w:hAnsi="Arial"/>
          <w:sz w:val="13"/>
          <w:szCs w:val="13"/>
          <w:b w:val="1"/>
          <w:bCs w:val="1"/>
          <w:color w:val="auto"/>
        </w:rPr>
        <w:t>SINGLE-CHAIN MULTIVALENT BINDING PROTEINS WITH EFFECTOR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19725" cy="5880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19725" cy="588010"/>
                    </a:xfrm>
                    <a:prstGeom prst="rect">
                      <a:avLst/>
                    </a:prstGeom>
                    <a:noFill/>
                  </pic:spPr>
                </pic:pic>
              </a:graphicData>
            </a:graphic>
          </wp:anchor>
        </w:drawing>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APVO.80102</w:t>
      </w: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1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3"/>
              </w:rPr>
              <w:t>Subcase</w:t>
            </w:r>
          </w:p>
        </w:tc>
        <w:tc>
          <w:tcPr>
            <w:tcW w:w="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Case Type</w:t>
            </w:r>
          </w:p>
        </w:tc>
        <w:tc>
          <w:tcPr>
            <w:tcW w:w="15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3"/>
                <w:szCs w:val="13"/>
                <w:b w:val="1"/>
                <w:bCs w:val="1"/>
                <w:color w:val="auto"/>
              </w:rPr>
              <w:t>Application Status</w:t>
            </w:r>
          </w:p>
        </w:tc>
        <w:tc>
          <w:tcPr>
            <w:tcW w:w="13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Application Number</w:t>
            </w:r>
          </w:p>
        </w:tc>
        <w:tc>
          <w:tcPr>
            <w:tcW w:w="8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w w:val="90"/>
              </w:rPr>
              <w:t>Patent Number</w:t>
            </w:r>
          </w:p>
        </w:tc>
        <w:tc>
          <w:tcPr>
            <w:tcW w:w="76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Issue Date</w:t>
            </w:r>
          </w:p>
        </w:tc>
      </w:tr>
      <w:tr>
        <w:trPr>
          <w:trHeight w:val="150"/>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11" w:name="page212"/>
    <w:bookmarkEnd w:id="211"/>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2007257692</w:t>
            </w: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2007257692</w:t>
            </w:r>
          </w:p>
        </w:tc>
        <w:tc>
          <w:tcPr>
            <w:tcW w:w="7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w w:val="93"/>
              </w:rPr>
              <w:t>27-Feb-2014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2014200661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06-Feb-2014</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2014200661</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4"/>
              </w:rPr>
              <w:t>13-Oct-2016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2016231617</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23-Sep-2016</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PI0713000-7</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2654317</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201610169942.1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23-Mar-2016</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07784422.3</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11182404.1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09108900.3</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2</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12107631.6</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195739</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195739</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4"/>
              </w:rPr>
              <w:t>01-Mar-2016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2014-222591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29-Oct-2014</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6038858</w:t>
            </w: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0"/>
              </w:rPr>
              <w:t>11-Nov-2016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2</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2016-214734</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10-2009-7000622</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10-1571027</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3"/>
              </w:rPr>
              <w:t>17-Nov-2015</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MX/a/2008/015524</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312426</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3"/>
              </w:rPr>
              <w:t>16-Aug-2013</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00" w:type="dxa"/>
            <w:vAlign w:val="bottom"/>
            <w:tcBorders>
              <w:right w:val="single" w:sz="8" w:color="auto"/>
            </w:tcBorders>
          </w:tcPr>
          <w:p>
            <w:pPr>
              <w:jc w:val="right"/>
              <w:ind w:right="492"/>
              <w:spacing w:after="0"/>
              <w:rPr>
                <w:sz w:val="20"/>
                <w:szCs w:val="20"/>
                <w:color w:val="auto"/>
              </w:rPr>
            </w:pPr>
            <w:r>
              <w:rPr>
                <w:rFonts w:ascii="Arial" w:cs="Arial" w:eastAsia="Arial" w:hAnsi="Arial"/>
                <w:sz w:val="10"/>
                <w:szCs w:val="10"/>
                <w:color w:val="auto"/>
                <w:w w:val="71"/>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MX/a/2013/009517</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16-Aug-2013</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MY</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PI20085024</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162131</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w w:val="91"/>
              </w:rPr>
              <w:t>31-May-2017</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NO</w:t>
            </w:r>
          </w:p>
        </w:tc>
        <w:tc>
          <w:tcPr>
            <w:tcW w:w="6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5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20085253</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12" w:name="page213"/>
    <w:bookmarkEnd w:id="212"/>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NZ</w:t>
            </w:r>
          </w:p>
        </w:tc>
        <w:tc>
          <w:tcPr>
            <w:tcW w:w="640" w:type="dxa"/>
            <w:vAlign w:val="bottom"/>
            <w:tcBorders>
              <w:top w:val="single" w:sz="8" w:color="auto"/>
              <w:right w:val="single" w:sz="8" w:color="auto"/>
            </w:tcBorders>
          </w:tcPr>
          <w:p>
            <w:pPr>
              <w:spacing w:after="0"/>
              <w:rPr>
                <w:sz w:val="14"/>
                <w:szCs w:val="14"/>
                <w:color w:val="auto"/>
              </w:rPr>
            </w:pPr>
          </w:p>
        </w:tc>
        <w:tc>
          <w:tcPr>
            <w:tcW w:w="7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Granted</w:t>
            </w:r>
          </w:p>
        </w:tc>
        <w:tc>
          <w:tcPr>
            <w:tcW w:w="760" w:type="dxa"/>
            <w:vAlign w:val="bottom"/>
            <w:tcBorders>
              <w:top w:val="single" w:sz="8" w:color="auto"/>
            </w:tcBorders>
          </w:tcPr>
          <w:p>
            <w:pPr>
              <w:spacing w:after="0"/>
              <w:rPr>
                <w:sz w:val="14"/>
                <w:szCs w:val="14"/>
                <w:color w:val="auto"/>
              </w:rPr>
            </w:pPr>
          </w:p>
        </w:tc>
        <w:tc>
          <w:tcPr>
            <w:tcW w:w="24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573646</w:t>
            </w:r>
          </w:p>
        </w:tc>
        <w:tc>
          <w:tcPr>
            <w:tcW w:w="26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573646</w:t>
            </w:r>
          </w:p>
        </w:tc>
        <w:tc>
          <w:tcPr>
            <w:tcW w:w="16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w w:val="95"/>
              </w:rPr>
              <w:t>06-Aug-2012</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596865</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Pr>
          <w:p>
            <w:pPr>
              <w:spacing w:after="0"/>
              <w:rPr>
                <w:sz w:val="20"/>
                <w:szCs w:val="20"/>
                <w:color w:val="auto"/>
              </w:rPr>
            </w:pPr>
            <w:r>
              <w:rPr>
                <w:rFonts w:ascii="Arial" w:cs="Arial" w:eastAsia="Arial" w:hAnsi="Arial"/>
                <w:sz w:val="13"/>
                <w:szCs w:val="13"/>
                <w:color w:val="auto"/>
              </w:rPr>
              <w:t>596865</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9"/>
              </w:rPr>
              <w:t>30-Oct-2013</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2</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612319</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17-Jun-2007</w:t>
            </w:r>
          </w:p>
        </w:tc>
        <w:tc>
          <w:tcPr>
            <w:tcW w:w="740" w:type="dxa"/>
            <w:vAlign w:val="bottom"/>
          </w:tcPr>
          <w:p>
            <w:pPr>
              <w:ind w:left="40"/>
              <w:spacing w:after="0"/>
              <w:rPr>
                <w:sz w:val="20"/>
                <w:szCs w:val="20"/>
                <w:color w:val="auto"/>
              </w:rPr>
            </w:pPr>
            <w:r>
              <w:rPr>
                <w:rFonts w:ascii="Arial" w:cs="Arial" w:eastAsia="Arial" w:hAnsi="Arial"/>
                <w:sz w:val="13"/>
                <w:szCs w:val="13"/>
                <w:color w:val="auto"/>
              </w:rPr>
              <w:t>612319</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28-Jul-2015</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PH</w:t>
            </w:r>
          </w:p>
        </w:tc>
        <w:tc>
          <w:tcPr>
            <w:tcW w:w="6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1-2008-502612</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w w:val="97"/>
              </w:rPr>
              <w:t>1-2008-502512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5"/>
              </w:rPr>
              <w:t>10-Sep-2015</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2009100153</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Pr>
          <w:p>
            <w:pPr>
              <w:spacing w:after="0"/>
              <w:rPr>
                <w:sz w:val="20"/>
                <w:szCs w:val="20"/>
                <w:color w:val="auto"/>
              </w:rPr>
            </w:pPr>
            <w:r>
              <w:rPr>
                <w:rFonts w:ascii="Arial" w:cs="Arial" w:eastAsia="Arial" w:hAnsi="Arial"/>
                <w:sz w:val="13"/>
                <w:szCs w:val="13"/>
                <w:color w:val="auto"/>
              </w:rPr>
              <w:t>2487888</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8"/>
              </w:rPr>
              <w:t>20-Jun-2013</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201104275-1</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Pr>
          <w:p>
            <w:pPr>
              <w:spacing w:after="0"/>
              <w:rPr>
                <w:sz w:val="20"/>
                <w:szCs w:val="20"/>
                <w:color w:val="auto"/>
              </w:rPr>
            </w:pPr>
            <w:r>
              <w:rPr>
                <w:rFonts w:ascii="Arial" w:cs="Arial" w:eastAsia="Arial" w:hAnsi="Arial"/>
                <w:sz w:val="13"/>
                <w:szCs w:val="13"/>
                <w:color w:val="auto"/>
              </w:rPr>
              <w:t>172698</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5"/>
              </w:rPr>
              <w:t>25-Nov-2014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12/304,562</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22-Jul-2010</w:t>
            </w:r>
          </w:p>
        </w:tc>
        <w:tc>
          <w:tcPr>
            <w:tcW w:w="740" w:type="dxa"/>
            <w:vAlign w:val="bottom"/>
          </w:tcPr>
          <w:p>
            <w:pPr>
              <w:spacing w:after="0"/>
              <w:rPr>
                <w:sz w:val="20"/>
                <w:szCs w:val="20"/>
                <w:color w:val="auto"/>
              </w:rPr>
            </w:pPr>
            <w:r>
              <w:rPr>
                <w:rFonts w:ascii="Arial" w:cs="Arial" w:eastAsia="Arial" w:hAnsi="Arial"/>
                <w:sz w:val="13"/>
                <w:szCs w:val="13"/>
                <w:color w:val="auto"/>
              </w:rPr>
              <w:t>8,409,577</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9"/>
              </w:rPr>
              <w:t>02-Apr-2013</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3</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540" w:type="dxa"/>
            <w:vAlign w:val="bottom"/>
          </w:tcPr>
          <w:p>
            <w:pPr>
              <w:spacing w:after="0"/>
              <w:rPr>
                <w:sz w:val="20"/>
                <w:szCs w:val="20"/>
                <w:color w:val="auto"/>
              </w:rPr>
            </w:pPr>
            <w:r>
              <w:rPr>
                <w:rFonts w:ascii="Arial" w:cs="Arial" w:eastAsia="Arial" w:hAnsi="Arial"/>
                <w:sz w:val="13"/>
                <w:szCs w:val="13"/>
                <w:color w:val="auto"/>
              </w:rPr>
              <w:t>Pending</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15/617,833</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08-Jun-2017</w:t>
            </w:r>
          </w:p>
        </w:tc>
        <w:tc>
          <w:tcPr>
            <w:tcW w:w="7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VN</w:t>
            </w:r>
          </w:p>
        </w:tc>
        <w:tc>
          <w:tcPr>
            <w:tcW w:w="6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1-2009-00069</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Pr>
          <w:p>
            <w:pPr>
              <w:ind w:left="40"/>
              <w:spacing w:after="0"/>
              <w:rPr>
                <w:sz w:val="20"/>
                <w:szCs w:val="20"/>
                <w:color w:val="auto"/>
              </w:rPr>
            </w:pPr>
            <w:r>
              <w:rPr>
                <w:rFonts w:ascii="Arial" w:cs="Arial" w:eastAsia="Arial" w:hAnsi="Arial"/>
                <w:sz w:val="13"/>
                <w:szCs w:val="13"/>
                <w:color w:val="auto"/>
              </w:rPr>
              <w:t>18920</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9"/>
              </w:rPr>
              <w:t>04-Apr-2018</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4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540" w:type="dxa"/>
            <w:vAlign w:val="bottom"/>
          </w:tcPr>
          <w:p>
            <w:pPr>
              <w:spacing w:after="0"/>
              <w:rPr>
                <w:sz w:val="20"/>
                <w:szCs w:val="20"/>
                <w:color w:val="auto"/>
              </w:rPr>
            </w:pPr>
            <w:r>
              <w:rPr>
                <w:rFonts w:ascii="Arial" w:cs="Arial" w:eastAsia="Arial" w:hAnsi="Arial"/>
                <w:sz w:val="13"/>
                <w:szCs w:val="13"/>
                <w:color w:val="auto"/>
              </w:rPr>
              <w:t>Allowed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2009/00056</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12-Jun-2007</w:t>
            </w:r>
          </w:p>
        </w:tc>
        <w:tc>
          <w:tcPr>
            <w:tcW w:w="7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APVO.80102</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40" w:type="dxa"/>
            <w:vAlign w:val="bottom"/>
            <w:tcBorders>
              <w:right w:val="single" w:sz="8" w:color="auto"/>
            </w:tcBorders>
          </w:tcPr>
          <w:p>
            <w:pPr>
              <w:jc w:val="right"/>
              <w:ind w:right="506"/>
              <w:spacing w:after="0"/>
              <w:rPr>
                <w:sz w:val="20"/>
                <w:szCs w:val="20"/>
                <w:color w:val="auto"/>
              </w:rPr>
            </w:pPr>
            <w:r>
              <w:rPr>
                <w:rFonts w:ascii="Arial" w:cs="Arial" w:eastAsia="Arial" w:hAnsi="Arial"/>
                <w:sz w:val="13"/>
                <w:szCs w:val="13"/>
                <w:color w:val="auto"/>
                <w:w w:val="82"/>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2013/03003</w:t>
            </w:r>
          </w:p>
        </w:tc>
        <w:tc>
          <w:tcPr>
            <w:tcW w:w="2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24-Apr-2013</w:t>
            </w:r>
          </w:p>
        </w:tc>
        <w:tc>
          <w:tcPr>
            <w:tcW w:w="740" w:type="dxa"/>
            <w:vAlign w:val="bottom"/>
          </w:tcPr>
          <w:p>
            <w:pPr>
              <w:ind w:left="40"/>
              <w:spacing w:after="0"/>
              <w:rPr>
                <w:sz w:val="20"/>
                <w:szCs w:val="20"/>
                <w:color w:val="auto"/>
              </w:rPr>
            </w:pPr>
            <w:r>
              <w:rPr>
                <w:rFonts w:ascii="Arial" w:cs="Arial" w:eastAsia="Arial" w:hAnsi="Arial"/>
                <w:sz w:val="13"/>
                <w:szCs w:val="13"/>
                <w:color w:val="auto"/>
                <w:w w:val="96"/>
              </w:rPr>
              <w:t>2013/03003</w:t>
            </w:r>
          </w:p>
        </w:tc>
        <w:tc>
          <w:tcPr>
            <w:tcW w:w="16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8"/>
              </w:rPr>
              <w:t>25-Jun-2014</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r>
      <w:tr>
        <w:trPr>
          <w:trHeight w:val="295"/>
        </w:trPr>
        <w:tc>
          <w:tcPr>
            <w:tcW w:w="1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01"/>
        </w:trPr>
        <w:tc>
          <w:tcPr>
            <w:tcW w:w="1240" w:type="dxa"/>
            <w:vAlign w:val="bottom"/>
            <w:tcBorders>
              <w:lef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60" w:type="dxa"/>
            <w:vAlign w:val="bottom"/>
            <w:gridSpan w:val="3"/>
          </w:tcPr>
          <w:p>
            <w:pPr>
              <w:ind w:left="80"/>
              <w:spacing w:after="0" w:line="101" w:lineRule="exact"/>
              <w:rPr>
                <w:sz w:val="20"/>
                <w:szCs w:val="20"/>
                <w:color w:val="auto"/>
              </w:rPr>
            </w:pPr>
            <w:r>
              <w:rPr>
                <w:rFonts w:ascii="Arial" w:cs="Arial" w:eastAsia="Arial" w:hAnsi="Arial"/>
                <w:sz w:val="11"/>
                <w:szCs w:val="11"/>
                <w:b w:val="1"/>
                <w:bCs w:val="1"/>
                <w:color w:val="auto"/>
              </w:rPr>
              <w:t>Glyco-</w:t>
            </w: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r>
      <w:tr>
        <w:trPr>
          <w:trHeight w:val="170"/>
        </w:trPr>
        <w:tc>
          <w:tcPr>
            <w:tcW w:w="124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Variants</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r>
      <w:tr>
        <w:trPr>
          <w:trHeight w:val="160"/>
        </w:trPr>
        <w:tc>
          <w:tcPr>
            <w:tcW w:w="124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60" w:type="dxa"/>
            <w:vAlign w:val="bottom"/>
            <w:gridSpan w:val="3"/>
          </w:tcPr>
          <w:p>
            <w:pPr>
              <w:ind w:left="80"/>
              <w:spacing w:after="0"/>
              <w:rPr>
                <w:sz w:val="20"/>
                <w:szCs w:val="20"/>
                <w:color w:val="auto"/>
              </w:rPr>
            </w:pPr>
            <w:r>
              <w:rPr>
                <w:rFonts w:ascii="Arial" w:cs="Arial" w:eastAsia="Arial" w:hAnsi="Arial"/>
                <w:sz w:val="13"/>
                <w:szCs w:val="13"/>
                <w:b w:val="1"/>
                <w:bCs w:val="1"/>
                <w:color w:val="auto"/>
              </w:rPr>
              <w:t>APVO.80105a</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gridSpan w:val="2"/>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940" w:type="dxa"/>
            <w:vAlign w:val="bottom"/>
            <w:tcBorders>
              <w:bottom w:val="single" w:sz="8" w:color="auto"/>
              <w:right w:val="single" w:sz="8" w:color="auto"/>
            </w:tcBorders>
            <w:gridSpan w:val="2"/>
          </w:tcPr>
          <w:p>
            <w:pPr>
              <w:spacing w:after="0"/>
              <w:rPr>
                <w:sz w:val="10"/>
                <w:szCs w:val="10"/>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APVO.80105a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jc w:val="right"/>
              <w:ind w:right="546"/>
              <w:spacing w:after="0"/>
              <w:rPr>
                <w:sz w:val="20"/>
                <w:szCs w:val="20"/>
                <w:color w:val="auto"/>
              </w:rPr>
            </w:pPr>
            <w:r>
              <w:rPr>
                <w:rFonts w:ascii="Arial" w:cs="Arial" w:eastAsia="Arial" w:hAnsi="Arial"/>
                <w:sz w:val="5"/>
                <w:szCs w:val="5"/>
                <w:color w:val="auto"/>
                <w:w w:val="70"/>
              </w:rPr>
              <w:t>1</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CIP</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gridSpan w:val="2"/>
          </w:tcPr>
          <w:p>
            <w:pPr>
              <w:jc w:val="right"/>
              <w:ind w:right="656"/>
              <w:spacing w:after="0"/>
              <w:rPr>
                <w:sz w:val="20"/>
                <w:szCs w:val="20"/>
                <w:color w:val="auto"/>
              </w:rPr>
            </w:pPr>
            <w:r>
              <w:rPr>
                <w:rFonts w:ascii="Arial" w:cs="Arial" w:eastAsia="Arial" w:hAnsi="Arial"/>
                <w:sz w:val="13"/>
                <w:szCs w:val="13"/>
                <w:color w:val="auto"/>
                <w:w w:val="86"/>
              </w:rPr>
              <w:t>12/082,497</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11-Apr-2008</w:t>
            </w:r>
          </w:p>
        </w:tc>
        <w:tc>
          <w:tcPr>
            <w:tcW w:w="920" w:type="dxa"/>
            <w:vAlign w:val="bottom"/>
            <w:tcBorders>
              <w:right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2"/>
              </w:rPr>
              <w:t>7,846,434</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07-Dec-2010</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940" w:type="dxa"/>
            <w:vAlign w:val="bottom"/>
            <w:tcBorders>
              <w:bottom w:val="single" w:sz="8" w:color="auto"/>
              <w:right w:val="single" w:sz="8" w:color="auto"/>
            </w:tcBorders>
            <w:gridSpan w:val="2"/>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APVO.80105a</w:t>
            </w:r>
          </w:p>
        </w:tc>
        <w:tc>
          <w:tcPr>
            <w:tcW w:w="6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jc w:val="right"/>
              <w:ind w:right="546"/>
              <w:spacing w:after="0"/>
              <w:rPr>
                <w:sz w:val="20"/>
                <w:szCs w:val="20"/>
                <w:color w:val="auto"/>
              </w:rPr>
            </w:pPr>
            <w:r>
              <w:rPr>
                <w:rFonts w:ascii="Arial" w:cs="Arial" w:eastAsia="Arial" w:hAnsi="Arial"/>
                <w:sz w:val="5"/>
                <w:szCs w:val="5"/>
                <w:color w:val="auto"/>
                <w:w w:val="70"/>
              </w:rPr>
              <w:t>2</w:t>
            </w:r>
          </w:p>
        </w:tc>
        <w:tc>
          <w:tcPr>
            <w:tcW w:w="7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540" w:type="dxa"/>
            <w:vAlign w:val="bottom"/>
          </w:tcPr>
          <w:p>
            <w:pPr>
              <w:spacing w:after="0"/>
              <w:rPr>
                <w:sz w:val="20"/>
                <w:szCs w:val="20"/>
                <w:color w:val="auto"/>
              </w:rPr>
            </w:pPr>
            <w:r>
              <w:rPr>
                <w:rFonts w:ascii="Arial" w:cs="Arial" w:eastAsia="Arial" w:hAnsi="Arial"/>
                <w:sz w:val="13"/>
                <w:szCs w:val="13"/>
                <w:color w:val="auto"/>
              </w:rPr>
              <w:t>Granted</w:t>
            </w:r>
          </w:p>
        </w:tc>
        <w:tc>
          <w:tcPr>
            <w:tcW w:w="76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gridSpan w:val="2"/>
          </w:tcPr>
          <w:p>
            <w:pPr>
              <w:jc w:val="right"/>
              <w:ind w:right="656"/>
              <w:spacing w:after="0"/>
              <w:rPr>
                <w:sz w:val="20"/>
                <w:szCs w:val="20"/>
                <w:color w:val="auto"/>
              </w:rPr>
            </w:pPr>
            <w:r>
              <w:rPr>
                <w:rFonts w:ascii="Arial" w:cs="Arial" w:eastAsia="Arial" w:hAnsi="Arial"/>
                <w:sz w:val="13"/>
                <w:szCs w:val="13"/>
                <w:color w:val="auto"/>
                <w:w w:val="86"/>
              </w:rPr>
              <w:t>12/909,769</w:t>
            </w:r>
          </w:p>
        </w:tc>
        <w:tc>
          <w:tcPr>
            <w:tcW w:w="8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21-Oct-2010</w:t>
            </w:r>
          </w:p>
        </w:tc>
        <w:tc>
          <w:tcPr>
            <w:tcW w:w="920" w:type="dxa"/>
            <w:vAlign w:val="bottom"/>
            <w:tcBorders>
              <w:right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2"/>
              </w:rPr>
              <w:t>8,383,106</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26-Feb-2013</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r>
    </w:tbl>
    <w:p>
      <w:pPr>
        <w:spacing w:after="0" w:line="129"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CD86</w:t>
      </w:r>
    </w:p>
    <w:p>
      <w:pPr>
        <w:ind w:left="5600"/>
        <w:spacing w:after="0" w:line="214" w:lineRule="auto"/>
        <w:rPr>
          <w:sz w:val="20"/>
          <w:szCs w:val="20"/>
          <w:color w:val="auto"/>
        </w:rPr>
      </w:pPr>
      <w:r>
        <w:rPr>
          <w:rFonts w:ascii="Arial" w:cs="Arial" w:eastAsia="Arial" w:hAnsi="Arial"/>
          <w:sz w:val="13"/>
          <w:szCs w:val="13"/>
          <w:b w:val="1"/>
          <w:bCs w:val="1"/>
          <w:color w:val="auto"/>
        </w:rPr>
        <w:t>Antagonist</w:t>
      </w:r>
    </w:p>
    <w:p>
      <w:pPr>
        <w:ind w:left="5600"/>
        <w:spacing w:after="0" w:line="215" w:lineRule="auto"/>
        <w:rPr>
          <w:sz w:val="20"/>
          <w:szCs w:val="20"/>
          <w:color w:val="auto"/>
        </w:rPr>
      </w:pPr>
      <w:r>
        <w:rPr>
          <w:rFonts w:ascii="Arial" w:cs="Arial" w:eastAsia="Arial" w:hAnsi="Arial"/>
          <w:sz w:val="13"/>
          <w:szCs w:val="13"/>
          <w:b w:val="1"/>
          <w:bCs w:val="1"/>
          <w:color w:val="auto"/>
        </w:rPr>
        <w:t>Multi-</w:t>
      </w:r>
    </w:p>
    <w:p>
      <w:pPr>
        <w:ind w:left="5600"/>
        <w:spacing w:after="0" w:line="214" w:lineRule="auto"/>
        <w:rPr>
          <w:sz w:val="20"/>
          <w:szCs w:val="20"/>
          <w:color w:val="auto"/>
        </w:rPr>
      </w:pPr>
      <w:r>
        <w:rPr>
          <w:rFonts w:ascii="Arial" w:cs="Arial" w:eastAsia="Arial" w:hAnsi="Arial"/>
          <w:sz w:val="13"/>
          <w:szCs w:val="13"/>
          <w:b w:val="1"/>
          <w:bCs w:val="1"/>
          <w:color w:val="auto"/>
        </w:rPr>
        <w:t>Target</w:t>
      </w:r>
    </w:p>
    <w:p>
      <w:pPr>
        <w:ind w:left="5600"/>
        <w:spacing w:after="0" w:line="215" w:lineRule="auto"/>
        <w:rPr>
          <w:sz w:val="20"/>
          <w:szCs w:val="20"/>
          <w:color w:val="auto"/>
        </w:rPr>
      </w:pPr>
      <w:r>
        <w:rPr>
          <w:rFonts w:ascii="Arial" w:cs="Arial" w:eastAsia="Arial" w:hAnsi="Arial"/>
          <w:sz w:val="13"/>
          <w:szCs w:val="13"/>
          <w:b w:val="1"/>
          <w:bCs w:val="1"/>
          <w:color w:val="auto"/>
        </w:rPr>
        <w:t>Binding</w:t>
      </w:r>
    </w:p>
    <w:p>
      <w:pPr>
        <w:ind w:left="5600"/>
        <w:spacing w:after="0"/>
        <w:rPr>
          <w:sz w:val="20"/>
          <w:szCs w:val="20"/>
          <w:color w:val="auto"/>
        </w:rPr>
      </w:pPr>
      <w:r>
        <w:rPr>
          <w:rFonts w:ascii="Arial" w:cs="Arial" w:eastAsia="Arial" w:hAnsi="Arial"/>
          <w:sz w:val="13"/>
          <w:szCs w:val="13"/>
          <w:b w:val="1"/>
          <w:bCs w:val="1"/>
          <w:color w:val="auto"/>
        </w:rPr>
        <w:t>Proteins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13" w:name="page214"/>
    <w:bookmarkEnd w:id="213"/>
    <w:p>
      <w:pPr>
        <w:ind w:left="4060"/>
        <w:spacing w:after="0"/>
        <w:rPr>
          <w:sz w:val="20"/>
          <w:szCs w:val="20"/>
          <w:color w:val="auto"/>
        </w:rPr>
      </w:pPr>
      <w:r>
        <w:rPr>
          <w:rFonts w:ascii="Arial" w:cs="Arial" w:eastAsia="Arial" w:hAnsi="Arial"/>
          <w:sz w:val="13"/>
          <w:szCs w:val="13"/>
          <w:b w:val="1"/>
          <w:bCs w:val="1"/>
          <w:color w:val="auto"/>
        </w:rPr>
        <w:t>APVO.80116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-86360</wp:posOffset>
            </wp:positionV>
            <wp:extent cx="5419725" cy="3594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19725" cy="3594735"/>
                    </a:xfrm>
                    <a:prstGeom prst="rect">
                      <a:avLst/>
                    </a:prstGeom>
                    <a:noFill/>
                  </pic:spPr>
                </pic:pic>
              </a:graphicData>
            </a:graphic>
          </wp:anchor>
        </w:drawing>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12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580" w:type="dxa"/>
            <w:vAlign w:val="bottom"/>
            <w:tcBorders>
              <w:top w:val="single" w:sz="8" w:color="auto"/>
              <w:right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9"/>
              </w:rPr>
              <w:t>Subcase</w:t>
            </w:r>
          </w:p>
        </w:tc>
        <w:tc>
          <w:tcPr>
            <w:tcW w:w="7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Case Type</w:t>
            </w:r>
          </w:p>
        </w:tc>
        <w:tc>
          <w:tcPr>
            <w:tcW w:w="13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Application Status</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7"/>
              </w:rPr>
              <w:t>Application Number</w:t>
            </w:r>
          </w:p>
        </w:tc>
        <w:tc>
          <w:tcPr>
            <w:tcW w:w="7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11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Patent Number</w:t>
            </w:r>
          </w:p>
        </w:tc>
        <w:tc>
          <w:tcPr>
            <w:tcW w:w="74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w w:val="98"/>
              </w:rPr>
              <w:t>Issue Date</w:t>
            </w:r>
          </w:p>
        </w:tc>
        <w:tc>
          <w:tcPr>
            <w:tcW w:w="0" w:type="dxa"/>
            <w:vAlign w:val="bottom"/>
          </w:tcPr>
          <w:p>
            <w:pPr>
              <w:spacing w:after="0"/>
              <w:rPr>
                <w:sz w:val="1"/>
                <w:szCs w:val="1"/>
                <w:color w:val="auto"/>
              </w:rPr>
            </w:pPr>
          </w:p>
        </w:tc>
      </w:tr>
      <w:tr>
        <w:trPr>
          <w:trHeight w:val="140"/>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AT</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2009298131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2009298131</w:t>
            </w:r>
          </w:p>
        </w:tc>
        <w:tc>
          <w:tcPr>
            <w:tcW w:w="740" w:type="dxa"/>
            <w:vAlign w:val="bottom"/>
          </w:tcPr>
          <w:p>
            <w:pPr>
              <w:ind w:left="40"/>
              <w:spacing w:after="0"/>
              <w:rPr>
                <w:sz w:val="20"/>
                <w:szCs w:val="20"/>
                <w:color w:val="auto"/>
              </w:rPr>
            </w:pPr>
            <w:r>
              <w:rPr>
                <w:rFonts w:ascii="Arial" w:cs="Arial" w:eastAsia="Arial" w:hAnsi="Arial"/>
                <w:sz w:val="13"/>
                <w:szCs w:val="13"/>
                <w:color w:val="auto"/>
                <w:w w:val="94"/>
              </w:rPr>
              <w:t>27-Oct-2016</w:t>
            </w:r>
          </w:p>
        </w:tc>
        <w:tc>
          <w:tcPr>
            <w:tcW w:w="0" w:type="dxa"/>
            <w:vAlign w:val="bottom"/>
          </w:tcPr>
          <w:p>
            <w:pPr>
              <w:spacing w:after="0"/>
              <w:rPr>
                <w:sz w:val="1"/>
                <w:szCs w:val="1"/>
                <w:color w:val="auto"/>
              </w:rPr>
            </w:pPr>
          </w:p>
        </w:tc>
      </w:tr>
      <w:tr>
        <w:trPr>
          <w:trHeight w:val="154"/>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58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3</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2018203491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BE</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PI0920749-0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2,739,460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58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201710294122.X</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CY</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DE</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DK</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EA</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201170443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024877</w:t>
            </w:r>
          </w:p>
        </w:tc>
        <w:tc>
          <w:tcPr>
            <w:tcW w:w="740" w:type="dxa"/>
            <w:vAlign w:val="bottom"/>
          </w:tcPr>
          <w:p>
            <w:pPr>
              <w:ind w:left="40"/>
              <w:spacing w:after="0"/>
              <w:rPr>
                <w:sz w:val="20"/>
                <w:szCs w:val="20"/>
                <w:color w:val="auto"/>
              </w:rPr>
            </w:pPr>
            <w:r>
              <w:rPr>
                <w:rFonts w:ascii="Arial" w:cs="Arial" w:eastAsia="Arial" w:hAnsi="Arial"/>
                <w:sz w:val="13"/>
                <w:szCs w:val="13"/>
                <w:color w:val="auto"/>
                <w:w w:val="94"/>
              </w:rPr>
              <w:t>31-Oct-2016</w:t>
            </w:r>
          </w:p>
        </w:tc>
        <w:tc>
          <w:tcPr>
            <w:tcW w:w="0" w:type="dxa"/>
            <w:vAlign w:val="bottom"/>
          </w:tcPr>
          <w:p>
            <w:pPr>
              <w:spacing w:after="0"/>
              <w:rPr>
                <w:sz w:val="1"/>
                <w:szCs w:val="1"/>
                <w:color w:val="auto"/>
              </w:rPr>
            </w:pPr>
          </w:p>
        </w:tc>
      </w:tr>
      <w:tr>
        <w:trPr>
          <w:trHeight w:val="154"/>
        </w:trPr>
        <w:tc>
          <w:tcPr>
            <w:tcW w:w="12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17192769.2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8" w:right="1440" w:bottom="1440" w:gutter="0" w:footer="0" w:header="0"/>
        </w:sectPr>
      </w:pPr>
    </w:p>
    <w:bookmarkStart w:id="214" w:name="page215"/>
    <w:bookmarkEnd w:id="214"/>
    <w:tbl>
      <w:tblPr>
        <w:tblLayout w:type="fixed"/>
        <w:tblInd w:w="150" w:type="dxa"/>
        <w:tblCellMar>
          <w:top w:w="0" w:type="dxa"/>
          <w:left w:w="0" w:type="dxa"/>
          <w:bottom w:w="0" w:type="dxa"/>
          <w:right w:w="0" w:type="dxa"/>
        </w:tblCellMar>
      </w:tblPr>
      <w:tr>
        <w:trPr>
          <w:trHeight w:val="153"/>
        </w:trPr>
        <w:tc>
          <w:tcPr>
            <w:tcW w:w="12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ES</w:t>
            </w:r>
          </w:p>
        </w:tc>
        <w:tc>
          <w:tcPr>
            <w:tcW w:w="580" w:type="dxa"/>
            <w:vAlign w:val="bottom"/>
            <w:tcBorders>
              <w:top w:val="single" w:sz="8" w:color="auto"/>
              <w:right w:val="single" w:sz="8" w:color="auto"/>
            </w:tcBorders>
          </w:tcPr>
          <w:p>
            <w:pPr>
              <w:spacing w:after="0"/>
              <w:rPr>
                <w:sz w:val="13"/>
                <w:szCs w:val="13"/>
                <w:color w:val="auto"/>
              </w:rPr>
            </w:pPr>
          </w:p>
        </w:tc>
        <w:tc>
          <w:tcPr>
            <w:tcW w:w="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top w:val="single" w:sz="8" w:color="auto"/>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FI</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FR</w:t>
            </w: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05" w:lineRule="exact"/>
              <w:rPr>
                <w:sz w:val="20"/>
                <w:szCs w:val="20"/>
                <w:color w:val="auto"/>
              </w:rPr>
            </w:pPr>
            <w:r>
              <w:rPr>
                <w:rFonts w:ascii="Arial" w:cs="Arial" w:eastAsia="Arial" w:hAnsi="Arial"/>
                <w:sz w:val="12"/>
                <w:szCs w:val="12"/>
                <w:color w:val="auto"/>
              </w:rPr>
              <w:t>29-Nov-</w:t>
            </w:r>
          </w:p>
        </w:tc>
        <w:tc>
          <w:tcPr>
            <w:tcW w:w="0" w:type="dxa"/>
            <w:vAlign w:val="bottom"/>
          </w:tcPr>
          <w:p>
            <w:pPr>
              <w:spacing w:after="0"/>
              <w:rPr>
                <w:sz w:val="1"/>
                <w:szCs w:val="1"/>
                <w:color w:val="auto"/>
              </w:rPr>
            </w:pPr>
          </w:p>
        </w:tc>
      </w:tr>
      <w:tr>
        <w:trPr>
          <w:trHeight w:val="114"/>
        </w:trPr>
        <w:tc>
          <w:tcPr>
            <w:tcW w:w="1240" w:type="dxa"/>
            <w:vAlign w:val="bottom"/>
            <w:tcBorders>
              <w:left w:val="single" w:sz="8" w:color="auto"/>
              <w:right w:val="single" w:sz="8" w:color="auto"/>
            </w:tcBorders>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48"/>
        </w:trPr>
        <w:tc>
          <w:tcPr>
            <w:tcW w:w="1240" w:type="dxa"/>
            <w:vAlign w:val="bottom"/>
            <w:tcBorders>
              <w:left w:val="single" w:sz="8" w:color="auto"/>
              <w:right w:val="single" w:sz="8" w:color="auto"/>
            </w:tcBorders>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58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GB</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11112650.3</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18102489.4</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HR</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IE</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1806/KOLNP/2011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2011-530279</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jc w:val="right"/>
              <w:ind w:right="656"/>
              <w:spacing w:after="0"/>
              <w:rPr>
                <w:sz w:val="20"/>
                <w:szCs w:val="20"/>
                <w:color w:val="auto"/>
              </w:rPr>
            </w:pPr>
            <w:r>
              <w:rPr>
                <w:rFonts w:ascii="Arial" w:cs="Arial" w:eastAsia="Arial" w:hAnsi="Arial"/>
                <w:sz w:val="13"/>
                <w:szCs w:val="13"/>
                <w:color w:val="auto"/>
                <w:w w:val="86"/>
              </w:rPr>
              <w:t>5840494</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3"/>
              </w:rPr>
              <w:t>20-Nov-2015</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IS</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IT</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jc w:val="right"/>
              <w:ind w:right="636"/>
              <w:spacing w:after="0"/>
              <w:rPr>
                <w:sz w:val="20"/>
                <w:szCs w:val="20"/>
                <w:color w:val="auto"/>
              </w:rPr>
            </w:pPr>
            <w:r>
              <w:rPr>
                <w:rFonts w:ascii="Arial" w:cs="Arial" w:eastAsia="Arial" w:hAnsi="Arial"/>
                <w:sz w:val="13"/>
                <w:szCs w:val="13"/>
                <w:color w:val="auto"/>
                <w:w w:val="90"/>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58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2</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2016-153405</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15" w:name="page216"/>
    <w:bookmarkEnd w:id="215"/>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KR</w:t>
            </w:r>
          </w:p>
        </w:tc>
        <w:tc>
          <w:tcPr>
            <w:tcW w:w="58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10-2011-7010004</w:t>
            </w: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58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2</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10-2017-7021715</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LT</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LU</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LV</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MK</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MT</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MX</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MX/a/2011/003611</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338825</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03-May-</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580" w:type="dxa"/>
            <w:vAlign w:val="bottom"/>
            <w:tcBorders>
              <w:right w:val="single" w:sz="8" w:color="auto"/>
            </w:tcBorders>
          </w:tcPr>
          <w:p>
            <w:pPr>
              <w:jc w:val="right"/>
              <w:ind w:right="436"/>
              <w:spacing w:after="0"/>
              <w:rPr>
                <w:sz w:val="20"/>
                <w:szCs w:val="20"/>
                <w:color w:val="auto"/>
              </w:rPr>
            </w:pPr>
            <w:r>
              <w:rPr>
                <w:rFonts w:ascii="Arial" w:cs="Arial" w:eastAsia="Arial" w:hAnsi="Arial"/>
                <w:sz w:val="13"/>
                <w:szCs w:val="13"/>
                <w:color w:val="auto"/>
                <w:w w:val="82"/>
              </w:rPr>
              <w:t>1</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MX/a/2015/004490</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06-Apr-2015</w:t>
            </w:r>
          </w:p>
        </w:tc>
        <w:tc>
          <w:tcPr>
            <w:tcW w:w="11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NL</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NO</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592420</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59240</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4"/>
              </w:rPr>
              <w:t>22-Mar-2013</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1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2344540</w:t>
            </w:r>
          </w:p>
        </w:tc>
        <w:tc>
          <w:tcPr>
            <w:tcW w:w="74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68"/>
        </w:trPr>
        <w:tc>
          <w:tcPr>
            <w:tcW w:w="124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240" w:type="dxa"/>
            <w:vAlign w:val="bottom"/>
            <w:tcBorders>
              <w:left w:val="single" w:sz="8" w:color="auto"/>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16" w:name="page217"/>
    <w:bookmarkEnd w:id="216"/>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PT</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EPC</w:t>
            </w:r>
          </w:p>
        </w:tc>
        <w:tc>
          <w:tcPr>
            <w:tcW w:w="1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2344540</w:t>
            </w:r>
          </w:p>
        </w:tc>
        <w:tc>
          <w:tcPr>
            <w:tcW w:w="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1340" w:type="dxa"/>
            <w:vAlign w:val="bottom"/>
            <w:tcBorders>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SE</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EPC</w:t>
            </w:r>
          </w:p>
        </w:tc>
        <w:tc>
          <w:tcPr>
            <w:tcW w:w="1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2344540</w:t>
            </w:r>
          </w:p>
        </w:tc>
        <w:tc>
          <w:tcPr>
            <w:tcW w:w="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1340" w:type="dxa"/>
            <w:vAlign w:val="bottom"/>
            <w:tcBorders>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201102375-1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tcPr>
          <w:p>
            <w:pPr>
              <w:spacing w:after="0"/>
              <w:rPr>
                <w:sz w:val="20"/>
                <w:szCs w:val="20"/>
                <w:color w:val="auto"/>
              </w:rPr>
            </w:pPr>
            <w:r>
              <w:rPr>
                <w:rFonts w:ascii="Arial" w:cs="Arial" w:eastAsia="Arial" w:hAnsi="Arial"/>
                <w:sz w:val="13"/>
                <w:szCs w:val="13"/>
                <w:color w:val="auto"/>
              </w:rPr>
              <w:t>170262</w:t>
            </w:r>
          </w:p>
        </w:tc>
        <w:tc>
          <w:tcPr>
            <w:tcW w:w="1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14-Oct-2013</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SI</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EPC</w:t>
            </w:r>
          </w:p>
        </w:tc>
        <w:tc>
          <w:tcPr>
            <w:tcW w:w="1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2344540</w:t>
            </w:r>
          </w:p>
        </w:tc>
        <w:tc>
          <w:tcPr>
            <w:tcW w:w="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1340" w:type="dxa"/>
            <w:vAlign w:val="bottom"/>
            <w:tcBorders>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TR</w:t>
            </w:r>
          </w:p>
        </w:tc>
        <w:tc>
          <w:tcPr>
            <w:tcW w:w="5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EPC</w:t>
            </w:r>
          </w:p>
        </w:tc>
        <w:tc>
          <w:tcPr>
            <w:tcW w:w="1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09793296.6</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2344540</w:t>
            </w:r>
          </w:p>
        </w:tc>
        <w:tc>
          <w:tcPr>
            <w:tcW w:w="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3"/>
                <w:szCs w:val="13"/>
                <w:color w:val="auto"/>
              </w:rPr>
              <w:t>29-Nov-</w:t>
            </w:r>
          </w:p>
        </w:tc>
        <w:tc>
          <w:tcPr>
            <w:tcW w:w="0" w:type="dxa"/>
            <w:vAlign w:val="bottom"/>
          </w:tcPr>
          <w:p>
            <w:pPr>
              <w:spacing w:after="0"/>
              <w:rPr>
                <w:sz w:val="1"/>
                <w:szCs w:val="1"/>
                <w:color w:val="auto"/>
              </w:rPr>
            </w:pPr>
          </w:p>
        </w:tc>
      </w:tr>
      <w:tr>
        <w:trPr>
          <w:trHeight w:val="85"/>
        </w:trPr>
        <w:tc>
          <w:tcPr>
            <w:tcW w:w="1240" w:type="dxa"/>
            <w:vAlign w:val="bottom"/>
            <w:tcBorders>
              <w:left w:val="single" w:sz="8" w:color="auto"/>
              <w:right w:val="single" w:sz="8" w:color="auto"/>
            </w:tcBorders>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gridSpan w:val="2"/>
            <w:vMerge w:val="continue"/>
          </w:tcPr>
          <w:p>
            <w:pPr>
              <w:spacing w:after="0"/>
              <w:rPr>
                <w:sz w:val="7"/>
                <w:szCs w:val="7"/>
                <w:color w:val="auto"/>
              </w:rPr>
            </w:pPr>
          </w:p>
        </w:tc>
        <w:tc>
          <w:tcPr>
            <w:tcW w:w="1340" w:type="dxa"/>
            <w:vAlign w:val="bottom"/>
            <w:tcBorders>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76"/>
        </w:trPr>
        <w:tc>
          <w:tcPr>
            <w:tcW w:w="1240" w:type="dxa"/>
            <w:vAlign w:val="bottom"/>
            <w:tcBorders>
              <w:left w:val="single" w:sz="8" w:color="auto"/>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13/122,383</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tcPr>
          <w:p>
            <w:pPr>
              <w:spacing w:after="0"/>
              <w:rPr>
                <w:sz w:val="20"/>
                <w:szCs w:val="20"/>
                <w:color w:val="auto"/>
              </w:rPr>
            </w:pPr>
            <w:r>
              <w:rPr>
                <w:rFonts w:ascii="Arial" w:cs="Arial" w:eastAsia="Arial" w:hAnsi="Arial"/>
                <w:sz w:val="13"/>
                <w:szCs w:val="13"/>
                <w:color w:val="auto"/>
              </w:rPr>
              <w:t>9,493,564</w:t>
            </w:r>
          </w:p>
        </w:tc>
        <w:tc>
          <w:tcPr>
            <w:tcW w:w="1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5"/>
              </w:rPr>
              <w:t>15-Nov-2016</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CON</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15/281,441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8"/>
              </w:rPr>
              <w:t>30-Sep-2016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APVO.80116</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5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13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2011/02637</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02-Oct-2009</w:t>
            </w:r>
          </w:p>
        </w:tc>
        <w:tc>
          <w:tcPr>
            <w:tcW w:w="1000" w:type="dxa"/>
            <w:vAlign w:val="bottom"/>
            <w:gridSpan w:val="2"/>
          </w:tcPr>
          <w:p>
            <w:pPr>
              <w:ind w:left="40"/>
              <w:spacing w:after="0"/>
              <w:rPr>
                <w:sz w:val="20"/>
                <w:szCs w:val="20"/>
                <w:color w:val="auto"/>
              </w:rPr>
            </w:pPr>
            <w:r>
              <w:rPr>
                <w:rFonts w:ascii="Arial" w:cs="Arial" w:eastAsia="Arial" w:hAnsi="Arial"/>
                <w:sz w:val="13"/>
                <w:szCs w:val="13"/>
                <w:color w:val="auto"/>
              </w:rPr>
              <w:t>2011/02637</w:t>
            </w:r>
          </w:p>
        </w:tc>
        <w:tc>
          <w:tcPr>
            <w:tcW w:w="1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0"/>
              </w:rPr>
              <w:t>28-Sep-2016</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40" w:type="dxa"/>
            <w:vAlign w:val="bottom"/>
            <w:tcBorders>
              <w:lef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ind w:right="598"/>
              <w:spacing w:after="0" w:line="101" w:lineRule="exact"/>
              <w:rPr>
                <w:sz w:val="20"/>
                <w:szCs w:val="20"/>
                <w:color w:val="auto"/>
              </w:rPr>
            </w:pPr>
            <w:r>
              <w:rPr>
                <w:rFonts w:ascii="Arial" w:cs="Arial" w:eastAsia="Arial" w:hAnsi="Arial"/>
                <w:sz w:val="11"/>
                <w:szCs w:val="11"/>
                <w:b w:val="1"/>
                <w:bCs w:val="1"/>
                <w:color w:val="auto"/>
              </w:rPr>
              <w:t>TCR</w:t>
            </w: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right="598"/>
              <w:spacing w:after="0" w:line="134" w:lineRule="exact"/>
              <w:rPr>
                <w:sz w:val="20"/>
                <w:szCs w:val="20"/>
                <w:color w:val="auto"/>
              </w:rPr>
            </w:pPr>
            <w:r>
              <w:rPr>
                <w:rFonts w:ascii="Arial" w:cs="Arial" w:eastAsia="Arial" w:hAnsi="Arial"/>
                <w:sz w:val="13"/>
                <w:szCs w:val="13"/>
                <w:b w:val="1"/>
                <w:bCs w:val="1"/>
                <w:color w:val="auto"/>
                <w:w w:val="90"/>
              </w:rPr>
              <w:t>Complex</w:t>
            </w: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4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Immunotherapeutics</w:t>
            </w:r>
          </w:p>
        </w:tc>
        <w:tc>
          <w:tcPr>
            <w:tcW w:w="1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b w:val="1"/>
                <w:bCs w:val="1"/>
                <w:color w:val="auto"/>
              </w:rPr>
              <w:t>APVO.80117</w:t>
            </w: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4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3"/>
              </w:rPr>
              <w:t>Subcase</w:t>
            </w:r>
          </w:p>
        </w:tc>
        <w:tc>
          <w:tcPr>
            <w:tcW w:w="680" w:type="dxa"/>
            <w:vAlign w:val="bottom"/>
          </w:tcPr>
          <w:p>
            <w:pPr>
              <w:ind w:left="100"/>
              <w:spacing w:after="0"/>
              <w:rPr>
                <w:sz w:val="20"/>
                <w:szCs w:val="20"/>
                <w:color w:val="auto"/>
              </w:rPr>
            </w:pPr>
            <w:r>
              <w:rPr>
                <w:rFonts w:ascii="Arial" w:cs="Arial" w:eastAsia="Arial" w:hAnsi="Arial"/>
                <w:sz w:val="13"/>
                <w:szCs w:val="13"/>
                <w:b w:val="1"/>
                <w:bCs w:val="1"/>
                <w:color w:val="auto"/>
                <w:w w:val="82"/>
              </w:rPr>
              <w:t>Case Type</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780" w:type="dxa"/>
            <w:vAlign w:val="bottom"/>
          </w:tcPr>
          <w:p>
            <w:pPr>
              <w:ind w:left="120"/>
              <w:spacing w:after="0"/>
              <w:rPr>
                <w:sz w:val="20"/>
                <w:szCs w:val="20"/>
                <w:color w:val="auto"/>
              </w:rPr>
            </w:pPr>
            <w:r>
              <w:rPr>
                <w:rFonts w:ascii="Arial" w:cs="Arial" w:eastAsia="Arial" w:hAnsi="Arial"/>
                <w:sz w:val="13"/>
                <w:szCs w:val="13"/>
                <w:b w:val="1"/>
                <w:bCs w:val="1"/>
                <w:color w:val="auto"/>
                <w:w w:val="93"/>
              </w:rPr>
              <w:t>Filing Date</w:t>
            </w:r>
          </w:p>
        </w:tc>
        <w:tc>
          <w:tcPr>
            <w:tcW w:w="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58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2009303318</w:t>
            </w:r>
          </w:p>
        </w:tc>
        <w:tc>
          <w:tcPr>
            <w:tcW w:w="780" w:type="dxa"/>
            <w:vAlign w:val="bottom"/>
          </w:tcPr>
          <w:p>
            <w:pPr>
              <w:spacing w:after="0"/>
              <w:rPr>
                <w:sz w:val="20"/>
                <w:szCs w:val="20"/>
                <w:color w:val="auto"/>
              </w:rPr>
            </w:pPr>
            <w:r>
              <w:rPr>
                <w:rFonts w:ascii="Arial" w:cs="Arial" w:eastAsia="Arial" w:hAnsi="Arial"/>
                <w:sz w:val="13"/>
                <w:szCs w:val="13"/>
                <w:color w:val="auto"/>
              </w:rPr>
              <w:t>09-Oct-2009</w:t>
            </w:r>
          </w:p>
        </w:tc>
        <w:tc>
          <w:tcPr>
            <w:tcW w:w="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2009303318</w:t>
            </w:r>
          </w:p>
        </w:tc>
        <w:tc>
          <w:tcPr>
            <w:tcW w:w="9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13-Oct-2016</w:t>
            </w: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58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PI0920573-0</w:t>
            </w:r>
          </w:p>
        </w:tc>
        <w:tc>
          <w:tcPr>
            <w:tcW w:w="780" w:type="dxa"/>
            <w:vAlign w:val="bottom"/>
          </w:tcPr>
          <w:p>
            <w:pPr>
              <w:spacing w:after="0"/>
              <w:rPr>
                <w:sz w:val="20"/>
                <w:szCs w:val="20"/>
                <w:color w:val="auto"/>
              </w:rPr>
            </w:pPr>
            <w:r>
              <w:rPr>
                <w:rFonts w:ascii="Arial" w:cs="Arial" w:eastAsia="Arial" w:hAnsi="Arial"/>
                <w:sz w:val="13"/>
                <w:szCs w:val="13"/>
                <w:color w:val="auto"/>
              </w:rPr>
              <w:t>09-Oct-2009</w:t>
            </w:r>
          </w:p>
        </w:tc>
        <w:tc>
          <w:tcPr>
            <w:tcW w:w="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58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2740098</w:t>
            </w:r>
          </w:p>
        </w:tc>
        <w:tc>
          <w:tcPr>
            <w:tcW w:w="780" w:type="dxa"/>
            <w:vAlign w:val="bottom"/>
          </w:tcPr>
          <w:p>
            <w:pPr>
              <w:spacing w:after="0"/>
              <w:rPr>
                <w:sz w:val="20"/>
                <w:szCs w:val="20"/>
                <w:color w:val="auto"/>
              </w:rPr>
            </w:pPr>
            <w:r>
              <w:rPr>
                <w:rFonts w:ascii="Arial" w:cs="Arial" w:eastAsia="Arial" w:hAnsi="Arial"/>
                <w:sz w:val="13"/>
                <w:szCs w:val="13"/>
                <w:color w:val="auto"/>
              </w:rPr>
              <w:t>09-Oct-2009</w:t>
            </w:r>
          </w:p>
        </w:tc>
        <w:tc>
          <w:tcPr>
            <w:tcW w:w="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17" w:name="page218"/>
    <w:bookmarkEnd w:id="217"/>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CN</w:t>
            </w:r>
          </w:p>
        </w:tc>
        <w:tc>
          <w:tcPr>
            <w:tcW w:w="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right w:val="single" w:sz="8" w:color="auto"/>
            </w:tcBorders>
          </w:tcPr>
          <w:p>
            <w:pPr>
              <w:jc w:val="right"/>
              <w:ind w:right="496"/>
              <w:spacing w:after="0"/>
              <w:rPr>
                <w:sz w:val="20"/>
                <w:szCs w:val="20"/>
                <w:color w:val="auto"/>
              </w:rPr>
            </w:pPr>
            <w:r>
              <w:rPr>
                <w:rFonts w:ascii="Arial" w:cs="Arial" w:eastAsia="Arial" w:hAnsi="Arial"/>
                <w:sz w:val="13"/>
                <w:szCs w:val="13"/>
                <w:color w:val="auto"/>
                <w:w w:val="82"/>
              </w:rPr>
              <w:t>1</w:t>
            </w: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DIV</w:t>
            </w:r>
          </w:p>
        </w:tc>
        <w:tc>
          <w:tcPr>
            <w:tcW w:w="12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201510679112.9</w:t>
            </w:r>
          </w:p>
        </w:tc>
        <w:tc>
          <w:tcPr>
            <w:tcW w:w="8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19-Oct-2015</w:t>
            </w:r>
          </w:p>
        </w:tc>
        <w:tc>
          <w:tcPr>
            <w:tcW w:w="90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EA</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201170475</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EP</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09740584.9</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HK</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11112849.5</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HK</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496"/>
              <w:spacing w:after="0"/>
              <w:rPr>
                <w:sz w:val="20"/>
                <w:szCs w:val="20"/>
                <w:color w:val="auto"/>
              </w:rPr>
            </w:pPr>
            <w:r>
              <w:rPr>
                <w:rFonts w:ascii="Arial" w:cs="Arial" w:eastAsia="Arial" w:hAnsi="Arial"/>
                <w:sz w:val="13"/>
                <w:szCs w:val="13"/>
                <w:color w:val="auto"/>
                <w:w w:val="82"/>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12105515.1</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IN</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1934/KOLNP/2011</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JP</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496"/>
              <w:spacing w:after="0"/>
              <w:rPr>
                <w:sz w:val="20"/>
                <w:szCs w:val="20"/>
                <w:color w:val="auto"/>
              </w:rPr>
            </w:pPr>
            <w:r>
              <w:rPr>
                <w:rFonts w:ascii="Arial" w:cs="Arial" w:eastAsia="Arial" w:hAnsi="Arial"/>
                <w:sz w:val="13"/>
                <w:szCs w:val="13"/>
                <w:color w:val="auto"/>
                <w:w w:val="82"/>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2014-179868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04-Sep-2014</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5955913</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24-Jun-2016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KR</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10-2011-7010643</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NZ</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592611</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jc w:val="right"/>
              <w:ind w:right="496"/>
              <w:spacing w:after="0"/>
              <w:rPr>
                <w:sz w:val="20"/>
                <w:szCs w:val="20"/>
                <w:color w:val="auto"/>
              </w:rPr>
            </w:pPr>
            <w:r>
              <w:rPr>
                <w:rFonts w:ascii="Arial" w:cs="Arial" w:eastAsia="Arial" w:hAnsi="Arial"/>
                <w:sz w:val="13"/>
                <w:szCs w:val="13"/>
                <w:color w:val="auto"/>
                <w:w w:val="73"/>
              </w:rPr>
              <w:t>592611</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30-Apr-2013</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NZ</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496"/>
              <w:spacing w:after="0"/>
              <w:rPr>
                <w:sz w:val="20"/>
                <w:szCs w:val="20"/>
                <w:color w:val="auto"/>
              </w:rPr>
            </w:pPr>
            <w:r>
              <w:rPr>
                <w:rFonts w:ascii="Arial" w:cs="Arial" w:eastAsia="Arial" w:hAnsi="Arial"/>
                <w:sz w:val="13"/>
                <w:szCs w:val="13"/>
                <w:color w:val="auto"/>
                <w:w w:val="82"/>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603623</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jc w:val="right"/>
              <w:ind w:right="476"/>
              <w:spacing w:after="0"/>
              <w:rPr>
                <w:sz w:val="20"/>
                <w:szCs w:val="20"/>
                <w:color w:val="auto"/>
              </w:rPr>
            </w:pPr>
            <w:r>
              <w:rPr>
                <w:rFonts w:ascii="Arial" w:cs="Arial" w:eastAsia="Arial" w:hAnsi="Arial"/>
                <w:sz w:val="13"/>
                <w:szCs w:val="13"/>
                <w:color w:val="auto"/>
                <w:w w:val="78"/>
              </w:rPr>
              <w:t>603623</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02-Sep-2014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SG</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201102560-8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172754</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03-Jan-2018</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US</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496"/>
              <w:spacing w:after="0"/>
              <w:rPr>
                <w:sz w:val="20"/>
                <w:szCs w:val="20"/>
                <w:color w:val="auto"/>
              </w:rPr>
            </w:pPr>
            <w:r>
              <w:rPr>
                <w:rFonts w:ascii="Arial" w:cs="Arial" w:eastAsia="Arial" w:hAnsi="Arial"/>
                <w:sz w:val="13"/>
                <w:szCs w:val="13"/>
                <w:color w:val="auto"/>
                <w:w w:val="82"/>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15/040,744</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10-Feb-2016</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APVO.80117</w:t>
            </w:r>
          </w:p>
        </w:tc>
        <w:tc>
          <w:tcPr>
            <w:tcW w:w="560" w:type="dxa"/>
            <w:vAlign w:val="bottom"/>
          </w:tcPr>
          <w:p>
            <w:pPr>
              <w:spacing w:after="0"/>
              <w:rPr>
                <w:sz w:val="20"/>
                <w:szCs w:val="20"/>
                <w:color w:val="auto"/>
              </w:rPr>
            </w:pPr>
            <w:r>
              <w:rPr>
                <w:rFonts w:ascii="Arial" w:cs="Arial" w:eastAsia="Arial" w:hAnsi="Arial"/>
                <w:sz w:val="13"/>
                <w:szCs w:val="13"/>
                <w:color w:val="auto"/>
              </w:rPr>
              <w:t>ZA</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2011/02681</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09-Oct-2009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295"/>
        </w:trPr>
        <w:tc>
          <w:tcPr>
            <w:tcW w:w="1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7"/>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820" w:type="dxa"/>
            <w:vAlign w:val="bottom"/>
            <w:gridSpan w:val="7"/>
          </w:tcPr>
          <w:p>
            <w:pPr>
              <w:jc w:val="right"/>
              <w:ind w:right="836"/>
              <w:spacing w:after="0"/>
              <w:rPr>
                <w:sz w:val="20"/>
                <w:szCs w:val="20"/>
                <w:color w:val="auto"/>
              </w:rPr>
            </w:pPr>
            <w:r>
              <w:rPr>
                <w:rFonts w:ascii="Arial" w:cs="Arial" w:eastAsia="Arial" w:hAnsi="Arial"/>
                <w:sz w:val="13"/>
                <w:szCs w:val="13"/>
                <w:b w:val="1"/>
                <w:bCs w:val="1"/>
                <w:color w:val="auto"/>
                <w:w w:val="99"/>
              </w:rPr>
              <w:t>CD37 IMMUNOTHERAPEUTIC COMBINATION THERAPIES AND USES THEREOF</w:t>
            </w:r>
          </w:p>
        </w:tc>
        <w:tc>
          <w:tcPr>
            <w:tcW w:w="94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2"/>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gridSpan w:val="2"/>
          </w:tcPr>
          <w:p>
            <w:pPr>
              <w:ind w:left="600"/>
              <w:spacing w:after="0"/>
              <w:rPr>
                <w:sz w:val="20"/>
                <w:szCs w:val="20"/>
                <w:color w:val="auto"/>
              </w:rPr>
            </w:pPr>
            <w:r>
              <w:rPr>
                <w:rFonts w:ascii="Arial" w:cs="Arial" w:eastAsia="Arial" w:hAnsi="Arial"/>
                <w:sz w:val="13"/>
                <w:szCs w:val="13"/>
                <w:b w:val="1"/>
                <w:bCs w:val="1"/>
                <w:color w:val="auto"/>
              </w:rPr>
              <w:t>APVO.80118</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r>
      <w:tr>
        <w:trPr>
          <w:trHeight w:val="155"/>
        </w:trPr>
        <w:tc>
          <w:tcPr>
            <w:tcW w:w="12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560" w:type="dxa"/>
            <w:vAlign w:val="bottom"/>
          </w:tcPr>
          <w:p>
            <w:pPr>
              <w:ind w:left="80"/>
              <w:spacing w:after="0"/>
              <w:rPr>
                <w:sz w:val="20"/>
                <w:szCs w:val="20"/>
                <w:color w:val="auto"/>
              </w:rPr>
            </w:pPr>
            <w:r>
              <w:rPr>
                <w:rFonts w:ascii="Arial" w:cs="Arial" w:eastAsia="Arial" w:hAnsi="Arial"/>
                <w:sz w:val="13"/>
                <w:szCs w:val="13"/>
                <w:b w:val="1"/>
                <w:bCs w:val="1"/>
                <w:color w:val="auto"/>
                <w:w w:val="92"/>
              </w:rPr>
              <w:t>Country</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3"/>
              </w:rPr>
              <w:t>Subcase</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Case Type</w:t>
            </w:r>
          </w:p>
        </w:tc>
        <w:tc>
          <w:tcPr>
            <w:tcW w:w="12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APVO.80118</w:t>
            </w:r>
          </w:p>
        </w:tc>
        <w:tc>
          <w:tcPr>
            <w:tcW w:w="560" w:type="dxa"/>
            <w:vAlign w:val="bottom"/>
          </w:tcPr>
          <w:p>
            <w:pPr>
              <w:spacing w:after="0"/>
              <w:rPr>
                <w:sz w:val="20"/>
                <w:szCs w:val="20"/>
                <w:color w:val="auto"/>
              </w:rPr>
            </w:pPr>
            <w:r>
              <w:rPr>
                <w:rFonts w:ascii="Arial" w:cs="Arial" w:eastAsia="Arial" w:hAnsi="Arial"/>
                <w:sz w:val="13"/>
                <w:szCs w:val="13"/>
                <w:color w:val="auto"/>
              </w:rPr>
              <w:t>HK</w:t>
            </w:r>
          </w:p>
        </w:tc>
        <w:tc>
          <w:tcPr>
            <w:tcW w:w="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12100725.8</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18" w:name="page219"/>
    <w:bookmarkEnd w:id="218"/>
    <w:tbl>
      <w:tblPr>
        <w:tblLayout w:type="fixed"/>
        <w:tblInd w:w="15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APVO.80118</w:t>
            </w:r>
          </w:p>
        </w:tc>
        <w:tc>
          <w:tcPr>
            <w:tcW w:w="6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IL</w:t>
            </w: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Granted</w:t>
            </w:r>
          </w:p>
        </w:tc>
        <w:tc>
          <w:tcPr>
            <w:tcW w:w="600" w:type="dxa"/>
            <w:vAlign w:val="bottom"/>
            <w:tcBorders>
              <w:top w:val="single" w:sz="8" w:color="auto"/>
              <w:right w:val="single" w:sz="8" w:color="auto"/>
            </w:tcBorders>
          </w:tcPr>
          <w:p>
            <w:pPr>
              <w:spacing w:after="0"/>
              <w:rPr>
                <w:sz w:val="14"/>
                <w:szCs w:val="14"/>
                <w:color w:val="auto"/>
              </w:rPr>
            </w:pPr>
          </w:p>
        </w:tc>
        <w:tc>
          <w:tcPr>
            <w:tcW w:w="13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212834</w:t>
            </w:r>
          </w:p>
        </w:tc>
        <w:tc>
          <w:tcPr>
            <w:tcW w:w="8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top w:val="single" w:sz="8" w:color="auto"/>
              <w:right w:val="single" w:sz="8" w:color="auto"/>
            </w:tcBorders>
            <w:gridSpan w:val="2"/>
          </w:tcPr>
          <w:p>
            <w:pPr>
              <w:jc w:val="right"/>
              <w:ind w:right="436"/>
              <w:spacing w:after="0"/>
              <w:rPr>
                <w:sz w:val="20"/>
                <w:szCs w:val="20"/>
                <w:color w:val="auto"/>
              </w:rPr>
            </w:pPr>
            <w:r>
              <w:rPr>
                <w:rFonts w:ascii="Arial" w:cs="Arial" w:eastAsia="Arial" w:hAnsi="Arial"/>
                <w:sz w:val="13"/>
                <w:szCs w:val="13"/>
                <w:color w:val="auto"/>
                <w:w w:val="87"/>
              </w:rPr>
              <w:t>212834</w:t>
            </w:r>
          </w:p>
        </w:tc>
        <w:tc>
          <w:tcPr>
            <w:tcW w:w="940" w:type="dxa"/>
            <w:vAlign w:val="bottom"/>
            <w:tcBorders>
              <w:top w:val="single" w:sz="8" w:color="auto"/>
              <w:right w:val="single" w:sz="8" w:color="auto"/>
            </w:tcBorders>
            <w:gridSpan w:val="2"/>
          </w:tcPr>
          <w:p>
            <w:pPr>
              <w:ind w:left="40"/>
              <w:spacing w:after="0"/>
              <w:rPr>
                <w:sz w:val="20"/>
                <w:szCs w:val="20"/>
                <w:color w:val="auto"/>
              </w:rPr>
            </w:pPr>
            <w:r>
              <w:rPr>
                <w:rFonts w:ascii="Arial" w:cs="Arial" w:eastAsia="Arial" w:hAnsi="Arial"/>
                <w:sz w:val="13"/>
                <w:szCs w:val="13"/>
                <w:color w:val="auto"/>
              </w:rPr>
              <w:t>01-Oct-2016</w:t>
            </w:r>
          </w:p>
        </w:tc>
        <w:tc>
          <w:tcPr>
            <w:tcW w:w="140" w:type="dxa"/>
            <w:vAlign w:val="bottom"/>
          </w:tcPr>
          <w:p>
            <w:pPr>
              <w:spacing w:after="0"/>
              <w:rPr>
                <w:sz w:val="14"/>
                <w:szCs w:val="14"/>
                <w:color w:val="auto"/>
              </w:rPr>
            </w:pPr>
          </w:p>
        </w:tc>
      </w:tr>
      <w:tr>
        <w:trPr>
          <w:trHeight w:val="144"/>
        </w:trPr>
        <w:tc>
          <w:tcPr>
            <w:tcW w:w="160" w:type="dxa"/>
            <w:vAlign w:val="bottom"/>
            <w:tcBorders>
              <w:left w:val="single" w:sz="8" w:color="auto"/>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1"/>
        </w:trPr>
        <w:tc>
          <w:tcPr>
            <w:tcW w:w="1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APVO.80118</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MX</w:t>
            </w:r>
          </w:p>
        </w:tc>
        <w:tc>
          <w:tcPr>
            <w:tcW w:w="1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6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MX/a/2011/00498</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324189</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07-Oct-2014</w:t>
            </w:r>
          </w:p>
        </w:tc>
        <w:tc>
          <w:tcPr>
            <w:tcW w:w="140" w:type="dxa"/>
            <w:vAlign w:val="bottom"/>
          </w:tcPr>
          <w:p>
            <w:pPr>
              <w:spacing w:after="0"/>
              <w:rPr>
                <w:sz w:val="13"/>
                <w:szCs w:val="13"/>
                <w:color w:val="auto"/>
              </w:rPr>
            </w:pPr>
          </w:p>
        </w:tc>
      </w:tr>
      <w:tr>
        <w:trPr>
          <w:trHeight w:val="144"/>
        </w:trPr>
        <w:tc>
          <w:tcPr>
            <w:tcW w:w="160" w:type="dxa"/>
            <w:vAlign w:val="bottom"/>
            <w:tcBorders>
              <w:left w:val="single" w:sz="8" w:color="auto"/>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1"/>
        </w:trPr>
        <w:tc>
          <w:tcPr>
            <w:tcW w:w="1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APVO.80118</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NZ</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1</w:t>
            </w:r>
          </w:p>
        </w:tc>
        <w:tc>
          <w:tcPr>
            <w:tcW w:w="5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DIV</w:t>
            </w:r>
          </w:p>
        </w:tc>
        <w:tc>
          <w:tcPr>
            <w:tcW w:w="6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602407</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602407</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02-Dec-2014</w:t>
            </w:r>
          </w:p>
        </w:tc>
        <w:tc>
          <w:tcPr>
            <w:tcW w:w="140" w:type="dxa"/>
            <w:vAlign w:val="bottom"/>
          </w:tcPr>
          <w:p>
            <w:pPr>
              <w:spacing w:after="0"/>
              <w:rPr>
                <w:sz w:val="13"/>
                <w:szCs w:val="13"/>
                <w:color w:val="auto"/>
              </w:rPr>
            </w:pPr>
          </w:p>
        </w:tc>
      </w:tr>
      <w:tr>
        <w:trPr>
          <w:trHeight w:val="154"/>
        </w:trPr>
        <w:tc>
          <w:tcPr>
            <w:tcW w:w="160" w:type="dxa"/>
            <w:vAlign w:val="bottom"/>
            <w:tcBorders>
              <w:left w:val="single" w:sz="8" w:color="auto"/>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1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APVO.80118</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NZ</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2</w:t>
            </w:r>
          </w:p>
        </w:tc>
        <w:tc>
          <w:tcPr>
            <w:tcW w:w="5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DIV</w:t>
            </w:r>
          </w:p>
        </w:tc>
        <w:tc>
          <w:tcPr>
            <w:tcW w:w="6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620326</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620326</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03-Nov-2015</w:t>
            </w:r>
          </w:p>
        </w:tc>
        <w:tc>
          <w:tcPr>
            <w:tcW w:w="140" w:type="dxa"/>
            <w:vAlign w:val="bottom"/>
          </w:tcPr>
          <w:p>
            <w:pPr>
              <w:spacing w:after="0"/>
              <w:rPr>
                <w:sz w:val="13"/>
                <w:szCs w:val="13"/>
                <w:color w:val="auto"/>
              </w:rPr>
            </w:pPr>
          </w:p>
        </w:tc>
      </w:tr>
      <w:tr>
        <w:trPr>
          <w:trHeight w:val="144"/>
        </w:trPr>
        <w:tc>
          <w:tcPr>
            <w:tcW w:w="160" w:type="dxa"/>
            <w:vAlign w:val="bottom"/>
            <w:tcBorders>
              <w:left w:val="single" w:sz="8" w:color="auto"/>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1"/>
        </w:trPr>
        <w:tc>
          <w:tcPr>
            <w:tcW w:w="12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auto"/>
              </w:rPr>
              <w:t>APVO.80118</w:t>
            </w: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RU</w:t>
            </w:r>
          </w:p>
        </w:tc>
        <w:tc>
          <w:tcPr>
            <w:tcW w:w="1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PCT</w:t>
            </w:r>
          </w:p>
        </w:tc>
        <w:tc>
          <w:tcPr>
            <w:tcW w:w="6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6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2011123879</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13-Nov-2009</w:t>
            </w:r>
          </w:p>
        </w:tc>
        <w:tc>
          <w:tcPr>
            <w:tcW w:w="90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2526156</w:t>
            </w:r>
          </w:p>
        </w:tc>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20-Aug-2014</w:t>
            </w:r>
          </w:p>
        </w:tc>
        <w:tc>
          <w:tcPr>
            <w:tcW w:w="140" w:type="dxa"/>
            <w:vAlign w:val="bottom"/>
          </w:tcPr>
          <w:p>
            <w:pPr>
              <w:spacing w:after="0"/>
              <w:rPr>
                <w:sz w:val="13"/>
                <w:szCs w:val="13"/>
                <w:color w:val="auto"/>
              </w:rPr>
            </w:pPr>
          </w:p>
        </w:tc>
      </w:tr>
      <w:tr>
        <w:trPr>
          <w:trHeight w:val="144"/>
        </w:trPr>
        <w:tc>
          <w:tcPr>
            <w:tcW w:w="160" w:type="dxa"/>
            <w:vAlign w:val="bottom"/>
            <w:tcBorders>
              <w:left w:val="single" w:sz="8" w:color="auto"/>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95"/>
        </w:trPr>
        <w:tc>
          <w:tcPr>
            <w:tcW w:w="160" w:type="dxa"/>
            <w:vAlign w:val="bottom"/>
          </w:tcPr>
          <w:p>
            <w:pPr>
              <w:spacing w:after="0"/>
              <w:rPr>
                <w:sz w:val="24"/>
                <w:szCs w:val="24"/>
                <w:color w:val="auto"/>
              </w:rPr>
            </w:pPr>
          </w:p>
        </w:tc>
        <w:tc>
          <w:tcPr>
            <w:tcW w:w="8400" w:type="dxa"/>
            <w:vAlign w:val="bottom"/>
            <w:tcBorders>
              <w:bottom w:val="single" w:sz="8" w:color="auto"/>
            </w:tcBorders>
            <w:gridSpan w:val="18"/>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8400" w:type="dxa"/>
            <w:vAlign w:val="bottom"/>
            <w:gridSpan w:val="18"/>
          </w:tcPr>
          <w:p>
            <w:pPr>
              <w:ind w:left="920"/>
              <w:spacing w:after="0"/>
              <w:rPr>
                <w:sz w:val="20"/>
                <w:szCs w:val="20"/>
                <w:color w:val="auto"/>
              </w:rPr>
            </w:pPr>
            <w:r>
              <w:rPr>
                <w:rFonts w:ascii="Arial" w:cs="Arial" w:eastAsia="Arial" w:hAnsi="Arial"/>
                <w:sz w:val="13"/>
                <w:szCs w:val="13"/>
                <w:b w:val="1"/>
                <w:bCs w:val="1"/>
                <w:color w:val="auto"/>
              </w:rPr>
              <w:t>CD37 IMMUNOTHERAPEUTIC AND COMBINATION WITH BIFUNCTIONAL CHEMOTHERAPEUTIC THEREOF</w:t>
            </w:r>
          </w:p>
        </w:tc>
        <w:tc>
          <w:tcPr>
            <w:tcW w:w="140" w:type="dxa"/>
            <w:vAlign w:val="bottom"/>
            <w:tcBorders>
              <w:right w:val="single" w:sz="8" w:color="auto"/>
            </w:tcBorders>
          </w:tcPr>
          <w:p>
            <w:pPr>
              <w:spacing w:after="0"/>
              <w:rPr>
                <w:sz w:val="13"/>
                <w:szCs w:val="13"/>
                <w:color w:val="auto"/>
              </w:rPr>
            </w:pPr>
          </w:p>
        </w:tc>
      </w:tr>
      <w:tr>
        <w:trPr>
          <w:trHeight w:val="121"/>
        </w:trPr>
        <w:tc>
          <w:tcPr>
            <w:tcW w:w="160" w:type="dxa"/>
            <w:vAlign w:val="bottom"/>
            <w:tcBorders>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20" w:type="dxa"/>
            <w:vAlign w:val="bottom"/>
            <w:gridSpan w:val="3"/>
          </w:tcPr>
          <w:p>
            <w:pPr>
              <w:ind w:left="100"/>
              <w:spacing w:after="0"/>
              <w:rPr>
                <w:sz w:val="20"/>
                <w:szCs w:val="20"/>
                <w:color w:val="auto"/>
              </w:rPr>
            </w:pPr>
            <w:r>
              <w:rPr>
                <w:rFonts w:ascii="Arial" w:cs="Arial" w:eastAsia="Arial" w:hAnsi="Arial"/>
                <w:sz w:val="13"/>
                <w:szCs w:val="13"/>
                <w:b w:val="1"/>
                <w:bCs w:val="1"/>
                <w:color w:val="auto"/>
              </w:rPr>
              <w:t>APVO.80120</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r>
      <w:tr>
        <w:trPr>
          <w:trHeight w:val="121"/>
        </w:trPr>
        <w:tc>
          <w:tcPr>
            <w:tcW w:w="160" w:type="dxa"/>
            <w:vAlign w:val="bottom"/>
            <w:tcBorders>
              <w:right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680" w:type="dxa"/>
            <w:vAlign w:val="bottom"/>
            <w:tcBorders>
              <w:bottom w:val="single" w:sz="8" w:color="auto"/>
            </w:tcBorders>
            <w:gridSpan w:val="2"/>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1220" w:type="dxa"/>
            <w:vAlign w:val="bottom"/>
            <w:tcBorders>
              <w:bottom w:val="single" w:sz="8" w:color="auto"/>
            </w:tcBorders>
            <w:gridSpan w:val="3"/>
          </w:tcPr>
          <w:p>
            <w:pPr>
              <w:spacing w:after="0"/>
              <w:rPr>
                <w:sz w:val="10"/>
                <w:szCs w:val="10"/>
                <w:color w:val="auto"/>
              </w:rPr>
            </w:pPr>
          </w:p>
        </w:tc>
        <w:tc>
          <w:tcPr>
            <w:tcW w:w="1320" w:type="dxa"/>
            <w:vAlign w:val="bottom"/>
            <w:tcBorders>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r>
      <w:tr>
        <w:trPr>
          <w:trHeight w:val="155"/>
        </w:trPr>
        <w:tc>
          <w:tcPr>
            <w:tcW w:w="160" w:type="dxa"/>
            <w:vAlign w:val="bottom"/>
            <w:tcBorders>
              <w:right w:val="single" w:sz="8" w:color="auto"/>
            </w:tcBorders>
          </w:tcPr>
          <w:p>
            <w:pPr>
              <w:spacing w:after="0"/>
              <w:rPr>
                <w:sz w:val="13"/>
                <w:szCs w:val="13"/>
                <w:color w:val="auto"/>
              </w:rPr>
            </w:pP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w w:val="91"/>
              </w:rPr>
              <w:t>Docket Number</w:t>
            </w:r>
          </w:p>
        </w:tc>
        <w:tc>
          <w:tcPr>
            <w:tcW w:w="1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Country</w:t>
            </w:r>
          </w:p>
        </w:tc>
        <w:tc>
          <w:tcPr>
            <w:tcW w:w="68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Subcase</w:t>
            </w:r>
          </w:p>
        </w:tc>
        <w:tc>
          <w:tcPr>
            <w:tcW w:w="76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8"/>
              </w:rPr>
              <w:t>Case Type</w:t>
            </w:r>
          </w:p>
        </w:tc>
        <w:tc>
          <w:tcPr>
            <w:tcW w:w="1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4"/>
              </w:rPr>
              <w:t>Application Status</w:t>
            </w:r>
          </w:p>
        </w:tc>
        <w:tc>
          <w:tcPr>
            <w:tcW w:w="1320" w:type="dxa"/>
            <w:vAlign w:val="bottom"/>
            <w:tcBorders>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5"/>
              </w:rPr>
              <w:t>Application Number</w:t>
            </w:r>
          </w:p>
        </w:tc>
        <w:tc>
          <w:tcPr>
            <w:tcW w:w="740" w:type="dxa"/>
            <w:vAlign w:val="bottom"/>
          </w:tcPr>
          <w:p>
            <w:pPr>
              <w:ind w:left="100"/>
              <w:spacing w:after="0"/>
              <w:rPr>
                <w:sz w:val="20"/>
                <w:szCs w:val="20"/>
                <w:color w:val="auto"/>
              </w:rPr>
            </w:pPr>
            <w:r>
              <w:rPr>
                <w:rFonts w:ascii="Arial" w:cs="Arial" w:eastAsia="Arial" w:hAnsi="Arial"/>
                <w:sz w:val="13"/>
                <w:szCs w:val="13"/>
                <w:b w:val="1"/>
                <w:bCs w:val="1"/>
                <w:color w:val="auto"/>
                <w:w w:val="90"/>
              </w:rPr>
              <w:t>Filing Date</w:t>
            </w:r>
          </w:p>
        </w:tc>
        <w:tc>
          <w:tcPr>
            <w:tcW w:w="1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800" w:type="dxa"/>
            <w:vAlign w:val="bottom"/>
          </w:tcPr>
          <w:p>
            <w:pPr>
              <w:ind w:left="160"/>
              <w:spacing w:after="0"/>
              <w:rPr>
                <w:sz w:val="20"/>
                <w:szCs w:val="20"/>
                <w:color w:val="auto"/>
              </w:rPr>
            </w:pPr>
            <w:r>
              <w:rPr>
                <w:rFonts w:ascii="Arial" w:cs="Arial" w:eastAsia="Arial" w:hAnsi="Arial"/>
                <w:sz w:val="13"/>
                <w:szCs w:val="13"/>
                <w:b w:val="1"/>
                <w:bCs w:val="1"/>
                <w:color w:val="auto"/>
                <w:w w:val="92"/>
              </w:rPr>
              <w:t>Issue Date</w:t>
            </w:r>
          </w:p>
        </w:tc>
        <w:tc>
          <w:tcPr>
            <w:tcW w:w="140" w:type="dxa"/>
            <w:vAlign w:val="bottom"/>
            <w:tcBorders>
              <w:right w:val="single" w:sz="8" w:color="auto"/>
            </w:tcBorders>
          </w:tcPr>
          <w:p>
            <w:pPr>
              <w:spacing w:after="0"/>
              <w:rPr>
                <w:sz w:val="13"/>
                <w:szCs w:val="13"/>
                <w:color w:val="auto"/>
              </w:rPr>
            </w:pPr>
          </w:p>
        </w:tc>
      </w:tr>
      <w:tr>
        <w:trPr>
          <w:trHeight w:val="140"/>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AL</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3791</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22-Jun-2011</w:t>
            </w:r>
          </w:p>
        </w:tc>
        <w:tc>
          <w:tcPr>
            <w:tcW w:w="140" w:type="dxa"/>
            <w:vAlign w:val="bottom"/>
            <w:tcBorders>
              <w:right w:val="single" w:sz="8" w:color="auto"/>
            </w:tcBorders>
          </w:tcPr>
          <w:p>
            <w:pPr>
              <w:spacing w:after="0"/>
              <w:rPr>
                <w:sz w:val="13"/>
                <w:szCs w:val="13"/>
                <w:color w:val="auto"/>
              </w:rPr>
            </w:pPr>
          </w:p>
        </w:tc>
      </w:tr>
      <w:tr>
        <w:trPr>
          <w:trHeight w:val="154"/>
        </w:trPr>
        <w:tc>
          <w:tcPr>
            <w:tcW w:w="160" w:type="dxa"/>
            <w:vAlign w:val="bottom"/>
            <w:tcBorders>
              <w:right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AT</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E513856</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22-Jun-2011</w:t>
            </w: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AU</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PCT</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2009234277</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2009234277</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19-Mar-2015</w:t>
            </w: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BA</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w w:val="90"/>
              </w:rPr>
              <w:t>BAP/EP2132228</w:t>
            </w:r>
          </w:p>
        </w:tc>
        <w:tc>
          <w:tcPr>
            <w:tcW w:w="800" w:type="dxa"/>
            <w:vAlign w:val="bottom"/>
          </w:tcPr>
          <w:p>
            <w:pPr>
              <w:spacing w:after="0"/>
              <w:rPr>
                <w:sz w:val="20"/>
                <w:szCs w:val="20"/>
                <w:color w:val="auto"/>
              </w:rPr>
            </w:pPr>
            <w:r>
              <w:rPr>
                <w:rFonts w:ascii="Arial" w:cs="Arial" w:eastAsia="Arial" w:hAnsi="Arial"/>
                <w:sz w:val="13"/>
                <w:szCs w:val="13"/>
                <w:color w:val="auto"/>
              </w:rPr>
              <w:t>31-Mar-2014</w:t>
            </w: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BE</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2132228</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22-Jun-2011</w:t>
            </w:r>
          </w:p>
        </w:tc>
        <w:tc>
          <w:tcPr>
            <w:tcW w:w="140" w:type="dxa"/>
            <w:vAlign w:val="bottom"/>
            <w:tcBorders>
              <w:right w:val="single" w:sz="8" w:color="auto"/>
            </w:tcBorders>
          </w:tcPr>
          <w:p>
            <w:pPr>
              <w:spacing w:after="0"/>
              <w:rPr>
                <w:sz w:val="13"/>
                <w:szCs w:val="13"/>
                <w:color w:val="auto"/>
              </w:rPr>
            </w:pPr>
          </w:p>
        </w:tc>
      </w:tr>
      <w:tr>
        <w:trPr>
          <w:trHeight w:val="154"/>
        </w:trPr>
        <w:tc>
          <w:tcPr>
            <w:tcW w:w="160" w:type="dxa"/>
            <w:vAlign w:val="bottom"/>
            <w:tcBorders>
              <w:right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right w:val="single" w:sz="8" w:color="auto"/>
            </w:tcBorders>
            <w:gridSpan w:val="2"/>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BG</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2132228</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22-Jun-2011</w:t>
            </w: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BR</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PCT</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Pending</w:t>
            </w:r>
          </w:p>
        </w:tc>
        <w:tc>
          <w:tcPr>
            <w:tcW w:w="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PI0911377-0</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CA</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PCT</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2719924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3"/>
                <w:szCs w:val="13"/>
                <w:color w:val="auto"/>
              </w:rPr>
              <w:t>2719924</w:t>
            </w:r>
          </w:p>
        </w:tc>
        <w:tc>
          <w:tcPr>
            <w:tcW w:w="140" w:type="dxa"/>
            <w:vAlign w:val="bottom"/>
            <w:tcBorders>
              <w:right w:val="single" w:sz="8" w:color="auto"/>
            </w:tcBorders>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w w:val="99"/>
              </w:rPr>
              <w:t>03-Oct-2017</w:t>
            </w:r>
          </w:p>
        </w:tc>
        <w:tc>
          <w:tcPr>
            <w:tcW w:w="140" w:type="dxa"/>
            <w:vAlign w:val="bottom"/>
            <w:tcBorders>
              <w:right w:val="single" w:sz="8" w:color="auto"/>
            </w:tcBorders>
          </w:tcPr>
          <w:p>
            <w:pPr>
              <w:spacing w:after="0"/>
              <w:rPr>
                <w:sz w:val="13"/>
                <w:szCs w:val="13"/>
                <w:color w:val="auto"/>
              </w:rPr>
            </w:pPr>
          </w:p>
        </w:tc>
      </w:tr>
      <w:tr>
        <w:trPr>
          <w:trHeight w:val="144"/>
        </w:trPr>
        <w:tc>
          <w:tcPr>
            <w:tcW w:w="160" w:type="dxa"/>
            <w:vAlign w:val="bottom"/>
            <w:tcBorders>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right w:val="single" w:sz="8" w:color="auto"/>
            </w:tcBorders>
            <w:gridSpan w:val="2"/>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r>
      <w:tr>
        <w:trPr>
          <w:trHeight w:val="151"/>
        </w:trPr>
        <w:tc>
          <w:tcPr>
            <w:tcW w:w="160" w:type="dxa"/>
            <w:vAlign w:val="bottom"/>
            <w:tcBorders>
              <w:right w:val="single" w:sz="8" w:color="auto"/>
            </w:tcBorders>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APVO.80120</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CH</w:t>
            </w:r>
          </w:p>
        </w:tc>
        <w:tc>
          <w:tcPr>
            <w:tcW w:w="120" w:type="dxa"/>
            <w:vAlign w:val="bottom"/>
            <w:tcBorders>
              <w:right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EPC</w:t>
            </w:r>
          </w:p>
        </w:tc>
        <w:tc>
          <w:tcPr>
            <w:tcW w:w="140" w:type="dxa"/>
            <w:vAlign w:val="bottom"/>
            <w:tcBorders>
              <w:right w:val="single" w:sz="8" w:color="auto"/>
            </w:tcBorders>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Granted</w:t>
            </w:r>
          </w:p>
        </w:tc>
        <w:tc>
          <w:tcPr>
            <w:tcW w:w="720" w:type="dxa"/>
            <w:vAlign w:val="bottom"/>
            <w:tcBorders>
              <w:right w:val="single" w:sz="8" w:color="auto"/>
            </w:tcBorders>
            <w:gridSpan w:val="2"/>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09707110.4</w:t>
            </w:r>
          </w:p>
        </w:tc>
        <w:tc>
          <w:tcPr>
            <w:tcW w:w="120" w:type="dxa"/>
            <w:vAlign w:val="bottom"/>
            <w:tcBorders>
              <w:right w:val="single" w:sz="8" w:color="auto"/>
            </w:tcBorders>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w w:val="96"/>
              </w:rPr>
              <w:t>11-Apr-2009</w:t>
            </w:r>
          </w:p>
        </w:tc>
        <w:tc>
          <w:tcPr>
            <w:tcW w:w="120" w:type="dxa"/>
            <w:vAlign w:val="bottom"/>
            <w:tcBorders>
              <w:right w:val="single" w:sz="8" w:color="auto"/>
            </w:tcBorders>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2132228</w:t>
            </w:r>
          </w:p>
        </w:tc>
        <w:tc>
          <w:tcPr>
            <w:tcW w:w="140" w:type="dxa"/>
            <w:vAlign w:val="bottom"/>
            <w:tcBorders>
              <w:right w:val="single" w:sz="8" w:color="auto"/>
            </w:tcBorders>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22-Jun-2011</w:t>
            </w:r>
          </w:p>
        </w:tc>
        <w:tc>
          <w:tcPr>
            <w:tcW w:w="140" w:type="dxa"/>
            <w:vAlign w:val="bottom"/>
            <w:tcBorders>
              <w:right w:val="single" w:sz="8" w:color="auto"/>
            </w:tcBorders>
          </w:tcPr>
          <w:p>
            <w:pPr>
              <w:spacing w:after="0"/>
              <w:rPr>
                <w:sz w:val="13"/>
                <w:szCs w:val="13"/>
                <w:color w:val="auto"/>
              </w:rPr>
            </w:pPr>
          </w:p>
        </w:tc>
      </w:tr>
      <w:tr>
        <w:trPr>
          <w:trHeight w:val="154"/>
        </w:trPr>
        <w:tc>
          <w:tcPr>
            <w:tcW w:w="160" w:type="dxa"/>
            <w:vAlign w:val="bottom"/>
            <w:tcBorders>
              <w:right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19" w:name="page220"/>
    <w:bookmarkEnd w:id="219"/>
    <w:tbl>
      <w:tblPr>
        <w:tblLayout w:type="fixed"/>
        <w:tblInd w:w="290" w:type="dxa"/>
        <w:tblCellMar>
          <w:top w:w="0" w:type="dxa"/>
          <w:left w:w="0" w:type="dxa"/>
          <w:bottom w:w="0" w:type="dxa"/>
          <w:right w:w="0" w:type="dxa"/>
        </w:tblCellMar>
      </w:tblPr>
      <w:tr>
        <w:trPr>
          <w:trHeight w:val="171"/>
        </w:trPr>
        <w:tc>
          <w:tcPr>
            <w:tcW w:w="1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CN</w:t>
            </w:r>
          </w:p>
        </w:tc>
        <w:tc>
          <w:tcPr>
            <w:tcW w:w="680" w:type="dxa"/>
            <w:vAlign w:val="bottom"/>
            <w:tcBorders>
              <w:top w:val="single" w:sz="8" w:color="auto"/>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DIV</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201510609700.5</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22-Sep-2015</w:t>
            </w:r>
          </w:p>
        </w:tc>
        <w:tc>
          <w:tcPr>
            <w:tcW w:w="92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0"/>
              </w:rPr>
              <w:t>CY20111100815</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CZ</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0"/>
              </w:rPr>
              <w:t>602009001618.0</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EE</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2011-002821</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10103762.8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1137767</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11-Jan-2013</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12101244.8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08-Feb-2012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HR</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P20110619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HU</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E012589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208566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7230/CHENP/2010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20" w:name="page221"/>
    <w:bookmarkEnd w:id="220"/>
    <w:tbl>
      <w:tblPr>
        <w:tblLayout w:type="fixed"/>
        <w:tblInd w:w="290" w:type="dxa"/>
        <w:tblCellMar>
          <w:top w:w="0" w:type="dxa"/>
          <w:left w:w="0" w:type="dxa"/>
          <w:bottom w:w="0" w:type="dxa"/>
          <w:right w:w="0" w:type="dxa"/>
        </w:tblCellMar>
      </w:tblPr>
      <w:tr>
        <w:trPr>
          <w:trHeight w:val="171"/>
        </w:trPr>
        <w:tc>
          <w:tcPr>
            <w:tcW w:w="1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IS</w:t>
            </w:r>
          </w:p>
        </w:tc>
        <w:tc>
          <w:tcPr>
            <w:tcW w:w="68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2011-504229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6013733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30-Sep-2016</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LT</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LV</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MK</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904060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08-May-2012</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80"/>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MT</w:t>
            </w:r>
          </w:p>
        </w:tc>
        <w:tc>
          <w:tcPr>
            <w:tcW w:w="6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89"/>
              </w:rPr>
              <w:t>EP00367/213222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61"/>
        </w:trPr>
        <w:tc>
          <w:tcPr>
            <w:tcW w:w="1220" w:type="dxa"/>
            <w:vAlign w:val="bottom"/>
            <w:tcBorders>
              <w:left w:val="single" w:sz="8" w:color="auto"/>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w:t>
            </w:r>
          </w:p>
        </w:tc>
        <w:tc>
          <w:tcPr>
            <w:tcW w:w="920" w:type="dxa"/>
            <w:vAlign w:val="bottom"/>
            <w:tcBorders>
              <w:right w:val="single" w:sz="8" w:color="auto"/>
            </w:tcBorders>
          </w:tcPr>
          <w:p>
            <w:pPr>
              <w:spacing w:after="0"/>
              <w:rPr>
                <w:sz w:val="14"/>
                <w:szCs w:val="14"/>
                <w:color w:val="auto"/>
              </w:rPr>
            </w:pPr>
          </w:p>
        </w:tc>
      </w:tr>
      <w:tr>
        <w:trPr>
          <w:trHeight w:val="106"/>
        </w:trPr>
        <w:tc>
          <w:tcPr>
            <w:tcW w:w="1220" w:type="dxa"/>
            <w:vAlign w:val="bottom"/>
            <w:tcBorders>
              <w:left w:val="single" w:sz="8" w:color="auto"/>
              <w:bottom w:val="single" w:sz="8" w:color="auto"/>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920" w:type="dxa"/>
            <w:vAlign w:val="bottom"/>
            <w:tcBorders>
              <w:bottom w:val="single" w:sz="8" w:color="auto"/>
              <w:right w:val="single" w:sz="8" w:color="auto"/>
            </w:tcBorders>
          </w:tcPr>
          <w:p>
            <w:pPr>
              <w:spacing w:after="0"/>
              <w:rPr>
                <w:sz w:val="9"/>
                <w:szCs w:val="9"/>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MX/a/2010/011057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298052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11-Apr-2012</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MX/a/2012/001458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340204</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30-Jun-2016</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NO</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588671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588671</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01-Mar-2013</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603059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603059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29-Oct-2014</w:t>
            </w: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2</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621443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26-Feb-2014</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621443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06-Jan-2016</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6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2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1" w:name="page222"/>
    <w:bookmarkEnd w:id="221"/>
    <w:tbl>
      <w:tblPr>
        <w:tblLayout w:type="fixed"/>
        <w:tblInd w:w="29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PT</w:t>
            </w:r>
          </w:p>
        </w:tc>
        <w:tc>
          <w:tcPr>
            <w:tcW w:w="66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EPC</w:t>
            </w:r>
          </w:p>
        </w:tc>
        <w:tc>
          <w:tcPr>
            <w:tcW w:w="120" w:type="dxa"/>
            <w:vAlign w:val="bottom"/>
            <w:tcBorders>
              <w:top w:val="single" w:sz="8" w:color="auto"/>
              <w:right w:val="single" w:sz="8" w:color="auto"/>
            </w:tcBorders>
          </w:tcPr>
          <w:p>
            <w:pPr>
              <w:spacing w:after="0"/>
              <w:rPr>
                <w:sz w:val="14"/>
                <w:szCs w:val="14"/>
                <w:color w:val="auto"/>
              </w:rPr>
            </w:pP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RO</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RS</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P-2011/0408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51975</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PCT</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2010145917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2531754</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27-Oct-2014</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PCT</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201007096-9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165063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30-Apr-2013</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2132228</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TR</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EPC</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09707110.4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TR20110859T4</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22-Jun-2011</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ORD</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12/422,780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9,101,609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11-Aug-2015</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60" w:type="dxa"/>
            <w:vAlign w:val="bottom"/>
            <w:tcBorders>
              <w:right w:val="single" w:sz="8" w:color="auto"/>
            </w:tcBorders>
          </w:tcPr>
          <w:p>
            <w:pPr>
              <w:jc w:val="right"/>
              <w:ind w:right="575"/>
              <w:spacing w:after="0"/>
              <w:rPr>
                <w:sz w:val="20"/>
                <w:szCs w:val="20"/>
                <w:color w:val="auto"/>
              </w:rPr>
            </w:pPr>
            <w:r>
              <w:rPr>
                <w:rFonts w:ascii="Arial" w:cs="Arial" w:eastAsia="Arial" w:hAnsi="Arial"/>
                <w:sz w:val="5"/>
                <w:szCs w:val="5"/>
                <w:color w:val="auto"/>
                <w:w w:val="70"/>
              </w:rPr>
              <w:t>1</w:t>
            </w:r>
          </w:p>
        </w:tc>
        <w:tc>
          <w:tcPr>
            <w:tcW w:w="640" w:type="dxa"/>
            <w:vAlign w:val="bottom"/>
          </w:tcPr>
          <w:p>
            <w:pPr>
              <w:spacing w:after="0"/>
              <w:rPr>
                <w:sz w:val="20"/>
                <w:szCs w:val="20"/>
                <w:color w:val="auto"/>
              </w:rPr>
            </w:pPr>
            <w:r>
              <w:rPr>
                <w:rFonts w:ascii="Arial" w:cs="Arial" w:eastAsia="Arial" w:hAnsi="Arial"/>
                <w:sz w:val="13"/>
                <w:szCs w:val="13"/>
                <w:color w:val="auto"/>
              </w:rPr>
              <w:t>PCT</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12/678,857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15-Jul-2010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8,333,966</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18-Dec-2012</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APVO.80120</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PCT</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2010/07570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11-Apr-2009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2010/07570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28-Mar-2012</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gridSpan w:val="2"/>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295"/>
        </w:trPr>
        <w:tc>
          <w:tcPr>
            <w:tcW w:w="1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01"/>
        </w:trPr>
        <w:tc>
          <w:tcPr>
            <w:tcW w:w="1240" w:type="dxa"/>
            <w:vAlign w:val="bottom"/>
            <w:tcBorders>
              <w:lef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80" w:type="dxa"/>
            <w:vAlign w:val="bottom"/>
            <w:gridSpan w:val="3"/>
          </w:tcPr>
          <w:p>
            <w:pPr>
              <w:jc w:val="center"/>
              <w:ind w:left="197"/>
              <w:spacing w:after="0" w:line="101" w:lineRule="exact"/>
              <w:rPr>
                <w:sz w:val="20"/>
                <w:szCs w:val="20"/>
                <w:color w:val="auto"/>
              </w:rPr>
            </w:pPr>
            <w:r>
              <w:rPr>
                <w:rFonts w:ascii="Arial" w:cs="Arial" w:eastAsia="Arial" w:hAnsi="Arial"/>
                <w:sz w:val="11"/>
                <w:szCs w:val="11"/>
                <w:b w:val="1"/>
                <w:bCs w:val="1"/>
                <w:color w:val="auto"/>
              </w:rPr>
              <w:t>Heterodimer Binding</w:t>
            </w: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r>
      <w:tr>
        <w:trPr>
          <w:trHeight w:val="134"/>
        </w:trPr>
        <w:tc>
          <w:tcPr>
            <w:tcW w:w="1240" w:type="dxa"/>
            <w:vAlign w:val="bottom"/>
            <w:tcBorders>
              <w:left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jc w:val="center"/>
              <w:ind w:right="316"/>
              <w:spacing w:after="0" w:line="134" w:lineRule="exact"/>
              <w:rPr>
                <w:sz w:val="20"/>
                <w:szCs w:val="20"/>
                <w:color w:val="auto"/>
              </w:rPr>
            </w:pPr>
            <w:r>
              <w:rPr>
                <w:rFonts w:ascii="Arial" w:cs="Arial" w:eastAsia="Arial" w:hAnsi="Arial"/>
                <w:sz w:val="13"/>
                <w:szCs w:val="13"/>
                <w:b w:val="1"/>
                <w:bCs w:val="1"/>
                <w:color w:val="auto"/>
                <w:w w:val="84"/>
              </w:rPr>
              <w:t>Proteins and Uses</w:t>
            </w:r>
          </w:p>
        </w:tc>
        <w:tc>
          <w:tcPr>
            <w:tcW w:w="1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r>
        <w:trPr>
          <w:trHeight w:val="156"/>
        </w:trPr>
        <w:tc>
          <w:tcPr>
            <w:tcW w:w="1240" w:type="dxa"/>
            <w:vAlign w:val="bottom"/>
            <w:tcBorders>
              <w:left w:val="single" w:sz="8" w:color="auto"/>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456"/>
              <w:spacing w:after="0"/>
              <w:rPr>
                <w:sz w:val="20"/>
                <w:szCs w:val="20"/>
                <w:color w:val="auto"/>
              </w:rPr>
            </w:pPr>
            <w:r>
              <w:rPr>
                <w:rFonts w:ascii="Arial" w:cs="Arial" w:eastAsia="Arial" w:hAnsi="Arial"/>
                <w:sz w:val="13"/>
                <w:szCs w:val="13"/>
                <w:b w:val="1"/>
                <w:bCs w:val="1"/>
                <w:color w:val="auto"/>
                <w:w w:val="88"/>
              </w:rPr>
              <w:t>Thereof</w:t>
            </w:r>
          </w:p>
        </w:tc>
        <w:tc>
          <w:tcPr>
            <w:tcW w:w="1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5"/>
        </w:trPr>
        <w:tc>
          <w:tcPr>
            <w:tcW w:w="124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b w:val="1"/>
                <w:bCs w:val="1"/>
                <w:color w:val="auto"/>
              </w:rPr>
              <w:t>APVO.80121</w:t>
            </w: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21"/>
        </w:trPr>
        <w:tc>
          <w:tcPr>
            <w:tcW w:w="124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r>
      <w:tr>
        <w:trPr>
          <w:trHeight w:val="155"/>
        </w:trPr>
        <w:tc>
          <w:tcPr>
            <w:tcW w:w="12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60" w:type="dxa"/>
            <w:vAlign w:val="bottom"/>
            <w:tcBorders>
              <w:right w:val="single" w:sz="8" w:color="auto"/>
            </w:tcBorders>
          </w:tcPr>
          <w:p>
            <w:pPr>
              <w:jc w:val="right"/>
              <w:ind w:right="95"/>
              <w:spacing w:after="0"/>
              <w:rPr>
                <w:sz w:val="20"/>
                <w:szCs w:val="20"/>
                <w:color w:val="auto"/>
              </w:rPr>
            </w:pPr>
            <w:r>
              <w:rPr>
                <w:rFonts w:ascii="Arial" w:cs="Arial" w:eastAsia="Arial" w:hAnsi="Arial"/>
                <w:sz w:val="13"/>
                <w:szCs w:val="13"/>
                <w:b w:val="1"/>
                <w:bCs w:val="1"/>
                <w:color w:val="auto"/>
                <w:w w:val="93"/>
              </w:rPr>
              <w:t>Subcase</w:t>
            </w: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w w:val="82"/>
              </w:rPr>
              <w:t>Case Type</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4"/>
              </w:rPr>
              <w:t>Application Status</w:t>
            </w:r>
          </w:p>
        </w:tc>
        <w:tc>
          <w:tcPr>
            <w:tcW w:w="13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8"/>
              </w:rPr>
              <w:t>Application Number</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5"/>
              </w:rPr>
              <w:t>Patent Number</w:t>
            </w:r>
          </w:p>
        </w:tc>
        <w:tc>
          <w:tcPr>
            <w:tcW w:w="9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EPP</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AT</w:t>
            </w:r>
          </w:p>
        </w:tc>
        <w:tc>
          <w:tcPr>
            <w:tcW w:w="660" w:type="dxa"/>
            <w:vAlign w:val="bottom"/>
            <w:tcBorders>
              <w:right w:val="single" w:sz="8" w:color="auto"/>
            </w:tcBorders>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EPP</w:t>
            </w:r>
          </w:p>
        </w:tc>
        <w:tc>
          <w:tcPr>
            <w:tcW w:w="1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2" w:name="page223"/>
    <w:bookmarkEnd w:id="222"/>
    <w:tbl>
      <w:tblPr>
        <w:tblLayout w:type="fixed"/>
        <w:tblInd w:w="29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AU</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2010343057</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2010343057</w:t>
            </w:r>
          </w:p>
        </w:tc>
        <w:tc>
          <w:tcPr>
            <w:tcW w:w="9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08-Jun-2017</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EPC</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BG</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112012 0161350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2,784,814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201610086074.0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15-Feb-2016</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CY</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CZ</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DK</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201290568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023674</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ES</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FI</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FR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GB</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3" w:name="page224"/>
    <w:bookmarkEnd w:id="223"/>
    <w:tbl>
      <w:tblPr>
        <w:tblLayout w:type="fixed"/>
        <w:tblInd w:w="29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12111376.7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1170741</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13109776.6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HU</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220398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220398</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01-Apr-2018</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1608/KOLNP/2012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IS</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IT</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2012-547282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5851419</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11-Dec-2015</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10-2012-7019837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LI</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LT</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LU</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LV</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MC</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4" w:name="page225"/>
    <w:bookmarkEnd w:id="224"/>
    <w:tbl>
      <w:tblPr>
        <w:tblLayout w:type="fixed"/>
        <w:tblInd w:w="290" w:type="dxa"/>
        <w:tblCellMar>
          <w:top w:w="0" w:type="dxa"/>
          <w:left w:w="0" w:type="dxa"/>
          <w:bottom w:w="0" w:type="dxa"/>
          <w:right w:w="0" w:type="dxa"/>
        </w:tblCellMar>
      </w:tblPr>
      <w:tr>
        <w:trPr>
          <w:trHeight w:val="171"/>
        </w:trPr>
        <w:tc>
          <w:tcPr>
            <w:tcW w:w="1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MK</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MT</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MX/a/2012/007533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341796</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02-Sep-2016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NL</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NO</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600820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600820</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25-Mar-2015</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PL</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PT</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RO</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Abandoned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RS</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SE</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201204741-1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181952</w:t>
            </w:r>
          </w:p>
        </w:tc>
        <w:tc>
          <w:tcPr>
            <w:tcW w:w="9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26-Apr-2017</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SI</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SK</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SM</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EPP</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10803713.6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2519543</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29-Jun-2016</w:t>
            </w: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2</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15/802,636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03-Nov-2017</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24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APVO.80121</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2012/04797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29-Dec-2010</w:t>
            </w:r>
          </w:p>
        </w:tc>
        <w:tc>
          <w:tcPr>
            <w:tcW w:w="9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4"/>
        </w:trPr>
        <w:tc>
          <w:tcPr>
            <w:tcW w:w="124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5" w:name="page226"/>
    <w:bookmarkEnd w:id="225"/>
    <w:p>
      <w:pPr>
        <w:ind w:left="3920"/>
        <w:spacing w:after="0"/>
        <w:rPr>
          <w:sz w:val="20"/>
          <w:szCs w:val="20"/>
          <w:color w:val="auto"/>
        </w:rPr>
      </w:pPr>
      <w:r>
        <w:rPr>
          <w:rFonts w:ascii="Arial" w:cs="Arial" w:eastAsia="Arial" w:hAnsi="Arial"/>
          <w:sz w:val="13"/>
          <w:szCs w:val="13"/>
          <w:b w:val="1"/>
          <w:bCs w:val="1"/>
          <w:color w:val="auto"/>
        </w:rPr>
        <w:t>RTCC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-85090</wp:posOffset>
            </wp:positionV>
            <wp:extent cx="5425440" cy="13760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25440" cy="1376045"/>
                    </a:xfrm>
                    <a:prstGeom prst="rect">
                      <a:avLst/>
                    </a:prstGeom>
                    <a:noFill/>
                  </pic:spPr>
                </pic:pic>
              </a:graphicData>
            </a:graphic>
          </wp:anchor>
        </w:drawing>
      </w:r>
    </w:p>
    <w:p>
      <w:pPr>
        <w:ind w:left="3920"/>
        <w:spacing w:after="0"/>
        <w:rPr>
          <w:sz w:val="20"/>
          <w:szCs w:val="20"/>
          <w:color w:val="auto"/>
        </w:rPr>
      </w:pPr>
      <w:r>
        <w:rPr>
          <w:rFonts w:ascii="Arial" w:cs="Arial" w:eastAsia="Arial" w:hAnsi="Arial"/>
          <w:sz w:val="13"/>
          <w:szCs w:val="13"/>
          <w:b w:val="1"/>
          <w:bCs w:val="1"/>
          <w:color w:val="auto"/>
        </w:rPr>
        <w:t>Constructs</w:t>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Prostate Specific Membrane Antigen Binding Proteins and Related Compositions and Methods</w:t>
      </w:r>
    </w:p>
    <w:p>
      <w:pPr>
        <w:spacing w:after="0" w:line="143"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APVO.80124</w:t>
      </w:r>
    </w:p>
    <w:p>
      <w:pPr>
        <w:spacing w:after="0" w:line="139" w:lineRule="exact"/>
        <w:rPr>
          <w:sz w:val="20"/>
          <w:szCs w:val="20"/>
          <w:color w:val="auto"/>
        </w:rPr>
      </w:pPr>
    </w:p>
    <w:tbl>
      <w:tblPr>
        <w:tblLayout w:type="fixed"/>
        <w:tblInd w:w="150" w:type="dxa"/>
        <w:tblCellMar>
          <w:top w:w="0" w:type="dxa"/>
          <w:left w:w="0" w:type="dxa"/>
          <w:bottom w:w="0" w:type="dxa"/>
          <w:right w:w="0" w:type="dxa"/>
        </w:tblCellMar>
      </w:tblPr>
      <w:tr>
        <w:trPr>
          <w:trHeight w:val="175"/>
        </w:trPr>
        <w:tc>
          <w:tcPr>
            <w:tcW w:w="12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7"/>
              </w:rPr>
              <w:t>Subcase</w:t>
            </w:r>
          </w:p>
        </w:tc>
        <w:tc>
          <w:tcPr>
            <w:tcW w:w="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Case Type</w:t>
            </w:r>
          </w:p>
        </w:tc>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w w:val="87"/>
              </w:rPr>
              <w:t>Application Status</w:t>
            </w:r>
          </w:p>
        </w:tc>
        <w:tc>
          <w:tcPr>
            <w:tcW w:w="260" w:type="dxa"/>
            <w:vAlign w:val="bottom"/>
            <w:tcBorders>
              <w:top w:val="single" w:sz="8" w:color="auto"/>
              <w:right w:val="single" w:sz="8" w:color="auto"/>
            </w:tcBorders>
          </w:tcPr>
          <w:p>
            <w:pPr>
              <w:spacing w:after="0"/>
              <w:rPr>
                <w:sz w:val="15"/>
                <w:szCs w:val="15"/>
                <w:color w:val="auto"/>
              </w:rPr>
            </w:pPr>
          </w:p>
        </w:tc>
        <w:tc>
          <w:tcPr>
            <w:tcW w:w="132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7"/>
              </w:rPr>
              <w:t>Application Number</w:t>
            </w:r>
          </w:p>
        </w:tc>
        <w:tc>
          <w:tcPr>
            <w:tcW w:w="780" w:type="dxa"/>
            <w:vAlign w:val="bottom"/>
            <w:tcBorders>
              <w:top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2"/>
              </w:rPr>
              <w:t>Patent Number</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Issue Date</w:t>
            </w:r>
          </w:p>
        </w:tc>
      </w:tr>
      <w:tr>
        <w:trPr>
          <w:trHeight w:val="140"/>
        </w:trPr>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APVO.80124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2,833,019</w:t>
            </w:r>
          </w:p>
        </w:tc>
        <w:tc>
          <w:tcPr>
            <w:tcW w:w="3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w w:val="99"/>
              </w:rPr>
              <w:t>20-Apr-2012</w:t>
            </w: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r>
      <w:tr>
        <w:trPr>
          <w:trHeight w:val="144"/>
        </w:trPr>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APVO.80124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80" w:type="dxa"/>
            <w:vAlign w:val="bottom"/>
          </w:tcPr>
          <w:p>
            <w:pPr>
              <w:spacing w:after="0"/>
              <w:rPr>
                <w:sz w:val="20"/>
                <w:szCs w:val="20"/>
                <w:color w:val="auto"/>
              </w:rPr>
            </w:pPr>
            <w:r>
              <w:rPr>
                <w:rFonts w:ascii="Arial" w:cs="Arial" w:eastAsia="Arial" w:hAnsi="Arial"/>
                <w:sz w:val="13"/>
                <w:szCs w:val="13"/>
                <w:color w:val="auto"/>
              </w:rPr>
              <w:t>Granted</w:t>
            </w: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15/585,921</w:t>
            </w:r>
          </w:p>
        </w:tc>
        <w:tc>
          <w:tcPr>
            <w:tcW w:w="3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w w:val="93"/>
              </w:rPr>
              <w:t>03-May-2017</w:t>
            </w:r>
          </w:p>
        </w:tc>
        <w:tc>
          <w:tcPr>
            <w:tcW w:w="680" w:type="dxa"/>
            <w:vAlign w:val="bottom"/>
          </w:tcPr>
          <w:p>
            <w:pPr>
              <w:jc w:val="right"/>
              <w:ind w:right="116"/>
              <w:spacing w:after="0"/>
              <w:rPr>
                <w:sz w:val="20"/>
                <w:szCs w:val="20"/>
                <w:color w:val="auto"/>
              </w:rPr>
            </w:pPr>
            <w:r>
              <w:rPr>
                <w:rFonts w:ascii="Arial" w:cs="Arial" w:eastAsia="Arial" w:hAnsi="Arial"/>
                <w:sz w:val="13"/>
                <w:szCs w:val="13"/>
                <w:color w:val="auto"/>
                <w:w w:val="82"/>
              </w:rPr>
              <w:t>9,782,478</w:t>
            </w:r>
          </w:p>
        </w:tc>
        <w:tc>
          <w:tcPr>
            <w:tcW w:w="240" w:type="dxa"/>
            <w:vAlign w:val="bottom"/>
            <w:tcBorders>
              <w:right w:val="single" w:sz="8" w:color="auto"/>
            </w:tcBorders>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1"/>
              </w:rPr>
              <w:t>10-Oct-2017</w:t>
            </w:r>
          </w:p>
        </w:tc>
      </w:tr>
      <w:tr>
        <w:trPr>
          <w:trHeight w:val="154"/>
        </w:trPr>
        <w:tc>
          <w:tcPr>
            <w:tcW w:w="12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APVO.80124</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w:t>
            </w:r>
          </w:p>
        </w:tc>
        <w:tc>
          <w:tcPr>
            <w:tcW w:w="1180" w:type="dxa"/>
            <w:vAlign w:val="bottom"/>
          </w:tcPr>
          <w:p>
            <w:pPr>
              <w:spacing w:after="0"/>
              <w:rPr>
                <w:sz w:val="20"/>
                <w:szCs w:val="20"/>
                <w:color w:val="auto"/>
              </w:rPr>
            </w:pPr>
            <w:r>
              <w:rPr>
                <w:rFonts w:ascii="Arial" w:cs="Arial" w:eastAsia="Arial" w:hAnsi="Arial"/>
                <w:sz w:val="13"/>
                <w:szCs w:val="13"/>
                <w:color w:val="auto"/>
              </w:rPr>
              <w:t>Pending</w:t>
            </w:r>
          </w:p>
        </w:tc>
        <w:tc>
          <w:tcPr>
            <w:tcW w:w="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15/699,474</w:t>
            </w:r>
          </w:p>
        </w:tc>
        <w:tc>
          <w:tcPr>
            <w:tcW w:w="3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color w:val="auto"/>
                <w:w w:val="95"/>
              </w:rPr>
              <w:t>08-Sep-2017</w:t>
            </w:r>
          </w:p>
        </w:tc>
        <w:tc>
          <w:tcPr>
            <w:tcW w:w="6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r>
      <w:tr>
        <w:trPr>
          <w:trHeight w:val="144"/>
        </w:trPr>
        <w:tc>
          <w:tcPr>
            <w:tcW w:w="12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295"/>
        </w:trPr>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01"/>
        </w:trPr>
        <w:tc>
          <w:tcPr>
            <w:tcW w:w="1280" w:type="dxa"/>
            <w:vAlign w:val="bottom"/>
            <w:tcBorders>
              <w:lef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ind w:left="120"/>
              <w:spacing w:after="0" w:line="101" w:lineRule="exact"/>
              <w:rPr>
                <w:sz w:val="20"/>
                <w:szCs w:val="20"/>
                <w:color w:val="auto"/>
              </w:rPr>
            </w:pPr>
            <w:r>
              <w:rPr>
                <w:rFonts w:ascii="Arial" w:cs="Arial" w:eastAsia="Arial" w:hAnsi="Arial"/>
                <w:sz w:val="11"/>
                <w:szCs w:val="11"/>
                <w:b w:val="1"/>
                <w:bCs w:val="1"/>
                <w:color w:val="auto"/>
              </w:rPr>
              <w:t>CD3</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r>
      <w:tr>
        <w:trPr>
          <w:trHeight w:val="134"/>
        </w:trPr>
        <w:tc>
          <w:tcPr>
            <w:tcW w:w="128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line="134" w:lineRule="exact"/>
              <w:rPr>
                <w:sz w:val="20"/>
                <w:szCs w:val="20"/>
                <w:color w:val="auto"/>
              </w:rPr>
            </w:pPr>
            <w:r>
              <w:rPr>
                <w:rFonts w:ascii="Arial" w:cs="Arial" w:eastAsia="Arial" w:hAnsi="Arial"/>
                <w:sz w:val="13"/>
                <w:szCs w:val="13"/>
                <w:b w:val="1"/>
                <w:bCs w:val="1"/>
                <w:color w:val="auto"/>
              </w:rPr>
              <w:t>BINDING</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r>
      <w:tr>
        <w:trPr>
          <w:trHeight w:val="156"/>
        </w:trPr>
        <w:tc>
          <w:tcPr>
            <w:tcW w:w="1280" w:type="dxa"/>
            <w:vAlign w:val="bottom"/>
            <w:tcBorders>
              <w:left w:val="single" w:sz="8" w:color="auto"/>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POLYPEPTIDES</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r>
      <w:tr>
        <w:trPr>
          <w:trHeight w:val="155"/>
        </w:trPr>
        <w:tc>
          <w:tcPr>
            <w:tcW w:w="1280" w:type="dxa"/>
            <w:vAlign w:val="bottom"/>
            <w:tcBorders>
              <w:left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b w:val="1"/>
                <w:bCs w:val="1"/>
                <w:color w:val="auto"/>
              </w:rPr>
              <w:t>APVO.80126</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21"/>
        </w:trPr>
        <w:tc>
          <w:tcPr>
            <w:tcW w:w="1280" w:type="dxa"/>
            <w:vAlign w:val="bottom"/>
            <w:tcBorders>
              <w:left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940" w:type="dxa"/>
            <w:vAlign w:val="bottom"/>
            <w:tcBorders>
              <w:bottom w:val="single" w:sz="8" w:color="auto"/>
              <w:right w:val="single" w:sz="8" w:color="auto"/>
            </w:tcBorders>
            <w:gridSpan w:val="2"/>
          </w:tcPr>
          <w:p>
            <w:pPr>
              <w:spacing w:after="0"/>
              <w:rPr>
                <w:sz w:val="10"/>
                <w:szCs w:val="10"/>
                <w:color w:val="auto"/>
              </w:rPr>
            </w:pPr>
          </w:p>
        </w:tc>
      </w:tr>
      <w:tr>
        <w:trPr>
          <w:trHeight w:val="155"/>
        </w:trPr>
        <w:tc>
          <w:tcPr>
            <w:tcW w:w="12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Subcase</w:t>
            </w:r>
          </w:p>
        </w:tc>
        <w:tc>
          <w:tcPr>
            <w:tcW w:w="76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Case Type</w:t>
            </w:r>
          </w:p>
        </w:tc>
        <w:tc>
          <w:tcPr>
            <w:tcW w:w="118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4"/>
              </w:rPr>
              <w:t>Application Status</w:t>
            </w:r>
          </w:p>
        </w:tc>
        <w:tc>
          <w:tcPr>
            <w:tcW w:w="60" w:type="dxa"/>
            <w:vAlign w:val="bottom"/>
          </w:tcPr>
          <w:p>
            <w:pPr>
              <w:spacing w:after="0"/>
              <w:rPr>
                <w:sz w:val="13"/>
                <w:szCs w:val="13"/>
                <w:color w:val="auto"/>
              </w:rPr>
            </w:pPr>
          </w:p>
        </w:tc>
        <w:tc>
          <w:tcPr>
            <w:tcW w:w="12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Application Number</w:t>
            </w:r>
          </w:p>
        </w:tc>
        <w:tc>
          <w:tcPr>
            <w:tcW w:w="860" w:type="dxa"/>
            <w:vAlign w:val="bottom"/>
            <w:tcBorders>
              <w:right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gridSpan w:val="2"/>
          </w:tcPr>
          <w:p>
            <w:pPr>
              <w:jc w:val="right"/>
              <w:ind w:right="136"/>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gridSpan w:val="3"/>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AE</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1137/2014</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gridSpan w:val="2"/>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gridSpan w:val="3"/>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2017228643</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gridSpan w:val="2"/>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3"/>
          </w:tcPr>
          <w:p>
            <w:pPr>
              <w:spacing w:after="0"/>
              <w:rPr>
                <w:sz w:val="13"/>
                <w:szCs w:val="13"/>
                <w:color w:val="auto"/>
              </w:rPr>
            </w:pPr>
          </w:p>
        </w:tc>
        <w:tc>
          <w:tcPr>
            <w:tcW w:w="860" w:type="dxa"/>
            <w:vAlign w:val="bottom"/>
            <w:tcBorders>
              <w:bottom w:val="single" w:sz="8" w:color="auto"/>
              <w:right w:val="single" w:sz="8" w:color="auto"/>
            </w:tcBorders>
            <w:gridSpan w:val="2"/>
          </w:tcPr>
          <w:p>
            <w:pPr>
              <w:spacing w:after="0"/>
              <w:rPr>
                <w:sz w:val="13"/>
                <w:szCs w:val="13"/>
                <w:color w:val="auto"/>
              </w:rPr>
            </w:pPr>
          </w:p>
        </w:tc>
        <w:tc>
          <w:tcPr>
            <w:tcW w:w="920" w:type="dxa"/>
            <w:vAlign w:val="bottom"/>
            <w:tcBorders>
              <w:bottom w:val="single" w:sz="8" w:color="auto"/>
              <w:right w:val="single" w:sz="8" w:color="auto"/>
            </w:tcBorders>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112014025830 9</w:t>
            </w:r>
          </w:p>
        </w:tc>
        <w:tc>
          <w:tcPr>
            <w:tcW w:w="8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gridSpan w:val="2"/>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gridSpan w:val="3"/>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2,870,545</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gridSpan w:val="2"/>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gridSpan w:val="3"/>
          </w:tcPr>
          <w:p>
            <w:pPr>
              <w:spacing w:after="0"/>
              <w:rPr>
                <w:sz w:val="12"/>
                <w:szCs w:val="12"/>
                <w:color w:val="auto"/>
              </w:rPr>
            </w:pPr>
          </w:p>
        </w:tc>
        <w:tc>
          <w:tcPr>
            <w:tcW w:w="860" w:type="dxa"/>
            <w:vAlign w:val="bottom"/>
            <w:tcBorders>
              <w:bottom w:val="single" w:sz="8" w:color="auto"/>
              <w:right w:val="single" w:sz="8" w:color="auto"/>
            </w:tcBorders>
            <w:gridSpan w:val="2"/>
          </w:tcPr>
          <w:p>
            <w:pPr>
              <w:spacing w:after="0"/>
              <w:rPr>
                <w:sz w:val="12"/>
                <w:szCs w:val="12"/>
                <w:color w:val="auto"/>
              </w:rPr>
            </w:pPr>
          </w:p>
        </w:tc>
        <w:tc>
          <w:tcPr>
            <w:tcW w:w="92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2013800271098</w:t>
            </w:r>
          </w:p>
        </w:tc>
        <w:tc>
          <w:tcPr>
            <w:tcW w:w="86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gridSpan w:val="2"/>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226" w:name="page227"/>
    <w:bookmarkEnd w:id="226"/>
    <w:tbl>
      <w:tblPr>
        <w:tblLayout w:type="fixed"/>
        <w:tblInd w:w="150" w:type="dxa"/>
        <w:tblCellMar>
          <w:top w:w="0" w:type="dxa"/>
          <w:left w:w="0" w:type="dxa"/>
          <w:bottom w:w="0" w:type="dxa"/>
          <w:right w:w="0" w:type="dxa"/>
        </w:tblCellMar>
      </w:tblPr>
      <w:tr>
        <w:trPr>
          <w:trHeight w:val="171"/>
        </w:trPr>
        <w:tc>
          <w:tcPr>
            <w:tcW w:w="1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EG</w:t>
            </w:r>
          </w:p>
        </w:tc>
        <w:tc>
          <w:tcPr>
            <w:tcW w:w="62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PCT/US2014/1655</w:t>
            </w:r>
          </w:p>
        </w:tc>
        <w:tc>
          <w:tcPr>
            <w:tcW w:w="8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13778209.0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15108038.0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19-Aug-2015</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15109147.6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17-Sep-2015</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P00201407140</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235093</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2293|/MUMNP/2014</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2015-507169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20" w:type="dxa"/>
            <w:vAlign w:val="bottom"/>
            <w:tcBorders>
              <w:right w:val="single" w:sz="8" w:color="auto"/>
            </w:tcBorders>
          </w:tcPr>
          <w:p>
            <w:pPr>
              <w:jc w:val="right"/>
              <w:ind w:right="512"/>
              <w:spacing w:after="0"/>
              <w:rPr>
                <w:sz w:val="20"/>
                <w:szCs w:val="20"/>
                <w:color w:val="auto"/>
              </w:rPr>
            </w:pPr>
            <w:r>
              <w:rPr>
                <w:rFonts w:ascii="Arial" w:cs="Arial" w:eastAsia="Arial" w:hAnsi="Arial"/>
                <w:sz w:val="10"/>
                <w:szCs w:val="10"/>
                <w:color w:val="auto"/>
                <w:w w:val="71"/>
              </w:rPr>
              <w:t>1</w:t>
            </w: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2018-080199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10-2014-7032216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MX/a/2014/012578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MY</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 2014002979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731297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2014142166</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10201608307W</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UA</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 2014 12306</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14/395,689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VN</w:t>
            </w:r>
          </w:p>
        </w:tc>
        <w:tc>
          <w:tcPr>
            <w:tcW w:w="6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1-2014-03790</w:t>
            </w: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0" w:right="1440" w:bottom="1440" w:gutter="0" w:footer="0" w:header="0"/>
        </w:sectPr>
      </w:pPr>
    </w:p>
    <w:bookmarkStart w:id="227" w:name="page228"/>
    <w:bookmarkEnd w:id="227"/>
    <w:tbl>
      <w:tblPr>
        <w:tblLayout w:type="fixed"/>
        <w:tblInd w:w="170" w:type="dxa"/>
        <w:tblCellMar>
          <w:top w:w="0" w:type="dxa"/>
          <w:left w:w="0" w:type="dxa"/>
          <w:bottom w:w="0" w:type="dxa"/>
          <w:right w:w="0" w:type="dxa"/>
        </w:tblCellMar>
      </w:tblPr>
      <w:tr>
        <w:trPr>
          <w:trHeight w:val="171"/>
        </w:trPr>
        <w:tc>
          <w:tcPr>
            <w:tcW w:w="11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3"/>
                <w:szCs w:val="13"/>
                <w:color w:val="auto"/>
              </w:rPr>
              <w:t>APVO.80126</w:t>
            </w:r>
          </w:p>
        </w:tc>
        <w:tc>
          <w:tcPr>
            <w:tcW w:w="160" w:type="dxa"/>
            <w:vAlign w:val="bottom"/>
            <w:tcBorders>
              <w:top w:val="single" w:sz="8" w:color="auto"/>
              <w:right w:val="single" w:sz="8" w:color="auto"/>
            </w:tcBorders>
          </w:tcPr>
          <w:p>
            <w:pPr>
              <w:spacing w:after="0"/>
              <w:rPr>
                <w:sz w:val="14"/>
                <w:szCs w:val="14"/>
                <w:color w:val="auto"/>
              </w:rPr>
            </w:pPr>
          </w:p>
        </w:tc>
        <w:tc>
          <w:tcPr>
            <w:tcW w:w="660" w:type="dxa"/>
            <w:vAlign w:val="bottom"/>
            <w:tcBorders>
              <w:top w:val="single" w:sz="8" w:color="auto"/>
              <w:right w:val="single" w:sz="8" w:color="auto"/>
            </w:tcBorders>
          </w:tcPr>
          <w:p>
            <w:pPr>
              <w:jc w:val="center"/>
              <w:ind w:right="457"/>
              <w:spacing w:after="0"/>
              <w:rPr>
                <w:sz w:val="20"/>
                <w:szCs w:val="20"/>
                <w:color w:val="auto"/>
              </w:rPr>
            </w:pPr>
            <w:r>
              <w:rPr>
                <w:rFonts w:ascii="Arial" w:cs="Arial" w:eastAsia="Arial" w:hAnsi="Arial"/>
                <w:sz w:val="13"/>
                <w:szCs w:val="13"/>
                <w:color w:val="auto"/>
                <w:w w:val="83"/>
              </w:rPr>
              <w:t>ZA</w:t>
            </w:r>
          </w:p>
        </w:tc>
        <w:tc>
          <w:tcPr>
            <w:tcW w:w="6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2014/08449</w:t>
            </w:r>
          </w:p>
        </w:tc>
        <w:tc>
          <w:tcPr>
            <w:tcW w:w="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color w:val="auto"/>
              </w:rPr>
              <w:t>18-Apr-2013</w:t>
            </w:r>
          </w:p>
        </w:tc>
        <w:tc>
          <w:tcPr>
            <w:tcW w:w="90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r>
      <w:tr>
        <w:trPr>
          <w:trHeight w:val="144"/>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601"/>
        </w:trPr>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5"/>
        </w:trPr>
        <w:tc>
          <w:tcPr>
            <w:tcW w:w="1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80" w:type="dxa"/>
            <w:vAlign w:val="bottom"/>
            <w:gridSpan w:val="3"/>
          </w:tcPr>
          <w:p>
            <w:pPr>
              <w:jc w:val="center"/>
              <w:ind w:left="76"/>
              <w:spacing w:after="0"/>
              <w:rPr>
                <w:sz w:val="20"/>
                <w:szCs w:val="20"/>
                <w:color w:val="auto"/>
              </w:rPr>
            </w:pPr>
            <w:r>
              <w:rPr>
                <w:rFonts w:ascii="Arial" w:cs="Arial" w:eastAsia="Arial" w:hAnsi="Arial"/>
                <w:sz w:val="13"/>
                <w:szCs w:val="13"/>
                <w:b w:val="1"/>
                <w:bCs w:val="1"/>
                <w:color w:val="auto"/>
                <w:w w:val="88"/>
              </w:rPr>
              <w:t>Cell Line-Based Redirected T-Cell Cytotoxicity Assay</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21"/>
        </w:trPr>
        <w:tc>
          <w:tcPr>
            <w:tcW w:w="112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r>
      <w:tr>
        <w:trPr>
          <w:trHeight w:val="155"/>
        </w:trPr>
        <w:tc>
          <w:tcPr>
            <w:tcW w:w="1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b w:val="1"/>
                <w:bCs w:val="1"/>
                <w:color w:val="auto"/>
              </w:rPr>
              <w:t>APVO.80135</w:t>
            </w: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21"/>
        </w:trPr>
        <w:tc>
          <w:tcPr>
            <w:tcW w:w="112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r>
      <w:tr>
        <w:trPr>
          <w:trHeight w:val="155"/>
        </w:trPr>
        <w:tc>
          <w:tcPr>
            <w:tcW w:w="1120" w:type="dxa"/>
            <w:vAlign w:val="bottom"/>
            <w:tcBorders>
              <w:left w:val="single" w:sz="8" w:color="auto"/>
            </w:tcBorders>
          </w:tcPr>
          <w:p>
            <w:pPr>
              <w:ind w:left="200"/>
              <w:spacing w:after="0"/>
              <w:rPr>
                <w:sz w:val="20"/>
                <w:szCs w:val="20"/>
                <w:color w:val="auto"/>
              </w:rPr>
            </w:pPr>
            <w:r>
              <w:rPr>
                <w:rFonts w:ascii="Arial" w:cs="Arial" w:eastAsia="Arial" w:hAnsi="Arial"/>
                <w:sz w:val="13"/>
                <w:szCs w:val="13"/>
                <w:b w:val="1"/>
                <w:bCs w:val="1"/>
                <w:color w:val="auto"/>
                <w:w w:val="93"/>
              </w:rPr>
              <w:t>Docket Number</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3"/>
              </w:rPr>
              <w:t>Subcase</w:t>
            </w:r>
          </w:p>
        </w:tc>
        <w:tc>
          <w:tcPr>
            <w:tcW w:w="80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Case Type</w:t>
            </w:r>
          </w:p>
        </w:tc>
        <w:tc>
          <w:tcPr>
            <w:tcW w:w="118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w w:val="96"/>
              </w:rPr>
              <w:t>Application Status</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APVO.80135</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ind w:right="477"/>
              <w:spacing w:after="0"/>
              <w:rPr>
                <w:sz w:val="20"/>
                <w:szCs w:val="20"/>
                <w:color w:val="auto"/>
              </w:rPr>
            </w:pPr>
            <w:r>
              <w:rPr>
                <w:rFonts w:ascii="Arial" w:cs="Arial" w:eastAsia="Arial" w:hAnsi="Arial"/>
                <w:sz w:val="12"/>
                <w:szCs w:val="12"/>
                <w:color w:val="auto"/>
                <w:w w:val="74"/>
              </w:rPr>
              <w:t>EP</w:t>
            </w:r>
          </w:p>
        </w:tc>
        <w:tc>
          <w:tcPr>
            <w:tcW w:w="6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EP15765747.9</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18-Mar-2015</w:t>
            </w: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4"/>
        </w:trPr>
        <w:tc>
          <w:tcPr>
            <w:tcW w:w="112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APVO.80135</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ind w:right="457"/>
              <w:spacing w:after="0"/>
              <w:rPr>
                <w:sz w:val="20"/>
                <w:szCs w:val="20"/>
                <w:color w:val="auto"/>
              </w:rPr>
            </w:pPr>
            <w:r>
              <w:rPr>
                <w:rFonts w:ascii="Arial" w:cs="Arial" w:eastAsia="Arial" w:hAnsi="Arial"/>
                <w:sz w:val="13"/>
                <w:szCs w:val="13"/>
                <w:color w:val="auto"/>
                <w:w w:val="77"/>
              </w:rPr>
              <w:t>US</w:t>
            </w:r>
          </w:p>
        </w:tc>
        <w:tc>
          <w:tcPr>
            <w:tcW w:w="6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15/126,922</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18-Mar-2015</w:t>
            </w: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601"/>
        </w:trPr>
        <w:tc>
          <w:tcPr>
            <w:tcW w:w="1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8"/>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55"/>
        </w:trPr>
        <w:tc>
          <w:tcPr>
            <w:tcW w:w="1120" w:type="dxa"/>
            <w:vAlign w:val="bottom"/>
            <w:tcBorders>
              <w:left w:val="single" w:sz="8" w:color="auto"/>
            </w:tcBorders>
          </w:tcPr>
          <w:p>
            <w:pPr>
              <w:spacing w:after="0"/>
              <w:rPr>
                <w:sz w:val="13"/>
                <w:szCs w:val="13"/>
                <w:color w:val="auto"/>
              </w:rPr>
            </w:pPr>
          </w:p>
        </w:tc>
        <w:tc>
          <w:tcPr>
            <w:tcW w:w="6500" w:type="dxa"/>
            <w:vAlign w:val="bottom"/>
            <w:gridSpan w:val="8"/>
          </w:tcPr>
          <w:p>
            <w:pPr>
              <w:jc w:val="center"/>
              <w:ind w:right="136"/>
              <w:spacing w:after="0"/>
              <w:rPr>
                <w:sz w:val="20"/>
                <w:szCs w:val="20"/>
                <w:color w:val="auto"/>
              </w:rPr>
            </w:pPr>
            <w:r>
              <w:rPr>
                <w:rFonts w:ascii="Arial" w:cs="Arial" w:eastAsia="Arial" w:hAnsi="Arial"/>
                <w:sz w:val="13"/>
                <w:szCs w:val="13"/>
                <w:b w:val="1"/>
                <w:bCs w:val="1"/>
                <w:color w:val="auto"/>
                <w:w w:val="88"/>
              </w:rPr>
              <w:t>Compositions and Methods for Combination Therapy with Prostate-Specific Membrane Antigen Binding Proteins</w:t>
            </w:r>
          </w:p>
        </w:tc>
        <w:tc>
          <w:tcPr>
            <w:tcW w:w="920" w:type="dxa"/>
            <w:vAlign w:val="bottom"/>
            <w:tcBorders>
              <w:right w:val="single" w:sz="8" w:color="auto"/>
            </w:tcBorders>
          </w:tcPr>
          <w:p>
            <w:pPr>
              <w:spacing w:after="0"/>
              <w:rPr>
                <w:sz w:val="13"/>
                <w:szCs w:val="13"/>
                <w:color w:val="auto"/>
              </w:rPr>
            </w:pPr>
          </w:p>
        </w:tc>
      </w:tr>
      <w:tr>
        <w:trPr>
          <w:trHeight w:val="121"/>
        </w:trPr>
        <w:tc>
          <w:tcPr>
            <w:tcW w:w="112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r>
      <w:tr>
        <w:trPr>
          <w:trHeight w:val="155"/>
        </w:trPr>
        <w:tc>
          <w:tcPr>
            <w:tcW w:w="112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b w:val="1"/>
                <w:bCs w:val="1"/>
                <w:color w:val="auto"/>
              </w:rPr>
              <w:t>APVO.80137</w:t>
            </w: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21"/>
        </w:trPr>
        <w:tc>
          <w:tcPr>
            <w:tcW w:w="112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r>
      <w:tr>
        <w:trPr>
          <w:trHeight w:val="155"/>
        </w:trPr>
        <w:tc>
          <w:tcPr>
            <w:tcW w:w="1120" w:type="dxa"/>
            <w:vAlign w:val="bottom"/>
            <w:tcBorders>
              <w:left w:val="single" w:sz="8" w:color="auto"/>
            </w:tcBorders>
          </w:tcPr>
          <w:p>
            <w:pPr>
              <w:ind w:left="200"/>
              <w:spacing w:after="0"/>
              <w:rPr>
                <w:sz w:val="20"/>
                <w:szCs w:val="20"/>
                <w:color w:val="auto"/>
              </w:rPr>
            </w:pPr>
            <w:r>
              <w:rPr>
                <w:rFonts w:ascii="Arial" w:cs="Arial" w:eastAsia="Arial" w:hAnsi="Arial"/>
                <w:sz w:val="13"/>
                <w:szCs w:val="13"/>
                <w:b w:val="1"/>
                <w:bCs w:val="1"/>
                <w:color w:val="auto"/>
                <w:w w:val="93"/>
              </w:rPr>
              <w:t>Docket Number</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3"/>
              </w:rPr>
              <w:t>Subcase</w:t>
            </w:r>
          </w:p>
        </w:tc>
        <w:tc>
          <w:tcPr>
            <w:tcW w:w="80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w w:val="98"/>
              </w:rPr>
              <w:t>Case Type</w:t>
            </w:r>
          </w:p>
        </w:tc>
        <w:tc>
          <w:tcPr>
            <w:tcW w:w="118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2"/>
              </w:rPr>
              <w:t>Application Status</w:t>
            </w:r>
          </w:p>
        </w:tc>
        <w:tc>
          <w:tcPr>
            <w:tcW w:w="130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Application Number</w:t>
            </w:r>
          </w:p>
        </w:tc>
        <w:tc>
          <w:tcPr>
            <w:tcW w:w="88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90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w w:val="90"/>
              </w:rPr>
              <w:t>Patent Number</w:t>
            </w:r>
          </w:p>
        </w:tc>
        <w:tc>
          <w:tcPr>
            <w:tcW w:w="92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Issue Date</w:t>
            </w:r>
          </w:p>
        </w:tc>
      </w:tr>
      <w:tr>
        <w:trPr>
          <w:trHeight w:val="140"/>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APVO.80137</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2976360</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11-Feb-2016</w:t>
            </w: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5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APVO.80137</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ind w:right="457"/>
              <w:spacing w:after="0"/>
              <w:rPr>
                <w:sz w:val="20"/>
                <w:szCs w:val="20"/>
                <w:color w:val="auto"/>
              </w:rPr>
            </w:pPr>
            <w:r>
              <w:rPr>
                <w:rFonts w:ascii="Arial" w:cs="Arial" w:eastAsia="Arial" w:hAnsi="Arial"/>
                <w:sz w:val="13"/>
                <w:szCs w:val="13"/>
                <w:color w:val="auto"/>
                <w:w w:val="80"/>
              </w:rPr>
              <w:t>EP</w:t>
            </w:r>
          </w:p>
        </w:tc>
        <w:tc>
          <w:tcPr>
            <w:tcW w:w="6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EP16749890.6</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11-Feb-2016</w:t>
            </w: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54"/>
        </w:trPr>
        <w:tc>
          <w:tcPr>
            <w:tcW w:w="1120" w:type="dxa"/>
            <w:vAlign w:val="bottom"/>
            <w:tcBorders>
              <w:left w:val="single" w:sz="8" w:color="auto"/>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r>
      <w:tr>
        <w:trPr>
          <w:trHeight w:val="151"/>
        </w:trPr>
        <w:tc>
          <w:tcPr>
            <w:tcW w:w="1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APVO.80137</w:t>
            </w:r>
          </w:p>
        </w:tc>
        <w:tc>
          <w:tcPr>
            <w:tcW w:w="1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ind w:right="437"/>
              <w:spacing w:after="0"/>
              <w:rPr>
                <w:sz w:val="20"/>
                <w:szCs w:val="20"/>
                <w:color w:val="auto"/>
              </w:rPr>
            </w:pPr>
            <w:r>
              <w:rPr>
                <w:rFonts w:ascii="Arial" w:cs="Arial" w:eastAsia="Arial" w:hAnsi="Arial"/>
                <w:sz w:val="13"/>
                <w:szCs w:val="13"/>
                <w:color w:val="auto"/>
                <w:w w:val="88"/>
              </w:rPr>
              <w:t>US</w:t>
            </w:r>
          </w:p>
        </w:tc>
        <w:tc>
          <w:tcPr>
            <w:tcW w:w="6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Pending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15/550,143</w:t>
            </w: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11-Feb-2016</w:t>
            </w:r>
          </w:p>
        </w:tc>
        <w:tc>
          <w:tcPr>
            <w:tcW w:w="9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r>
      <w:tr>
        <w:trPr>
          <w:trHeight w:val="144"/>
        </w:trPr>
        <w:tc>
          <w:tcPr>
            <w:tcW w:w="1120" w:type="dxa"/>
            <w:vAlign w:val="bottom"/>
            <w:tcBorders>
              <w:left w:val="single" w:sz="8" w:color="auto"/>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APVO.80138</w:t>
      </w:r>
    </w:p>
    <w:p>
      <w:pPr>
        <w:ind w:left="5620"/>
        <w:spacing w:after="0" w:line="214" w:lineRule="auto"/>
        <w:rPr>
          <w:sz w:val="20"/>
          <w:szCs w:val="20"/>
          <w:color w:val="auto"/>
        </w:rPr>
      </w:pPr>
      <w:r>
        <w:rPr>
          <w:rFonts w:ascii="Arial" w:cs="Arial" w:eastAsia="Arial" w:hAnsi="Arial"/>
          <w:sz w:val="13"/>
          <w:szCs w:val="13"/>
          <w:b w:val="1"/>
          <w:bCs w:val="1"/>
          <w:color w:val="auto"/>
        </w:rPr>
        <w:t>CD3</w:t>
      </w:r>
    </w:p>
    <w:p>
      <w:pPr>
        <w:ind w:left="5600"/>
        <w:spacing w:after="0" w:line="215" w:lineRule="auto"/>
        <w:rPr>
          <w:sz w:val="20"/>
          <w:szCs w:val="20"/>
          <w:color w:val="auto"/>
        </w:rPr>
      </w:pPr>
      <w:r>
        <w:rPr>
          <w:rFonts w:ascii="Arial" w:cs="Arial" w:eastAsia="Arial" w:hAnsi="Arial"/>
          <w:sz w:val="13"/>
          <w:szCs w:val="13"/>
          <w:b w:val="1"/>
          <w:bCs w:val="1"/>
          <w:color w:val="auto"/>
        </w:rPr>
        <w:t>Binding</w:t>
      </w:r>
    </w:p>
    <w:p>
      <w:pPr>
        <w:ind w:left="5600"/>
        <w:spacing w:after="0"/>
        <w:rPr>
          <w:sz w:val="20"/>
          <w:szCs w:val="20"/>
          <w:color w:val="auto"/>
        </w:rPr>
      </w:pPr>
      <w:r>
        <w:rPr>
          <w:rFonts w:ascii="Arial" w:cs="Arial" w:eastAsia="Arial" w:hAnsi="Arial"/>
          <w:sz w:val="13"/>
          <w:szCs w:val="13"/>
          <w:b w:val="1"/>
          <w:bCs w:val="1"/>
          <w:color w:val="auto"/>
        </w:rPr>
        <w:t>Polypeptides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305435</wp:posOffset>
            </wp:positionV>
            <wp:extent cx="732409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311" w:right="1440" w:bottom="1440" w:gutter="0" w:footer="0" w:header="0"/>
        </w:sectPr>
      </w:pPr>
    </w:p>
    <w:bookmarkStart w:id="228" w:name="page229"/>
    <w:bookmarkEnd w:id="228"/>
    <w:tbl>
      <w:tblPr>
        <w:tblLayout w:type="fixed"/>
        <w:tblInd w:w="150" w:type="dxa"/>
        <w:tblCellMar>
          <w:top w:w="0" w:type="dxa"/>
          <w:left w:w="0" w:type="dxa"/>
          <w:bottom w:w="0" w:type="dxa"/>
          <w:right w:w="0" w:type="dxa"/>
        </w:tblCellMar>
      </w:tblPr>
      <w:tr>
        <w:trPr>
          <w:trHeight w:val="175"/>
        </w:trPr>
        <w:tc>
          <w:tcPr>
            <w:tcW w:w="1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8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Case Type</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5"/>
              </w:rPr>
              <w:t>Patent Number</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1280" w:type="dxa"/>
            <w:vAlign w:val="bottom"/>
            <w:tcBorders>
              <w:left w:val="single" w:sz="8" w:color="auto"/>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80" w:type="dxa"/>
            <w:vAlign w:val="bottom"/>
            <w:tcBorders>
              <w:left w:val="single" w:sz="8" w:color="auto"/>
              <w:bottom w:val="single" w:sz="8" w:color="auto"/>
              <w:right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2016326449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BR</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112018005573-5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2999138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2016800548403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NC2018/0004094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EA</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201890613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16849533.1</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P00201802864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258202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201827013403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2018-513821</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KR</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10-2018-7009336</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MY</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PI2018701059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MX/a/2018/003292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740365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PH</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1-2018-500520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2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11201801773S</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29" w:name="page230"/>
    <w:bookmarkEnd w:id="229"/>
    <w:tbl>
      <w:tblPr>
        <w:tblLayout w:type="fixed"/>
        <w:tblInd w:w="150" w:type="dxa"/>
        <w:tblCellMar>
          <w:top w:w="0" w:type="dxa"/>
          <w:left w:w="0" w:type="dxa"/>
          <w:bottom w:w="0" w:type="dxa"/>
          <w:right w:w="0" w:type="dxa"/>
        </w:tblCellMar>
      </w:tblPr>
      <w:tr>
        <w:trPr>
          <w:trHeight w:val="171"/>
        </w:trPr>
        <w:tc>
          <w:tcPr>
            <w:tcW w:w="13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UA</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right w:val="single" w:sz="8" w:color="auto"/>
            </w:tcBorders>
          </w:tcPr>
          <w:p>
            <w:pPr>
              <w:spacing w:after="0"/>
              <w:rPr>
                <w:sz w:val="14"/>
                <w:szCs w:val="1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PCT</w:t>
            </w:r>
          </w:p>
        </w:tc>
        <w:tc>
          <w:tcPr>
            <w:tcW w:w="100" w:type="dxa"/>
            <w:vAlign w:val="bottom"/>
            <w:tcBorders>
              <w:top w:val="single" w:sz="8" w:color="auto"/>
              <w:right w:val="single" w:sz="8" w:color="auto"/>
            </w:tcBorders>
          </w:tcPr>
          <w:p>
            <w:pPr>
              <w:spacing w:after="0"/>
              <w:rPr>
                <w:sz w:val="14"/>
                <w:szCs w:val="14"/>
                <w:color w:val="auto"/>
              </w:rPr>
            </w:pP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 2018 03341</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15/761,499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VN</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1-2018-01678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APVO.80138</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2018/02440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21-Sep-2016</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gridSpan w:val="2"/>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3320" w:type="dxa"/>
            <w:vAlign w:val="bottom"/>
            <w:tcBorders>
              <w:bottom w:val="single" w:sz="8" w:color="auto"/>
            </w:tcBorders>
            <w:gridSpan w:val="3"/>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20" w:type="dxa"/>
            <w:vAlign w:val="bottom"/>
            <w:gridSpan w:val="6"/>
          </w:tcPr>
          <w:p>
            <w:pPr>
              <w:jc w:val="center"/>
              <w:ind w:right="556"/>
              <w:spacing w:after="0"/>
              <w:rPr>
                <w:sz w:val="20"/>
                <w:szCs w:val="20"/>
                <w:color w:val="auto"/>
              </w:rPr>
            </w:pPr>
            <w:r>
              <w:rPr>
                <w:rFonts w:ascii="Arial" w:cs="Arial" w:eastAsia="Arial" w:hAnsi="Arial"/>
                <w:sz w:val="13"/>
                <w:szCs w:val="13"/>
                <w:b w:val="1"/>
                <w:bCs w:val="1"/>
                <w:color w:val="auto"/>
                <w:w w:val="88"/>
              </w:rPr>
              <w:t>CD123 Binding Proteins and Related Compositions and Methods</w:t>
            </w:r>
          </w:p>
        </w:tc>
        <w:tc>
          <w:tcPr>
            <w:tcW w:w="9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0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rPr>
              <w:t>APVO.80141</w:t>
            </w: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0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540" w:type="dxa"/>
            <w:vAlign w:val="bottom"/>
            <w:vMerge w:val="restart"/>
          </w:tcPr>
          <w:p>
            <w:pPr>
              <w:spacing w:after="0"/>
              <w:rPr>
                <w:sz w:val="20"/>
                <w:szCs w:val="20"/>
                <w:color w:val="auto"/>
              </w:rPr>
            </w:pPr>
            <w:r>
              <w:rPr>
                <w:rFonts w:ascii="Arial" w:cs="Arial" w:eastAsia="Arial" w:hAnsi="Arial"/>
                <w:sz w:val="13"/>
                <w:szCs w:val="13"/>
                <w:b w:val="1"/>
                <w:bCs w:val="1"/>
                <w:color w:val="auto"/>
                <w:w w:val="97"/>
              </w:rPr>
              <w:t>Subcase</w:t>
            </w: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Case Type</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5"/>
              </w:rPr>
              <w:t>Patent Number</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130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540" w:type="dxa"/>
            <w:vAlign w:val="bottom"/>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300" w:type="dxa"/>
            <w:vAlign w:val="bottom"/>
            <w:tcBorders>
              <w:left w:val="single" w:sz="8" w:color="auto"/>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APVO.80141</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ORD</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15/933,324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22-Mar-2018</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APVO.80141</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WO</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PRI</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PCT/US2017/052808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21-Sep-2017</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gridSpan w:val="2"/>
          </w:tcPr>
          <w:p>
            <w:pPr>
              <w:spacing w:after="0"/>
              <w:rPr>
                <w:sz w:val="13"/>
                <w:szCs w:val="13"/>
                <w:color w:val="auto"/>
              </w:rPr>
            </w:pPr>
          </w:p>
        </w:tc>
        <w:tc>
          <w:tcPr>
            <w:tcW w:w="800" w:type="dxa"/>
            <w:vAlign w:val="bottom"/>
            <w:tcBorders>
              <w:bottom w:val="single" w:sz="8" w:color="auto"/>
              <w:right w:val="single" w:sz="8" w:color="auto"/>
            </w:tcBorders>
            <w:gridSpan w:val="2"/>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3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gridSpan w:val="9"/>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tcBorders>
          </w:tcPr>
          <w:p>
            <w:pPr>
              <w:spacing w:after="0"/>
              <w:rPr>
                <w:sz w:val="13"/>
                <w:szCs w:val="13"/>
                <w:color w:val="auto"/>
              </w:rPr>
            </w:pPr>
          </w:p>
        </w:tc>
        <w:tc>
          <w:tcPr>
            <w:tcW w:w="6320" w:type="dxa"/>
            <w:vAlign w:val="bottom"/>
            <w:gridSpan w:val="9"/>
          </w:tcPr>
          <w:p>
            <w:pPr>
              <w:jc w:val="center"/>
              <w:ind w:right="316"/>
              <w:spacing w:after="0"/>
              <w:rPr>
                <w:sz w:val="20"/>
                <w:szCs w:val="20"/>
                <w:color w:val="auto"/>
              </w:rPr>
            </w:pPr>
            <w:r>
              <w:rPr>
                <w:rFonts w:ascii="Arial" w:cs="Arial" w:eastAsia="Arial" w:hAnsi="Arial"/>
                <w:sz w:val="13"/>
                <w:szCs w:val="13"/>
                <w:b w:val="1"/>
                <w:bCs w:val="1"/>
                <w:color w:val="auto"/>
                <w:w w:val="87"/>
              </w:rPr>
              <w:t>Prostate Specific Membrane Antigen Binding Proteins and Related Compositions and Methods</w:t>
            </w: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0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gridSpan w:val="2"/>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2"/>
          </w:tcPr>
          <w:p>
            <w:pPr>
              <w:jc w:val="center"/>
              <w:ind w:right="636"/>
              <w:spacing w:after="0"/>
              <w:rPr>
                <w:sz w:val="20"/>
                <w:szCs w:val="20"/>
                <w:color w:val="auto"/>
              </w:rPr>
            </w:pPr>
            <w:r>
              <w:rPr>
                <w:rFonts w:ascii="Arial" w:cs="Arial" w:eastAsia="Arial" w:hAnsi="Arial"/>
                <w:sz w:val="13"/>
                <w:szCs w:val="13"/>
                <w:b w:val="1"/>
                <w:bCs w:val="1"/>
                <w:color w:val="auto"/>
                <w:w w:val="94"/>
              </w:rPr>
              <w:t>MRPH.80124</w:t>
            </w: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0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Country</w:t>
            </w:r>
          </w:p>
        </w:tc>
        <w:tc>
          <w:tcPr>
            <w:tcW w:w="540" w:type="dxa"/>
            <w:vAlign w:val="bottom"/>
          </w:tcPr>
          <w:p>
            <w:pPr>
              <w:ind w:left="80"/>
              <w:spacing w:after="0"/>
              <w:rPr>
                <w:sz w:val="20"/>
                <w:szCs w:val="20"/>
                <w:color w:val="auto"/>
              </w:rPr>
            </w:pPr>
            <w:r>
              <w:rPr>
                <w:rFonts w:ascii="Arial" w:cs="Arial" w:eastAsia="Arial" w:hAnsi="Arial"/>
                <w:sz w:val="13"/>
                <w:szCs w:val="13"/>
                <w:b w:val="1"/>
                <w:bCs w:val="1"/>
                <w:color w:val="auto"/>
                <w:w w:val="82"/>
              </w:rPr>
              <w:t>Subcase</w:t>
            </w:r>
          </w:p>
        </w:tc>
        <w:tc>
          <w:tcPr>
            <w:tcW w:w="100" w:type="dxa"/>
            <w:vAlign w:val="bottom"/>
            <w:tcBorders>
              <w:right w:val="single" w:sz="8" w:color="auto"/>
            </w:tcBorders>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w w:val="86"/>
              </w:rPr>
              <w:t>Case Type</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2"/>
              </w:rPr>
              <w:t>Application Status</w:t>
            </w: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w w:val="97"/>
              </w:rPr>
              <w:t>Application Number</w:t>
            </w:r>
          </w:p>
        </w:tc>
        <w:tc>
          <w:tcPr>
            <w:tcW w:w="8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w w:val="90"/>
              </w:rPr>
              <w:t>Patent Number</w:t>
            </w:r>
          </w:p>
        </w:tc>
        <w:tc>
          <w:tcPr>
            <w:tcW w:w="940" w:type="dxa"/>
            <w:vAlign w:val="bottom"/>
            <w:tcBorders>
              <w:right w:val="single" w:sz="8" w:color="auto"/>
            </w:tcBorders>
          </w:tcPr>
          <w:p>
            <w:pPr>
              <w:ind w:left="18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140"/>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AE</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1130/2013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AU</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2012245260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2012245260</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22-Dec-2016</w:t>
            </w:r>
          </w:p>
        </w:tc>
        <w:tc>
          <w:tcPr>
            <w:tcW w:w="0" w:type="dxa"/>
            <w:vAlign w:val="bottom"/>
          </w:tcPr>
          <w:p>
            <w:pPr>
              <w:spacing w:after="0"/>
              <w:rPr>
                <w:sz w:val="1"/>
                <w:szCs w:val="1"/>
                <w:color w:val="auto"/>
              </w:rPr>
            </w:pPr>
          </w:p>
        </w:tc>
      </w:tr>
      <w:tr>
        <w:trPr>
          <w:trHeight w:val="144"/>
        </w:trPr>
        <w:tc>
          <w:tcPr>
            <w:tcW w:w="13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BA</w:t>
            </w:r>
          </w:p>
        </w:tc>
        <w:tc>
          <w:tcPr>
            <w:tcW w:w="5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PCT</w:t>
            </w:r>
          </w:p>
        </w:tc>
        <w:tc>
          <w:tcPr>
            <w:tcW w:w="10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12773598.3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0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30" w:name="page231"/>
    <w:bookmarkEnd w:id="230"/>
    <w:tbl>
      <w:tblPr>
        <w:tblLayout w:type="fixed"/>
        <w:tblInd w:w="150" w:type="dxa"/>
        <w:tblCellMar>
          <w:top w:w="0" w:type="dxa"/>
          <w:left w:w="0" w:type="dxa"/>
          <w:bottom w:w="0" w:type="dxa"/>
          <w:right w:w="0" w:type="dxa"/>
        </w:tblCellMar>
      </w:tblPr>
      <w:tr>
        <w:trPr>
          <w:trHeight w:val="171"/>
        </w:trPr>
        <w:tc>
          <w:tcPr>
            <w:tcW w:w="1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BR</w:t>
            </w:r>
          </w:p>
        </w:tc>
        <w:tc>
          <w:tcPr>
            <w:tcW w:w="6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112013 027224 4</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CN</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201280030553.0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EG</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 1621/2013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EP</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12773598.3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REP</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14106738.8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03-Jul-2014</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HK</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RCN</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14107298.8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17-Jul-2014</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W00201305397</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2"/>
              </w:rPr>
              <w:t>IDP 000042371</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15-Aug-2016</w:t>
            </w: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IL</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228991</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8648/CHENP/2013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JP</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2017-023634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ME</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12773598.3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MX/a/2013/012127</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355908</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04-May-2018</w:t>
            </w: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w:t>
            </w:r>
          </w:p>
        </w:tc>
        <w:tc>
          <w:tcPr>
            <w:tcW w:w="680" w:type="dxa"/>
            <w:vAlign w:val="bottom"/>
            <w:tcBorders>
              <w:right w:val="single" w:sz="8" w:color="auto"/>
            </w:tcBorders>
          </w:tcPr>
          <w:p>
            <w:pPr>
              <w:jc w:val="right"/>
              <w:ind w:right="572"/>
              <w:spacing w:after="0"/>
              <w:rPr>
                <w:sz w:val="20"/>
                <w:szCs w:val="20"/>
                <w:color w:val="auto"/>
              </w:rPr>
            </w:pPr>
            <w:r>
              <w:rPr>
                <w:rFonts w:ascii="Arial" w:cs="Arial" w:eastAsia="Arial" w:hAnsi="Arial"/>
                <w:sz w:val="10"/>
                <w:szCs w:val="10"/>
                <w:color w:val="auto"/>
                <w:w w:val="71"/>
              </w:rPr>
              <w:t>1</w:t>
            </w: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DIV</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MX/a/2018/005604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MY</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PI2013003838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NZ</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616481</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616481</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01-Dec-2015</w:t>
            </w: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RU</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2013142600</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2632647</w:t>
            </w:r>
          </w:p>
        </w:tc>
        <w:tc>
          <w:tcPr>
            <w:tcW w:w="9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06-Oct-2017</w:t>
            </w: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SG</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Granted</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201307708-6</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194510</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15-Aug-2016</w:t>
            </w:r>
          </w:p>
        </w:tc>
      </w:tr>
      <w:tr>
        <w:trPr>
          <w:trHeight w:val="144"/>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r>
      <w:tr>
        <w:trPr>
          <w:trHeight w:val="151"/>
        </w:trPr>
        <w:tc>
          <w:tcPr>
            <w:tcW w:w="1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UA</w:t>
            </w: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a201313177</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20-Apr-2012</w:t>
            </w:r>
          </w:p>
        </w:tc>
        <w:tc>
          <w:tcPr>
            <w:tcW w:w="9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r>
      <w:tr>
        <w:trPr>
          <w:trHeight w:val="154"/>
        </w:trPr>
        <w:tc>
          <w:tcPr>
            <w:tcW w:w="126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31" w:name="page232"/>
    <w:bookmarkEnd w:id="231"/>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VN</w:t>
            </w:r>
          </w:p>
        </w:tc>
        <w:tc>
          <w:tcPr>
            <w:tcW w:w="62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PCT</w:t>
            </w:r>
          </w:p>
        </w:tc>
        <w:tc>
          <w:tcPr>
            <w:tcW w:w="240" w:type="dxa"/>
            <w:vAlign w:val="bottom"/>
            <w:tcBorders>
              <w:top w:val="single" w:sz="8" w:color="auto"/>
              <w:right w:val="single" w:sz="8" w:color="auto"/>
            </w:tcBorders>
          </w:tcPr>
          <w:p>
            <w:pPr>
              <w:spacing w:after="0"/>
              <w:rPr>
                <w:sz w:val="14"/>
                <w:szCs w:val="14"/>
                <w:color w:val="auto"/>
              </w:rPr>
            </w:pPr>
          </w:p>
        </w:tc>
        <w:tc>
          <w:tcPr>
            <w:tcW w:w="11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1-2013-03660</w:t>
            </w:r>
          </w:p>
        </w:tc>
        <w:tc>
          <w:tcPr>
            <w:tcW w:w="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20-Apr-2012</w:t>
            </w:r>
          </w:p>
        </w:tc>
        <w:tc>
          <w:tcPr>
            <w:tcW w:w="88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MPHS.80124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ZA</w:t>
            </w:r>
          </w:p>
        </w:tc>
        <w:tc>
          <w:tcPr>
            <w:tcW w:w="6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PCT</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2013/07559</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20-Apr-2012</w:t>
            </w: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Borders>
              <w:lef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4780" w:type="dxa"/>
            <w:vAlign w:val="bottom"/>
            <w:gridSpan w:val="7"/>
          </w:tcPr>
          <w:p>
            <w:pPr>
              <w:ind w:left="260"/>
              <w:spacing w:after="0"/>
              <w:rPr>
                <w:sz w:val="20"/>
                <w:szCs w:val="20"/>
                <w:color w:val="auto"/>
              </w:rPr>
            </w:pPr>
            <w:r>
              <w:rPr>
                <w:rFonts w:ascii="Arial" w:cs="Arial" w:eastAsia="Arial" w:hAnsi="Arial"/>
                <w:sz w:val="13"/>
                <w:szCs w:val="13"/>
                <w:b w:val="1"/>
                <w:bCs w:val="1"/>
                <w:color w:val="auto"/>
                <w:w w:val="94"/>
              </w:rPr>
              <w:t>Oncofetal Antigen Binding Proteins And Related Compositions And Methods</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80" w:type="dxa"/>
            <w:vAlign w:val="bottom"/>
            <w:tcBorders>
              <w:left w:val="single" w:sz="8" w:color="auto"/>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80" w:type="dxa"/>
            <w:vAlign w:val="bottom"/>
            <w:tcBorders>
              <w:lef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40" w:type="dxa"/>
            <w:vAlign w:val="bottom"/>
            <w:gridSpan w:val="3"/>
          </w:tcPr>
          <w:p>
            <w:pPr>
              <w:jc w:val="center"/>
              <w:ind w:left="182"/>
              <w:spacing w:after="0" w:line="101" w:lineRule="exact"/>
              <w:rPr>
                <w:sz w:val="20"/>
                <w:szCs w:val="20"/>
                <w:color w:val="auto"/>
              </w:rPr>
            </w:pPr>
            <w:r>
              <w:rPr>
                <w:rFonts w:ascii="Arial" w:cs="Arial" w:eastAsia="Arial" w:hAnsi="Arial"/>
                <w:sz w:val="11"/>
                <w:szCs w:val="11"/>
                <w:b w:val="1"/>
                <w:bCs w:val="1"/>
                <w:color w:val="auto"/>
              </w:rPr>
              <w:t>APVO.80142 (Co-owned</w:t>
            </w: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76"/>
              <w:spacing w:after="0"/>
              <w:rPr>
                <w:sz w:val="20"/>
                <w:szCs w:val="20"/>
                <w:color w:val="auto"/>
              </w:rPr>
            </w:pPr>
            <w:r>
              <w:rPr>
                <w:rFonts w:ascii="Arial" w:cs="Arial" w:eastAsia="Arial" w:hAnsi="Arial"/>
                <w:sz w:val="13"/>
                <w:szCs w:val="13"/>
                <w:b w:val="1"/>
                <w:bCs w:val="1"/>
                <w:color w:val="auto"/>
                <w:w w:val="92"/>
              </w:rPr>
              <w:t>with Alligator)</w:t>
            </w:r>
          </w:p>
        </w:tc>
        <w:tc>
          <w:tcPr>
            <w:tcW w:w="1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86"/>
              </w:rPr>
              <w:t>Case Type</w:t>
            </w:r>
          </w:p>
        </w:tc>
        <w:tc>
          <w:tcPr>
            <w:tcW w:w="2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6"/>
              </w:rPr>
              <w:t>Application Status</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Application Number</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Filing Date</w:t>
            </w:r>
          </w:p>
        </w:tc>
        <w:tc>
          <w:tcPr>
            <w:tcW w:w="880" w:type="dxa"/>
            <w:vAlign w:val="bottom"/>
          </w:tcPr>
          <w:p>
            <w:pPr>
              <w:spacing w:after="0"/>
              <w:rPr>
                <w:sz w:val="20"/>
                <w:szCs w:val="20"/>
                <w:color w:val="auto"/>
              </w:rPr>
            </w:pPr>
            <w:r>
              <w:rPr>
                <w:rFonts w:ascii="Arial" w:cs="Arial" w:eastAsia="Arial" w:hAnsi="Arial"/>
                <w:sz w:val="13"/>
                <w:szCs w:val="13"/>
                <w:b w:val="1"/>
                <w:bCs w:val="1"/>
                <w:color w:val="auto"/>
                <w:w w:val="90"/>
              </w:rPr>
              <w:t>Patent Number</w:t>
            </w:r>
          </w:p>
        </w:tc>
        <w:tc>
          <w:tcPr>
            <w:tcW w:w="4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80" w:type="dxa"/>
            <w:vAlign w:val="bottom"/>
            <w:tcBorders>
              <w:left w:val="single" w:sz="8" w:color="auto"/>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280" w:type="dxa"/>
            <w:vAlign w:val="bottom"/>
            <w:tcBorders>
              <w:left w:val="single" w:sz="8" w:color="auto"/>
              <w:bottom w:val="single" w:sz="8" w:color="auto"/>
              <w:right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PRO</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62/575,820</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23-Oct-2017</w:t>
            </w: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PRO</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62/648,072</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26-Mar-2018</w:t>
            </w: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PCT</w:t>
            </w:r>
          </w:p>
        </w:tc>
        <w:tc>
          <w:tcPr>
            <w:tcW w:w="620" w:type="dxa"/>
            <w:vAlign w:val="bottom"/>
            <w:tcBorders>
              <w:right w:val="single" w:sz="8" w:color="auto"/>
            </w:tcBorders>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PRI</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PCT/EP2018/069850</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20-July-2018</w:t>
            </w: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APVO.80142</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ORD</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16/041,309</w:t>
            </w:r>
          </w:p>
        </w:tc>
        <w:tc>
          <w:tcPr>
            <w:tcW w:w="8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20-July-2018</w:t>
            </w:r>
          </w:p>
        </w:tc>
        <w:tc>
          <w:tcPr>
            <w:tcW w:w="88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Borders>
              <w:left w:val="single" w:sz="8" w:color="auto"/>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gridSpan w:val="2"/>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shd w:val="clear" w:color="auto" w:fill="000000"/>
          </w:tcPr>
          <w:p>
            <w:pPr>
              <w:spacing w:after="0"/>
              <w:rPr>
                <w:sz w:val="8"/>
                <w:szCs w:val="8"/>
                <w:color w:val="auto"/>
              </w:rPr>
            </w:pPr>
          </w:p>
        </w:tc>
        <w:tc>
          <w:tcPr>
            <w:tcW w:w="1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940" w:type="dxa"/>
            <w:vAlign w:val="bottom"/>
            <w:gridSpan w:val="3"/>
          </w:tcPr>
          <w:p>
            <w:pPr>
              <w:jc w:val="center"/>
              <w:ind w:left="122"/>
              <w:spacing w:after="0" w:line="101" w:lineRule="exact"/>
              <w:rPr>
                <w:sz w:val="20"/>
                <w:szCs w:val="20"/>
                <w:color w:val="auto"/>
              </w:rPr>
            </w:pPr>
            <w:r>
              <w:rPr>
                <w:rFonts w:ascii="Arial" w:cs="Arial" w:eastAsia="Arial" w:hAnsi="Arial"/>
                <w:sz w:val="11"/>
                <w:szCs w:val="11"/>
                <w:b w:val="1"/>
                <w:bCs w:val="1"/>
                <w:color w:val="auto"/>
              </w:rPr>
              <w:t>Protein Therapeutics For</w:t>
            </w:r>
          </w:p>
        </w:tc>
        <w:tc>
          <w:tcPr>
            <w:tcW w:w="1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shd w:val="clear" w:color="auto" w:fill="000000"/>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316"/>
              <w:spacing w:after="0"/>
              <w:rPr>
                <w:sz w:val="20"/>
                <w:szCs w:val="20"/>
                <w:color w:val="auto"/>
              </w:rPr>
            </w:pPr>
            <w:r>
              <w:rPr>
                <w:rFonts w:ascii="Arial" w:cs="Arial" w:eastAsia="Arial" w:hAnsi="Arial"/>
                <w:sz w:val="13"/>
                <w:szCs w:val="13"/>
                <w:b w:val="1"/>
                <w:bCs w:val="1"/>
                <w:color w:val="auto"/>
                <w:w w:val="91"/>
              </w:rPr>
              <w:t>Cytokine Delivery</w:t>
            </w:r>
          </w:p>
        </w:tc>
        <w:tc>
          <w:tcPr>
            <w:tcW w:w="1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000000"/>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center"/>
              <w:ind w:right="316"/>
              <w:spacing w:after="0"/>
              <w:rPr>
                <w:sz w:val="20"/>
                <w:szCs w:val="20"/>
                <w:color w:val="auto"/>
              </w:rPr>
            </w:pPr>
            <w:r>
              <w:rPr>
                <w:rFonts w:ascii="Arial" w:cs="Arial" w:eastAsia="Arial" w:hAnsi="Arial"/>
                <w:sz w:val="13"/>
                <w:szCs w:val="13"/>
                <w:b w:val="1"/>
                <w:bCs w:val="1"/>
                <w:color w:val="auto"/>
                <w:w w:val="93"/>
              </w:rPr>
              <w:t>APVO.80144</w:t>
            </w: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shd w:val="clear" w:color="auto" w:fill="000000"/>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960" w:type="dxa"/>
            <w:vAlign w:val="bottom"/>
            <w:tcBorders>
              <w:bottom w:val="single" w:sz="8" w:color="auto"/>
              <w:right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000000"/>
          </w:tcPr>
          <w:p>
            <w:pPr>
              <w:spacing w:after="0"/>
              <w:rPr>
                <w:sz w:val="13"/>
                <w:szCs w:val="13"/>
                <w:color w:val="auto"/>
              </w:rPr>
            </w:pPr>
          </w:p>
        </w:tc>
        <w:tc>
          <w:tcPr>
            <w:tcW w:w="12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89"/>
              </w:rPr>
              <w:t>Case Type</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6"/>
              </w:rPr>
              <w:t>Application Status</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8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w w:val="90"/>
              </w:rPr>
              <w:t>Patent Number</w:t>
            </w:r>
          </w:p>
        </w:tc>
        <w:tc>
          <w:tcPr>
            <w:tcW w:w="9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20" w:type="dxa"/>
            <w:vAlign w:val="bottom"/>
            <w:shd w:val="clear" w:color="auto" w:fill="000000"/>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auto"/>
            </w:tcBorders>
            <w:shd w:val="clear" w:color="auto" w:fill="000000"/>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000000"/>
          </w:tcPr>
          <w:p>
            <w:pPr>
              <w:spacing w:after="0"/>
              <w:rPr>
                <w:sz w:val="13"/>
                <w:szCs w:val="13"/>
                <w:color w:val="auto"/>
              </w:rPr>
            </w:pPr>
          </w:p>
        </w:tc>
        <w:tc>
          <w:tcPr>
            <w:tcW w:w="12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APVO.80144</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20" w:type="dxa"/>
            <w:vAlign w:val="bottom"/>
            <w:tcBorders>
              <w:right w:val="single" w:sz="8" w:color="auto"/>
            </w:tcBorders>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auto"/>
              </w:rPr>
              <w:t>PRO</w:t>
            </w:r>
          </w:p>
        </w:tc>
        <w:tc>
          <w:tcPr>
            <w:tcW w:w="2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62/667,404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04-May-2018</w:t>
            </w:r>
          </w:p>
        </w:tc>
        <w:tc>
          <w:tcPr>
            <w:tcW w:w="8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shd w:val="clear" w:color="auto" w:fill="000000"/>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32" w:name="page233"/>
    <w:bookmarkEnd w:id="232"/>
    <w:p>
      <w:pPr>
        <w:jc w:val="center"/>
        <w:ind w:right="2519"/>
        <w:spacing w:after="0"/>
        <w:rPr>
          <w:sz w:val="20"/>
          <w:szCs w:val="20"/>
          <w:color w:val="auto"/>
        </w:rPr>
      </w:pPr>
      <w:r>
        <w:rPr>
          <w:rFonts w:ascii="Arial" w:cs="Arial" w:eastAsia="Arial" w:hAnsi="Arial"/>
          <w:sz w:val="13"/>
          <w:szCs w:val="13"/>
          <w:b w:val="1"/>
          <w:bCs w:val="1"/>
          <w:color w:val="auto"/>
        </w:rPr>
        <w:t>Formulations Of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-85090</wp:posOffset>
            </wp:positionV>
            <wp:extent cx="5419725" cy="7823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19725" cy="782320"/>
                    </a:xfrm>
                    <a:prstGeom prst="rect">
                      <a:avLst/>
                    </a:prstGeom>
                    <a:noFill/>
                  </pic:spPr>
                </pic:pic>
              </a:graphicData>
            </a:graphic>
          </wp:anchor>
        </w:drawing>
      </w:r>
    </w:p>
    <w:p>
      <w:pPr>
        <w:jc w:val="center"/>
        <w:ind w:right="2519"/>
        <w:spacing w:after="0"/>
        <w:rPr>
          <w:sz w:val="20"/>
          <w:szCs w:val="20"/>
          <w:color w:val="auto"/>
        </w:rPr>
      </w:pPr>
      <w:r>
        <w:rPr>
          <w:rFonts w:ascii="Arial" w:cs="Arial" w:eastAsia="Arial" w:hAnsi="Arial"/>
          <w:sz w:val="13"/>
          <w:szCs w:val="13"/>
          <w:b w:val="1"/>
          <w:bCs w:val="1"/>
          <w:color w:val="auto"/>
        </w:rPr>
        <w:t>Therapeutics</w:t>
      </w:r>
    </w:p>
    <w:p>
      <w:pPr>
        <w:spacing w:after="0" w:line="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APVO.80145</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Docket Number</w:t>
            </w:r>
          </w:p>
        </w:tc>
        <w:tc>
          <w:tcPr>
            <w:tcW w:w="6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Country</w:t>
            </w:r>
          </w:p>
        </w:tc>
        <w:tc>
          <w:tcPr>
            <w:tcW w:w="6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Subcase</w:t>
            </w:r>
          </w:p>
        </w:tc>
        <w:tc>
          <w:tcPr>
            <w:tcW w:w="8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Case Type</w:t>
            </w:r>
          </w:p>
        </w:tc>
        <w:tc>
          <w:tcPr>
            <w:tcW w:w="11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8"/>
              </w:rPr>
              <w:t>Application Status</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Number</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9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w w:val="95"/>
              </w:rPr>
              <w:t>Patent Number</w:t>
            </w:r>
          </w:p>
        </w:tc>
        <w:tc>
          <w:tcPr>
            <w:tcW w:w="9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Issue Date</w:t>
            </w:r>
          </w:p>
        </w:tc>
        <w:tc>
          <w:tcPr>
            <w:tcW w:w="0" w:type="dxa"/>
            <w:vAlign w:val="bottom"/>
          </w:tcPr>
          <w:p>
            <w:pPr>
              <w:spacing w:after="0"/>
              <w:rPr>
                <w:sz w:val="1"/>
                <w:szCs w:val="1"/>
                <w:color w:val="auto"/>
              </w:rPr>
            </w:pPr>
          </w:p>
        </w:tc>
      </w:tr>
      <w:tr>
        <w:trPr>
          <w:trHeight w:val="64"/>
        </w:trPr>
        <w:tc>
          <w:tcPr>
            <w:tcW w:w="128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28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28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APVO.</w:t>
            </w:r>
          </w:p>
        </w:tc>
        <w:tc>
          <w:tcPr>
            <w:tcW w:w="6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US</w:t>
            </w:r>
          </w:p>
        </w:tc>
        <w:tc>
          <w:tcPr>
            <w:tcW w:w="6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w:t>
            </w:r>
          </w:p>
        </w:tc>
        <w:tc>
          <w:tcPr>
            <w:tcW w:w="11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3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62/667,402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04-May-2018</w:t>
            </w:r>
          </w:p>
        </w:tc>
        <w:tc>
          <w:tcPr>
            <w:tcW w:w="9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80" w:hanging="336"/>
        <w:spacing w:after="0"/>
        <w:tabs>
          <w:tab w:leader="none" w:pos="580"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Trademarks</w:t>
      </w:r>
    </w:p>
    <w:p>
      <w:pPr>
        <w:spacing w:after="0" w:line="163"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ADAPTIR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86300" cy="20250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686300" cy="2025015"/>
                    </a:xfrm>
                    <a:prstGeom prst="rect">
                      <a:avLst/>
                    </a:prstGeom>
                    <a:noFill/>
                  </pic:spPr>
                </pic:pic>
              </a:graphicData>
            </a:graphic>
          </wp:anchor>
        </w:drawing>
      </w:r>
    </w:p>
    <w:p>
      <w:pPr>
        <w:spacing w:after="0" w:line="138"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Country</w:t>
            </w:r>
          </w:p>
        </w:tc>
        <w:tc>
          <w:tcPr>
            <w:tcW w:w="12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Trademark Name</w:t>
            </w:r>
          </w:p>
        </w:tc>
        <w:tc>
          <w:tcPr>
            <w:tcW w:w="7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Status</w:t>
            </w:r>
          </w:p>
        </w:tc>
        <w:tc>
          <w:tcPr>
            <w:tcW w:w="1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5"/>
              </w:rPr>
              <w:t>Registration No.</w:t>
            </w:r>
          </w:p>
        </w:tc>
        <w:tc>
          <w:tcPr>
            <w:tcW w:w="1840" w:type="dxa"/>
            <w:vAlign w:val="bottom"/>
            <w:tcBorders>
              <w:top w:val="single" w:sz="8" w:color="auto"/>
            </w:tcBorders>
          </w:tcPr>
          <w:p>
            <w:pPr>
              <w:ind w:left="42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AU</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1535279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1535279</w:t>
            </w:r>
          </w:p>
        </w:tc>
        <w:tc>
          <w:tcPr>
            <w:tcW w:w="1840" w:type="dxa"/>
            <w:vAlign w:val="bottom"/>
          </w:tcPr>
          <w:p>
            <w:pPr>
              <w:spacing w:after="0"/>
              <w:rPr>
                <w:sz w:val="20"/>
                <w:szCs w:val="20"/>
                <w:color w:val="auto"/>
              </w:rPr>
            </w:pPr>
            <w:r>
              <w:rPr>
                <w:rFonts w:ascii="Arial" w:cs="Arial" w:eastAsia="Arial" w:hAnsi="Arial"/>
                <w:sz w:val="13"/>
                <w:szCs w:val="13"/>
                <w:color w:val="auto"/>
              </w:rPr>
              <w:t>24-Sep-2014</w:t>
            </w: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CN</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12166130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12166130</w:t>
            </w:r>
          </w:p>
        </w:tc>
        <w:tc>
          <w:tcPr>
            <w:tcW w:w="1840" w:type="dxa"/>
            <w:vAlign w:val="bottom"/>
          </w:tcPr>
          <w:p>
            <w:pPr>
              <w:spacing w:after="0"/>
              <w:rPr>
                <w:sz w:val="20"/>
                <w:szCs w:val="20"/>
                <w:color w:val="auto"/>
              </w:rPr>
            </w:pPr>
            <w:r>
              <w:rPr>
                <w:rFonts w:ascii="Arial" w:cs="Arial" w:eastAsia="Arial" w:hAnsi="Arial"/>
                <w:sz w:val="13"/>
                <w:szCs w:val="13"/>
                <w:color w:val="auto"/>
              </w:rPr>
              <w:t>28-Jul-2014</w:t>
            </w: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CN</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12166129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12166129</w:t>
            </w:r>
          </w:p>
        </w:tc>
        <w:tc>
          <w:tcPr>
            <w:tcW w:w="1840" w:type="dxa"/>
            <w:vAlign w:val="bottom"/>
          </w:tcPr>
          <w:p>
            <w:pPr>
              <w:spacing w:after="0"/>
              <w:rPr>
                <w:sz w:val="20"/>
                <w:szCs w:val="20"/>
                <w:color w:val="auto"/>
              </w:rPr>
            </w:pPr>
            <w:r>
              <w:rPr>
                <w:rFonts w:ascii="Arial" w:cs="Arial" w:eastAsia="Arial" w:hAnsi="Arial"/>
                <w:sz w:val="13"/>
                <w:szCs w:val="13"/>
                <w:color w:val="auto"/>
              </w:rPr>
              <w:t>28-Jul-2014</w:t>
            </w:r>
          </w:p>
        </w:tc>
      </w:tr>
      <w:tr>
        <w:trPr>
          <w:trHeight w:val="154"/>
        </w:trPr>
        <w:tc>
          <w:tcPr>
            <w:tcW w:w="64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EM</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011481851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011481851</w:t>
            </w:r>
          </w:p>
        </w:tc>
        <w:tc>
          <w:tcPr>
            <w:tcW w:w="1840" w:type="dxa"/>
            <w:vAlign w:val="bottom"/>
          </w:tcPr>
          <w:p>
            <w:pPr>
              <w:spacing w:after="0"/>
              <w:rPr>
                <w:sz w:val="20"/>
                <w:szCs w:val="20"/>
                <w:color w:val="auto"/>
              </w:rPr>
            </w:pPr>
            <w:r>
              <w:rPr>
                <w:rFonts w:ascii="Arial" w:cs="Arial" w:eastAsia="Arial" w:hAnsi="Arial"/>
                <w:sz w:val="13"/>
                <w:szCs w:val="13"/>
                <w:color w:val="auto"/>
              </w:rPr>
              <w:t>07-Jun-2013</w:t>
            </w: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2460333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2460333</w:t>
            </w:r>
          </w:p>
        </w:tc>
        <w:tc>
          <w:tcPr>
            <w:tcW w:w="1840" w:type="dxa"/>
            <w:vAlign w:val="bottom"/>
          </w:tcPr>
          <w:p>
            <w:pPr>
              <w:ind w:left="40"/>
              <w:spacing w:after="0"/>
              <w:rPr>
                <w:sz w:val="20"/>
                <w:szCs w:val="20"/>
                <w:color w:val="auto"/>
              </w:rPr>
            </w:pPr>
            <w:r>
              <w:rPr>
                <w:rFonts w:ascii="Arial" w:cs="Arial" w:eastAsia="Arial" w:hAnsi="Arial"/>
                <w:sz w:val="13"/>
                <w:szCs w:val="13"/>
                <w:color w:val="auto"/>
              </w:rPr>
              <w:t>14-Jan-2013</w:t>
            </w: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JP</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2013-004108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5598630</w:t>
            </w:r>
          </w:p>
        </w:tc>
        <w:tc>
          <w:tcPr>
            <w:tcW w:w="1840" w:type="dxa"/>
            <w:vAlign w:val="bottom"/>
          </w:tcPr>
          <w:p>
            <w:pPr>
              <w:spacing w:after="0"/>
              <w:rPr>
                <w:sz w:val="20"/>
                <w:szCs w:val="20"/>
                <w:color w:val="auto"/>
              </w:rPr>
            </w:pPr>
            <w:r>
              <w:rPr>
                <w:rFonts w:ascii="Arial" w:cs="Arial" w:eastAsia="Arial" w:hAnsi="Arial"/>
                <w:sz w:val="13"/>
                <w:szCs w:val="13"/>
                <w:color w:val="auto"/>
              </w:rPr>
              <w:t>12-Jul-2013</w:t>
            </w: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SG</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T1300692I</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07-Aug-2012</w:t>
            </w:r>
          </w:p>
        </w:tc>
        <w:tc>
          <w:tcPr>
            <w:tcW w:w="10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T1300692I</w:t>
            </w:r>
          </w:p>
        </w:tc>
        <w:tc>
          <w:tcPr>
            <w:tcW w:w="1840" w:type="dxa"/>
            <w:vAlign w:val="bottom"/>
          </w:tcPr>
          <w:p>
            <w:pPr>
              <w:spacing w:after="0"/>
              <w:rPr>
                <w:sz w:val="20"/>
                <w:szCs w:val="20"/>
                <w:color w:val="auto"/>
              </w:rPr>
            </w:pPr>
            <w:r>
              <w:rPr>
                <w:rFonts w:ascii="Arial" w:cs="Arial" w:eastAsia="Arial" w:hAnsi="Arial"/>
                <w:sz w:val="13"/>
                <w:szCs w:val="13"/>
                <w:color w:val="auto"/>
              </w:rPr>
              <w:t>11-Jan-2013</w:t>
            </w:r>
          </w:p>
        </w:tc>
      </w:tr>
      <w:tr>
        <w:trPr>
          <w:trHeight w:val="154"/>
        </w:trPr>
        <w:tc>
          <w:tcPr>
            <w:tcW w:w="64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r>
      <w:tr>
        <w:trPr>
          <w:trHeight w:val="151"/>
        </w:trPr>
        <w:tc>
          <w:tcPr>
            <w:tcW w:w="6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2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ADAPTIR</w:t>
            </w:r>
          </w:p>
        </w:tc>
        <w:tc>
          <w:tcPr>
            <w:tcW w:w="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10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86/974,244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13-Apr-2016</w:t>
            </w:r>
          </w:p>
        </w:tc>
        <w:tc>
          <w:tcPr>
            <w:tcW w:w="1080" w:type="dxa"/>
            <w:vAlign w:val="bottom"/>
            <w:tcBorders>
              <w:right w:val="single" w:sz="8" w:color="auto"/>
            </w:tcBorders>
          </w:tcPr>
          <w:p>
            <w:pPr>
              <w:spacing w:after="0"/>
              <w:rPr>
                <w:sz w:val="13"/>
                <w:szCs w:val="13"/>
                <w:color w:val="auto"/>
              </w:rPr>
            </w:pPr>
          </w:p>
        </w:tc>
        <w:tc>
          <w:tcPr>
            <w:tcW w:w="1840" w:type="dxa"/>
            <w:vAlign w:val="bottom"/>
          </w:tcPr>
          <w:p>
            <w:pPr>
              <w:spacing w:after="0"/>
              <w:rPr>
                <w:sz w:val="13"/>
                <w:szCs w:val="13"/>
                <w:color w:val="auto"/>
              </w:rPr>
            </w:pPr>
          </w:p>
        </w:tc>
      </w:tr>
      <w:tr>
        <w:trPr>
          <w:trHeight w:val="144"/>
        </w:trPr>
        <w:tc>
          <w:tcPr>
            <w:tcW w:w="64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tcBorders>
          </w:tcPr>
          <w:p>
            <w:pPr>
              <w:spacing w:after="0"/>
              <w:rPr>
                <w:sz w:val="12"/>
                <w:szCs w:val="1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233" w:name="page234"/>
    <w:bookmarkEnd w:id="233"/>
    <w:p>
      <w:pPr>
        <w:ind w:left="368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86300" cy="3430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86300" cy="343090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4"/>
              </w:rPr>
              <w:t>Application No.</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Registration No.</w:t>
            </w:r>
          </w:p>
        </w:tc>
        <w:tc>
          <w:tcPr>
            <w:tcW w:w="162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BR</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910765901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BR</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910765944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1,772,702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EG</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332268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EG</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332269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EM</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015221261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015221261</w:t>
            </w:r>
          </w:p>
        </w:tc>
        <w:tc>
          <w:tcPr>
            <w:tcW w:w="1620" w:type="dxa"/>
            <w:vAlign w:val="bottom"/>
          </w:tcPr>
          <w:p>
            <w:pPr>
              <w:ind w:left="20"/>
              <w:spacing w:after="0"/>
              <w:rPr>
                <w:sz w:val="20"/>
                <w:szCs w:val="20"/>
                <w:color w:val="auto"/>
              </w:rPr>
            </w:pPr>
            <w:r>
              <w:rPr>
                <w:rFonts w:ascii="Arial" w:cs="Arial" w:eastAsia="Arial" w:hAnsi="Arial"/>
                <w:sz w:val="13"/>
                <w:szCs w:val="13"/>
                <w:color w:val="auto"/>
              </w:rPr>
              <w:t>09-Jan-2018</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HK</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303714291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30371429</w:t>
            </w:r>
          </w:p>
        </w:tc>
        <w:tc>
          <w:tcPr>
            <w:tcW w:w="1620" w:type="dxa"/>
            <w:vAlign w:val="bottom"/>
          </w:tcPr>
          <w:p>
            <w:pPr>
              <w:ind w:left="40"/>
              <w:spacing w:after="0"/>
              <w:rPr>
                <w:sz w:val="20"/>
                <w:szCs w:val="20"/>
                <w:color w:val="auto"/>
              </w:rPr>
            </w:pPr>
            <w:r>
              <w:rPr>
                <w:rFonts w:ascii="Arial" w:cs="Arial" w:eastAsia="Arial" w:hAnsi="Arial"/>
                <w:sz w:val="13"/>
                <w:szCs w:val="13"/>
                <w:color w:val="auto"/>
              </w:rPr>
              <w:t>16-Mar-2016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IQ</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71869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JP</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2016-029238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5855830</w:t>
            </w:r>
          </w:p>
        </w:tc>
        <w:tc>
          <w:tcPr>
            <w:tcW w:w="1620" w:type="dxa"/>
            <w:vAlign w:val="bottom"/>
          </w:tcPr>
          <w:p>
            <w:pPr>
              <w:ind w:left="40"/>
              <w:spacing w:after="0"/>
              <w:rPr>
                <w:sz w:val="20"/>
                <w:szCs w:val="20"/>
                <w:color w:val="auto"/>
              </w:rPr>
            </w:pPr>
            <w:r>
              <w:rPr>
                <w:rFonts w:ascii="Arial" w:cs="Arial" w:eastAsia="Arial" w:hAnsi="Arial"/>
                <w:sz w:val="13"/>
                <w:szCs w:val="13"/>
                <w:color w:val="auto"/>
              </w:rPr>
              <w:t>03-Jun-2016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KW</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178411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149700</w:t>
            </w:r>
          </w:p>
        </w:tc>
        <w:tc>
          <w:tcPr>
            <w:tcW w:w="1620" w:type="dxa"/>
            <w:vAlign w:val="bottom"/>
          </w:tcPr>
          <w:p>
            <w:pPr>
              <w:ind w:left="40"/>
              <w:spacing w:after="0"/>
              <w:rPr>
                <w:sz w:val="20"/>
                <w:szCs w:val="20"/>
                <w:color w:val="auto"/>
              </w:rPr>
            </w:pPr>
            <w:r>
              <w:rPr>
                <w:rFonts w:ascii="Arial" w:cs="Arial" w:eastAsia="Arial" w:hAnsi="Arial"/>
                <w:sz w:val="13"/>
                <w:szCs w:val="13"/>
                <w:color w:val="auto"/>
              </w:rPr>
              <w:t>16-Oct-2017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KW</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178412</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16-Mar-2016</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149701</w:t>
            </w:r>
          </w:p>
        </w:tc>
        <w:tc>
          <w:tcPr>
            <w:tcW w:w="1620" w:type="dxa"/>
            <w:vAlign w:val="bottom"/>
          </w:tcPr>
          <w:p>
            <w:pPr>
              <w:ind w:left="40"/>
              <w:spacing w:after="0"/>
              <w:rPr>
                <w:sz w:val="20"/>
                <w:szCs w:val="20"/>
                <w:color w:val="auto"/>
              </w:rPr>
            </w:pPr>
            <w:r>
              <w:rPr>
                <w:rFonts w:ascii="Arial" w:cs="Arial" w:eastAsia="Arial" w:hAnsi="Arial"/>
                <w:sz w:val="13"/>
                <w:szCs w:val="13"/>
                <w:color w:val="auto"/>
              </w:rPr>
              <w:t>16-Oct-2017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MY</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2016054448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MY</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2016054450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201654450</w:t>
            </w:r>
          </w:p>
        </w:tc>
        <w:tc>
          <w:tcPr>
            <w:tcW w:w="1620" w:type="dxa"/>
            <w:vAlign w:val="bottom"/>
          </w:tcPr>
          <w:p>
            <w:pPr>
              <w:ind w:left="40"/>
              <w:spacing w:after="0"/>
              <w:rPr>
                <w:sz w:val="20"/>
                <w:szCs w:val="20"/>
                <w:color w:val="auto"/>
              </w:rPr>
            </w:pPr>
            <w:r>
              <w:rPr>
                <w:rFonts w:ascii="Arial" w:cs="Arial" w:eastAsia="Arial" w:hAnsi="Arial"/>
                <w:sz w:val="13"/>
                <w:szCs w:val="13"/>
                <w:color w:val="auto"/>
              </w:rPr>
              <w:t>16-Dec-2016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NI</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TBD</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PK</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413897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633" w:right="1440" w:bottom="1440" w:gutter="0" w:footer="0" w:header="0"/>
        </w:sectPr>
      </w:pPr>
    </w:p>
    <w:bookmarkStart w:id="234" w:name="page235"/>
    <w:bookmarkEnd w:id="234"/>
    <w:p>
      <w:pPr>
        <w:ind w:left="368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86300" cy="10121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86300" cy="1012190"/>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4"/>
              </w:rPr>
              <w:t>Application No.</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080" w:type="dxa"/>
            <w:vAlign w:val="bottom"/>
            <w:tcBorders>
              <w:top w:val="single" w:sz="8" w:color="auto"/>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5"/>
              </w:rPr>
              <w:t>Registration No.</w:t>
            </w:r>
          </w:p>
        </w:tc>
        <w:tc>
          <w:tcPr>
            <w:tcW w:w="1620" w:type="dxa"/>
            <w:vAlign w:val="bottom"/>
            <w:tcBorders>
              <w:top w:val="single" w:sz="8" w:color="auto"/>
            </w:tcBorders>
          </w:tcPr>
          <w:p>
            <w:pPr>
              <w:ind w:left="32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PK</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413898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UA</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m201605321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jc w:val="right"/>
              <w:ind w:right="596"/>
              <w:spacing w:after="0"/>
              <w:rPr>
                <w:sz w:val="20"/>
                <w:szCs w:val="20"/>
                <w:color w:val="auto"/>
              </w:rPr>
            </w:pPr>
            <w:r>
              <w:rPr>
                <w:rFonts w:ascii="Arial" w:cs="Arial" w:eastAsia="Arial" w:hAnsi="Arial"/>
                <w:sz w:val="13"/>
                <w:szCs w:val="13"/>
                <w:color w:val="auto"/>
                <w:w w:val="92"/>
              </w:rPr>
              <w:t>232123</w:t>
            </w:r>
          </w:p>
        </w:tc>
        <w:tc>
          <w:tcPr>
            <w:tcW w:w="1620" w:type="dxa"/>
            <w:vAlign w:val="bottom"/>
          </w:tcPr>
          <w:p>
            <w:pPr>
              <w:ind w:left="40"/>
              <w:spacing w:after="0"/>
              <w:rPr>
                <w:sz w:val="20"/>
                <w:szCs w:val="20"/>
                <w:color w:val="auto"/>
              </w:rPr>
            </w:pPr>
            <w:r>
              <w:rPr>
                <w:rFonts w:ascii="Arial" w:cs="Arial" w:eastAsia="Arial" w:hAnsi="Arial"/>
                <w:sz w:val="13"/>
                <w:szCs w:val="13"/>
                <w:color w:val="auto"/>
              </w:rPr>
              <w:t>25-Sep-2017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UY</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472611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16-Sep-2015</w:t>
            </w:r>
          </w:p>
        </w:tc>
        <w:tc>
          <w:tcPr>
            <w:tcW w:w="1080" w:type="dxa"/>
            <w:vAlign w:val="bottom"/>
            <w:tcBorders>
              <w:right w:val="single" w:sz="8" w:color="auto"/>
            </w:tcBorders>
          </w:tcPr>
          <w:p>
            <w:pPr>
              <w:spacing w:after="0"/>
              <w:rPr>
                <w:sz w:val="13"/>
                <w:szCs w:val="13"/>
                <w:color w:val="auto"/>
              </w:rPr>
            </w:pPr>
          </w:p>
        </w:tc>
        <w:tc>
          <w:tcPr>
            <w:tcW w:w="162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bl>
    <w:p>
      <w:pPr>
        <w:spacing w:after="0" w:line="302" w:lineRule="exact"/>
        <w:rPr>
          <w:sz w:val="20"/>
          <w:szCs w:val="20"/>
          <w:color w:val="auto"/>
        </w:rPr>
      </w:pPr>
    </w:p>
    <w:p>
      <w:pPr>
        <w:jc w:val="center"/>
        <w:ind w:right="2679"/>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24853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74235" cy="2485390"/>
                    </a:xfrm>
                    <a:prstGeom prst="rect">
                      <a:avLst/>
                    </a:prstGeom>
                    <a:noFill/>
                  </pic:spPr>
                </pic:pic>
              </a:graphicData>
            </a:graphic>
          </wp:anchor>
        </w:drawing>
      </w:r>
    </w:p>
    <w:p>
      <w:pPr>
        <w:jc w:val="center"/>
        <w:ind w:right="2659"/>
        <w:spacing w:after="0"/>
        <w:rPr>
          <w:sz w:val="20"/>
          <w:szCs w:val="20"/>
          <w:color w:val="auto"/>
        </w:rPr>
      </w:pPr>
      <w:r>
        <w:rPr>
          <w:rFonts w:ascii="Arial" w:cs="Arial" w:eastAsia="Arial" w:hAnsi="Arial"/>
          <w:sz w:val="13"/>
          <w:szCs w:val="13"/>
          <w:b w:val="1"/>
          <w:bCs w:val="1"/>
          <w:color w:val="auto"/>
        </w:rPr>
        <w:t>BIOTHERAPEUTICS</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34"/>
        </w:trPr>
        <w:tc>
          <w:tcPr>
            <w:tcW w:w="7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US</w:t>
            </w:r>
          </w:p>
        </w:tc>
        <w:tc>
          <w:tcPr>
            <w:tcW w:w="1340" w:type="dxa"/>
            <w:vAlign w:val="bottom"/>
            <w:tcBorders>
              <w:top w:val="single" w:sz="8" w:color="auto"/>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Allowed</w:t>
            </w:r>
          </w:p>
        </w:tc>
        <w:tc>
          <w:tcPr>
            <w:tcW w:w="10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86/859161</w:t>
            </w:r>
          </w:p>
        </w:tc>
        <w:tc>
          <w:tcPr>
            <w:tcW w:w="8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28-Dec-2015</w:t>
            </w:r>
          </w:p>
        </w:tc>
        <w:tc>
          <w:tcPr>
            <w:tcW w:w="1060" w:type="dxa"/>
            <w:vAlign w:val="bottom"/>
            <w:tcBorders>
              <w:top w:val="single" w:sz="8" w:color="auto"/>
              <w:right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AU</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1865781</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060" w:type="dxa"/>
            <w:vAlign w:val="bottom"/>
            <w:tcBorders>
              <w:right w:val="single" w:sz="8" w:color="auto"/>
            </w:tcBorders>
          </w:tcPr>
          <w:p>
            <w:pPr>
              <w:jc w:val="right"/>
              <w:ind w:right="556"/>
              <w:spacing w:after="0" w:line="134" w:lineRule="exact"/>
              <w:rPr>
                <w:sz w:val="20"/>
                <w:szCs w:val="20"/>
                <w:color w:val="auto"/>
              </w:rPr>
            </w:pPr>
            <w:r>
              <w:rPr>
                <w:rFonts w:ascii="Arial" w:cs="Arial" w:eastAsia="Arial" w:hAnsi="Arial"/>
                <w:sz w:val="13"/>
                <w:szCs w:val="13"/>
                <w:color w:val="auto"/>
                <w:w w:val="82"/>
              </w:rPr>
              <w:t>1865781</w:t>
            </w:r>
          </w:p>
        </w:tc>
        <w:tc>
          <w:tcPr>
            <w:tcW w:w="1600" w:type="dxa"/>
            <w:vAlign w:val="bottom"/>
          </w:tcPr>
          <w:p>
            <w:pPr>
              <w:ind w:left="20"/>
              <w:spacing w:after="0" w:line="134" w:lineRule="exact"/>
              <w:rPr>
                <w:sz w:val="20"/>
                <w:szCs w:val="20"/>
                <w:color w:val="auto"/>
              </w:rPr>
            </w:pPr>
            <w:r>
              <w:rPr>
                <w:rFonts w:ascii="Arial" w:cs="Arial" w:eastAsia="Arial" w:hAnsi="Arial"/>
                <w:sz w:val="13"/>
                <w:szCs w:val="13"/>
                <w:color w:val="auto"/>
              </w:rPr>
              <w:t>13-Mar-2018</w:t>
            </w: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BR</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913215953</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BR</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913215910</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CA</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1,788,036</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21-Jun-2016</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EM</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Under</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015568157</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22-Jun-2016</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Opposition</w:t>
            </w: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tcPr>
          <w:p>
            <w:pPr>
              <w:ind w:left="20"/>
              <w:spacing w:after="0" w:line="134" w:lineRule="exact"/>
              <w:rPr>
                <w:sz w:val="20"/>
                <w:szCs w:val="20"/>
                <w:color w:val="auto"/>
              </w:rPr>
            </w:pPr>
            <w:r>
              <w:rPr>
                <w:rFonts w:ascii="Arial" w:cs="Arial" w:eastAsia="Arial" w:hAnsi="Arial"/>
                <w:sz w:val="13"/>
                <w:szCs w:val="13"/>
                <w:color w:val="auto"/>
              </w:rPr>
              <w:t>HK</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304241628</w:t>
            </w:r>
          </w:p>
        </w:tc>
        <w:tc>
          <w:tcPr>
            <w:tcW w:w="8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060" w:type="dxa"/>
            <w:vAlign w:val="bottom"/>
            <w:tcBorders>
              <w:right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4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w:t>
            </w:r>
          </w:p>
        </w:tc>
        <w:tc>
          <w:tcPr>
            <w:tcW w:w="13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3612484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14-Aug-2017</w:t>
            </w:r>
          </w:p>
        </w:tc>
        <w:tc>
          <w:tcPr>
            <w:tcW w:w="1060" w:type="dxa"/>
            <w:vAlign w:val="bottom"/>
            <w:tcBorders>
              <w:right w:val="single" w:sz="8" w:color="auto"/>
            </w:tcBorders>
          </w:tcPr>
          <w:p>
            <w:pPr>
              <w:jc w:val="right"/>
              <w:ind w:right="556"/>
              <w:spacing w:after="0"/>
              <w:rPr>
                <w:sz w:val="20"/>
                <w:szCs w:val="20"/>
                <w:color w:val="auto"/>
              </w:rPr>
            </w:pPr>
            <w:r>
              <w:rPr>
                <w:rFonts w:ascii="Arial" w:cs="Arial" w:eastAsia="Arial" w:hAnsi="Arial"/>
                <w:sz w:val="13"/>
                <w:szCs w:val="13"/>
                <w:color w:val="auto"/>
                <w:w w:val="82"/>
              </w:rPr>
              <w:t>3612484</w:t>
            </w:r>
          </w:p>
        </w:tc>
        <w:tc>
          <w:tcPr>
            <w:tcW w:w="1600" w:type="dxa"/>
            <w:vAlign w:val="bottom"/>
          </w:tcPr>
          <w:p>
            <w:pPr>
              <w:ind w:left="20"/>
              <w:spacing w:after="0"/>
              <w:rPr>
                <w:sz w:val="20"/>
                <w:szCs w:val="20"/>
                <w:color w:val="auto"/>
              </w:rPr>
            </w:pPr>
            <w:r>
              <w:rPr>
                <w:rFonts w:ascii="Arial" w:cs="Arial" w:eastAsia="Arial" w:hAnsi="Arial"/>
                <w:sz w:val="13"/>
                <w:szCs w:val="13"/>
                <w:color w:val="auto"/>
              </w:rPr>
              <w:t>14-Aug-2017</w:t>
            </w:r>
          </w:p>
        </w:tc>
        <w:tc>
          <w:tcPr>
            <w:tcW w:w="0" w:type="dxa"/>
            <w:vAlign w:val="bottom"/>
          </w:tcPr>
          <w:p>
            <w:pPr>
              <w:spacing w:after="0"/>
              <w:rPr>
                <w:sz w:val="1"/>
                <w:szCs w:val="1"/>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35" w:name="page236"/>
    <w:bookmarkEnd w:id="235"/>
    <w:tbl>
      <w:tblPr>
        <w:tblLayout w:type="fixed"/>
        <w:tblInd w:w="270" w:type="dxa"/>
        <w:tblCellMar>
          <w:top w:w="0" w:type="dxa"/>
          <w:left w:w="0" w:type="dxa"/>
          <w:bottom w:w="0" w:type="dxa"/>
          <w:right w:w="0" w:type="dxa"/>
        </w:tblCellMar>
      </w:tblPr>
      <w:tr>
        <w:trPr>
          <w:trHeight w:val="171"/>
        </w:trPr>
        <w:tc>
          <w:tcPr>
            <w:tcW w:w="700" w:type="dxa"/>
            <w:vAlign w:val="bottom"/>
            <w:tcBorders>
              <w:top w:val="single" w:sz="8" w:color="auto"/>
              <w:left w:val="single" w:sz="8" w:color="auto"/>
              <w:right w:val="single" w:sz="8" w:color="auto"/>
            </w:tcBorders>
          </w:tcPr>
          <w:p>
            <w:pPr>
              <w:spacing w:after="0"/>
              <w:rPr>
                <w:sz w:val="14"/>
                <w:szCs w:val="14"/>
                <w:color w:val="auto"/>
              </w:rPr>
            </w:pP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BIOTHERAPEUTICS</w:t>
            </w:r>
          </w:p>
        </w:tc>
        <w:tc>
          <w:tcPr>
            <w:tcW w:w="40" w:type="dxa"/>
            <w:vAlign w:val="bottom"/>
            <w:tcBorders>
              <w:top w:val="single" w:sz="8" w:color="auto"/>
              <w:right w:val="single" w:sz="8" w:color="auto"/>
            </w:tcBorders>
          </w:tcPr>
          <w:p>
            <w:pPr>
              <w:spacing w:after="0"/>
              <w:rPr>
                <w:sz w:val="14"/>
                <w:szCs w:val="14"/>
                <w:color w:val="auto"/>
              </w:rPr>
            </w:pPr>
          </w:p>
        </w:tc>
        <w:tc>
          <w:tcPr>
            <w:tcW w:w="74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4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tcPr>
          <w:p>
            <w:pPr>
              <w:ind w:left="20"/>
              <w:spacing w:after="0" w:line="134" w:lineRule="exact"/>
              <w:rPr>
                <w:sz w:val="20"/>
                <w:szCs w:val="20"/>
                <w:color w:val="auto"/>
              </w:rPr>
            </w:pPr>
            <w:r>
              <w:rPr>
                <w:rFonts w:ascii="Arial" w:cs="Arial" w:eastAsia="Arial" w:hAnsi="Arial"/>
                <w:sz w:val="13"/>
                <w:szCs w:val="13"/>
                <w:color w:val="auto"/>
              </w:rPr>
              <w:t>JP</w:t>
            </w:r>
          </w:p>
        </w:tc>
        <w:tc>
          <w:tcPr>
            <w:tcW w:w="1320" w:type="dxa"/>
            <w:vAlign w:val="bottom"/>
          </w:tcPr>
          <w:p>
            <w:pPr>
              <w:ind w:left="20"/>
              <w:spacing w:after="0" w:line="134" w:lineRule="exact"/>
              <w:rPr>
                <w:sz w:val="20"/>
                <w:szCs w:val="20"/>
                <w:color w:val="auto"/>
              </w:rPr>
            </w:pPr>
            <w:r>
              <w:rPr>
                <w:rFonts w:ascii="Arial" w:cs="Arial" w:eastAsia="Arial" w:hAnsi="Arial"/>
                <w:sz w:val="13"/>
                <w:szCs w:val="13"/>
                <w:color w:val="auto"/>
              </w:rPr>
              <w:t>APTEVO</w:t>
            </w: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2017-106073</w:t>
            </w:r>
          </w:p>
        </w:tc>
        <w:tc>
          <w:tcPr>
            <w:tcW w:w="820" w:type="dxa"/>
            <w:vAlign w:val="bottom"/>
          </w:tcPr>
          <w:p>
            <w:pPr>
              <w:jc w:val="right"/>
              <w:ind w:right="56"/>
              <w:spacing w:after="0" w:line="134" w:lineRule="exact"/>
              <w:rPr>
                <w:sz w:val="20"/>
                <w:szCs w:val="20"/>
                <w:color w:val="auto"/>
              </w:rPr>
            </w:pPr>
            <w:r>
              <w:rPr>
                <w:rFonts w:ascii="Arial" w:cs="Arial" w:eastAsia="Arial" w:hAnsi="Arial"/>
                <w:sz w:val="13"/>
                <w:szCs w:val="13"/>
                <w:color w:val="auto"/>
                <w:w w:val="90"/>
              </w:rPr>
              <w:t>14-Aug-2017</w:t>
            </w:r>
          </w:p>
        </w:tc>
        <w:tc>
          <w:tcPr>
            <w:tcW w:w="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tcPr>
          <w:p>
            <w:pPr>
              <w:spacing w:after="0"/>
              <w:rPr>
                <w:sz w:val="7"/>
                <w:szCs w:val="7"/>
                <w:color w:val="auto"/>
              </w:rPr>
            </w:pPr>
          </w:p>
        </w:tc>
        <w:tc>
          <w:tcPr>
            <w:tcW w:w="1320" w:type="dxa"/>
            <w:vAlign w:val="bottom"/>
            <w:vMerge w:val="restart"/>
          </w:tcPr>
          <w:p>
            <w:pPr>
              <w:ind w:left="20"/>
              <w:spacing w:after="0"/>
              <w:rPr>
                <w:sz w:val="20"/>
                <w:szCs w:val="20"/>
                <w:color w:val="auto"/>
              </w:rPr>
            </w:pPr>
            <w:r>
              <w:rPr>
                <w:rFonts w:ascii="Arial" w:cs="Arial" w:eastAsia="Arial" w:hAnsi="Arial"/>
                <w:sz w:val="13"/>
                <w:szCs w:val="13"/>
                <w:color w:val="auto"/>
              </w:rPr>
              <w:t>BIOTHERAPEUTICS</w:t>
            </w:r>
          </w:p>
        </w:tc>
        <w:tc>
          <w:tcPr>
            <w:tcW w:w="4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vMerge w:val="continue"/>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5"/>
          </w:tcPr>
          <w:p>
            <w:pPr>
              <w:ind w:left="320"/>
              <w:spacing w:after="0"/>
              <w:rPr>
                <w:sz w:val="20"/>
                <w:szCs w:val="20"/>
                <w:color w:val="auto"/>
              </w:rPr>
            </w:pPr>
            <w:r>
              <w:rPr>
                <w:rFonts w:ascii="Arial" w:cs="Arial" w:eastAsia="Arial" w:hAnsi="Arial"/>
                <w:sz w:val="13"/>
                <w:szCs w:val="13"/>
                <w:b w:val="1"/>
                <w:bCs w:val="1"/>
                <w:color w:val="auto"/>
              </w:rPr>
              <w:t>APTEVO RESEARCH AND DEVELOPMENT</w:t>
            </w:r>
          </w:p>
        </w:tc>
        <w:tc>
          <w:tcPr>
            <w:tcW w:w="156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0" w:type="dxa"/>
            <w:vAlign w:val="bottom"/>
            <w:tcBorders>
              <w:left w:val="single" w:sz="8" w:color="auto"/>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US</w:t>
            </w:r>
          </w:p>
        </w:tc>
        <w:tc>
          <w:tcPr>
            <w:tcW w:w="1320" w:type="dxa"/>
            <w:vAlign w:val="bottom"/>
          </w:tcPr>
          <w:p>
            <w:pPr>
              <w:ind w:left="20"/>
              <w:spacing w:after="0" w:line="134" w:lineRule="exact"/>
              <w:rPr>
                <w:sz w:val="20"/>
                <w:szCs w:val="20"/>
                <w:color w:val="auto"/>
              </w:rPr>
            </w:pPr>
            <w:r>
              <w:rPr>
                <w:rFonts w:ascii="Arial" w:cs="Arial" w:eastAsia="Arial" w:hAnsi="Arial"/>
                <w:sz w:val="13"/>
                <w:szCs w:val="13"/>
                <w:color w:val="auto"/>
                <w:w w:val="97"/>
              </w:rPr>
              <w:t>APTEVO RESEARCH</w:t>
            </w:r>
          </w:p>
        </w:tc>
        <w:tc>
          <w:tcPr>
            <w:tcW w:w="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Allowed</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86/859,136</w:t>
            </w:r>
          </w:p>
        </w:tc>
        <w:tc>
          <w:tcPr>
            <w:tcW w:w="820" w:type="dxa"/>
            <w:vAlign w:val="bottom"/>
            <w:vMerge w:val="restart"/>
          </w:tcPr>
          <w:p>
            <w:pPr>
              <w:jc w:val="right"/>
              <w:ind w:right="76"/>
              <w:spacing w:after="0"/>
              <w:rPr>
                <w:sz w:val="20"/>
                <w:szCs w:val="20"/>
                <w:color w:val="auto"/>
              </w:rPr>
            </w:pPr>
            <w:r>
              <w:rPr>
                <w:rFonts w:ascii="Arial" w:cs="Arial" w:eastAsia="Arial" w:hAnsi="Arial"/>
                <w:sz w:val="13"/>
                <w:szCs w:val="13"/>
                <w:color w:val="auto"/>
                <w:w w:val="87"/>
              </w:rPr>
              <w:t>28-Dec-2015</w:t>
            </w:r>
          </w:p>
        </w:tc>
        <w:tc>
          <w:tcPr>
            <w:tcW w:w="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0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w w:val="97"/>
              </w:rPr>
              <w:t>AND DEVELOPMENT</w:t>
            </w:r>
          </w:p>
        </w:tc>
        <w:tc>
          <w:tcPr>
            <w:tcW w:w="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vMerge w:val="continue"/>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Borders>
              <w:left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ind w:left="300"/>
              <w:spacing w:after="0" w:line="129" w:lineRule="exact"/>
              <w:rPr>
                <w:sz w:val="20"/>
                <w:szCs w:val="20"/>
                <w:color w:val="auto"/>
              </w:rPr>
            </w:pPr>
            <w:r>
              <w:rPr>
                <w:rFonts w:ascii="Arial" w:cs="Arial" w:eastAsia="Arial" w:hAnsi="Arial"/>
                <w:sz w:val="13"/>
                <w:szCs w:val="13"/>
                <w:b w:val="1"/>
                <w:bCs w:val="1"/>
                <w:color w:val="auto"/>
              </w:rPr>
              <w:t>APTEVO</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Borders>
              <w:left w:val="single" w:sz="8" w:color="auto"/>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THERAPEUTICS</w:t>
            </w: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Country</w:t>
            </w:r>
          </w:p>
        </w:tc>
        <w:tc>
          <w:tcPr>
            <w:tcW w:w="1320" w:type="dxa"/>
            <w:vAlign w:val="bottom"/>
            <w:tcBorders>
              <w:right w:val="single" w:sz="8" w:color="auto"/>
            </w:tcBorders>
          </w:tcPr>
          <w:p>
            <w:pPr>
              <w:ind w:left="140"/>
              <w:spacing w:after="0"/>
              <w:rPr>
                <w:sz w:val="20"/>
                <w:szCs w:val="20"/>
                <w:color w:val="auto"/>
              </w:rPr>
            </w:pPr>
            <w:r>
              <w:rPr>
                <w:rFonts w:ascii="Arial" w:cs="Arial" w:eastAsia="Arial" w:hAnsi="Arial"/>
                <w:sz w:val="13"/>
                <w:szCs w:val="13"/>
                <w:b w:val="1"/>
                <w:bCs w:val="1"/>
                <w:color w:val="auto"/>
              </w:rPr>
              <w:t>Trademark Name</w:t>
            </w:r>
          </w:p>
        </w:tc>
        <w:tc>
          <w:tcPr>
            <w:tcW w:w="40" w:type="dxa"/>
            <w:vAlign w:val="bottom"/>
          </w:tcPr>
          <w:p>
            <w:pPr>
              <w:spacing w:after="0"/>
              <w:rPr>
                <w:sz w:val="13"/>
                <w:szCs w:val="13"/>
                <w:color w:val="auto"/>
              </w:rPr>
            </w:pPr>
          </w:p>
        </w:tc>
        <w:tc>
          <w:tcPr>
            <w:tcW w:w="74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20" w:type="dxa"/>
            <w:vAlign w:val="bottom"/>
            <w:tcBorders>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Filing Date</w:t>
            </w:r>
          </w:p>
        </w:tc>
        <w:tc>
          <w:tcPr>
            <w:tcW w:w="60" w:type="dxa"/>
            <w:vAlign w:val="bottom"/>
          </w:tcPr>
          <w:p>
            <w:pPr>
              <w:spacing w:after="0"/>
              <w:rPr>
                <w:sz w:val="13"/>
                <w:szCs w:val="13"/>
                <w:color w:val="auto"/>
              </w:rPr>
            </w:pPr>
          </w:p>
        </w:tc>
        <w:tc>
          <w:tcPr>
            <w:tcW w:w="106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9"/>
              </w:rPr>
              <w:t>Registration No.</w:t>
            </w:r>
          </w:p>
        </w:tc>
        <w:tc>
          <w:tcPr>
            <w:tcW w:w="1560" w:type="dxa"/>
            <w:vAlign w:val="bottom"/>
            <w:tcBorders>
              <w:right w:val="single" w:sz="8" w:color="auto"/>
            </w:tcBorders>
          </w:tcPr>
          <w:p>
            <w:pPr>
              <w:ind w:left="280"/>
              <w:spacing w:after="0"/>
              <w:rPr>
                <w:sz w:val="20"/>
                <w:szCs w:val="20"/>
                <w:color w:val="auto"/>
              </w:rPr>
            </w:pPr>
            <w:r>
              <w:rPr>
                <w:rFonts w:ascii="Arial" w:cs="Arial" w:eastAsia="Arial" w:hAnsi="Arial"/>
                <w:sz w:val="13"/>
                <w:szCs w:val="13"/>
                <w:b w:val="1"/>
                <w:bCs w:val="1"/>
                <w:color w:val="auto"/>
              </w:rPr>
              <w:t>Registration Date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gridSpan w:val="2"/>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AU</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1865780</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20" w:type="dxa"/>
            <w:vAlign w:val="bottom"/>
            <w:tcBorders>
              <w:right w:val="single" w:sz="8" w:color="auto"/>
            </w:tcBorders>
            <w:gridSpan w:val="2"/>
          </w:tcPr>
          <w:p>
            <w:pPr>
              <w:jc w:val="right"/>
              <w:ind w:right="596"/>
              <w:spacing w:after="0" w:line="134" w:lineRule="exact"/>
              <w:rPr>
                <w:sz w:val="20"/>
                <w:szCs w:val="20"/>
                <w:color w:val="auto"/>
              </w:rPr>
            </w:pPr>
            <w:r>
              <w:rPr>
                <w:rFonts w:ascii="Arial" w:cs="Arial" w:eastAsia="Arial" w:hAnsi="Arial"/>
                <w:sz w:val="13"/>
                <w:szCs w:val="13"/>
                <w:color w:val="auto"/>
                <w:w w:val="86"/>
              </w:rPr>
              <w:t>1865780</w:t>
            </w:r>
          </w:p>
        </w:tc>
        <w:tc>
          <w:tcPr>
            <w:tcW w:w="15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13-Mar-2018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BR</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913215902</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BR</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913215821</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CA</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TBD</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25-Sep-2015</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CN</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26252801</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8"/>
              </w:rPr>
              <w:t>06-Sept-2017</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CN</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8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26252800</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8"/>
              </w:rPr>
              <w:t>06-Sept-2017</w:t>
            </w:r>
          </w:p>
        </w:tc>
        <w:tc>
          <w:tcPr>
            <w:tcW w:w="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5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0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gridSpan w:val="2"/>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00" w:type="dxa"/>
            <w:vAlign w:val="bottom"/>
            <w:tcBorders>
              <w:left w:val="single" w:sz="8" w:color="auto"/>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36" w:name="page237"/>
    <w:bookmarkEnd w:id="236"/>
    <w:p>
      <w:pPr>
        <w:ind w:left="336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49470" cy="36734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49470" cy="3673475"/>
                    </a:xfrm>
                    <a:prstGeom prst="rect">
                      <a:avLst/>
                    </a:prstGeom>
                    <a:noFill/>
                  </pic:spPr>
                </pic:pic>
              </a:graphicData>
            </a:graphic>
          </wp:anchor>
        </w:drawing>
      </w:r>
    </w:p>
    <w:p>
      <w:pPr>
        <w:ind w:left="3120"/>
        <w:spacing w:after="0"/>
        <w:rPr>
          <w:sz w:val="20"/>
          <w:szCs w:val="20"/>
          <w:color w:val="auto"/>
        </w:rPr>
      </w:pPr>
      <w:r>
        <w:rPr>
          <w:rFonts w:ascii="Arial" w:cs="Arial" w:eastAsia="Arial" w:hAnsi="Arial"/>
          <w:sz w:val="13"/>
          <w:szCs w:val="13"/>
          <w:b w:val="1"/>
          <w:bCs w:val="1"/>
          <w:color w:val="auto"/>
        </w:rPr>
        <w:t>THERAPEUTICS</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6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Country</w:t>
            </w:r>
          </w:p>
        </w:tc>
        <w:tc>
          <w:tcPr>
            <w:tcW w:w="12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8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4"/>
              </w:rPr>
              <w:t>Application No.</w:t>
            </w:r>
          </w:p>
        </w:tc>
        <w:tc>
          <w:tcPr>
            <w:tcW w:w="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100" w:type="dxa"/>
            <w:vAlign w:val="bottom"/>
            <w:tcBorders>
              <w:top w:val="single" w:sz="8" w:color="auto"/>
              <w:right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5"/>
              </w:rPr>
              <w:t>Registration No.</w:t>
            </w:r>
          </w:p>
        </w:tc>
        <w:tc>
          <w:tcPr>
            <w:tcW w:w="158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130"/>
        </w:trPr>
        <w:tc>
          <w:tcPr>
            <w:tcW w:w="68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CO</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6"/>
              </w:rPr>
              <w:t>SD2017/0065041</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23-Aug-2017</w:t>
            </w:r>
          </w:p>
        </w:tc>
        <w:tc>
          <w:tcPr>
            <w:tcW w:w="1100" w:type="dxa"/>
            <w:vAlign w:val="bottom"/>
            <w:tcBorders>
              <w:right w:val="single" w:sz="8" w:color="auto"/>
            </w:tcBorders>
          </w:tcPr>
          <w:p>
            <w:pPr>
              <w:jc w:val="right"/>
              <w:ind w:right="636"/>
              <w:spacing w:after="0" w:line="134" w:lineRule="exact"/>
              <w:rPr>
                <w:sz w:val="20"/>
                <w:szCs w:val="20"/>
                <w:color w:val="auto"/>
              </w:rPr>
            </w:pPr>
            <w:r>
              <w:rPr>
                <w:rFonts w:ascii="Arial" w:cs="Arial" w:eastAsia="Arial" w:hAnsi="Arial"/>
                <w:sz w:val="13"/>
                <w:szCs w:val="13"/>
                <w:color w:val="auto"/>
                <w:w w:val="87"/>
              </w:rPr>
              <w:t>594655</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26-May-2018</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EG</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355400</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EG</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355401</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EM</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Under</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015281959</w:t>
            </w:r>
          </w:p>
        </w:tc>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25-Sep-2015</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Opposition</w:t>
            </w:r>
          </w:p>
        </w:tc>
        <w:tc>
          <w:tcPr>
            <w:tcW w:w="10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HK</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304241619</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IN</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3612482</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JP</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2017-106072</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KW</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Allowed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192998</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KW</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Allowed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192999</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MY</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2017065771</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16-Aug-2017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MY</w:t>
            </w:r>
          </w:p>
        </w:tc>
        <w:tc>
          <w:tcPr>
            <w:tcW w:w="12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8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2017065773</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16-Aug-2017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8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28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37" w:name="page238"/>
    <w:bookmarkEnd w:id="237"/>
    <w:p>
      <w:pPr>
        <w:ind w:left="336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49470" cy="36734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49470" cy="3673475"/>
                    </a:xfrm>
                    <a:prstGeom prst="rect">
                      <a:avLst/>
                    </a:prstGeom>
                    <a:noFill/>
                  </pic:spPr>
                </pic:pic>
              </a:graphicData>
            </a:graphic>
          </wp:anchor>
        </w:drawing>
      </w:r>
    </w:p>
    <w:p>
      <w:pPr>
        <w:ind w:left="3120"/>
        <w:spacing w:after="0"/>
        <w:rPr>
          <w:sz w:val="20"/>
          <w:szCs w:val="20"/>
          <w:color w:val="auto"/>
        </w:rPr>
      </w:pPr>
      <w:r>
        <w:rPr>
          <w:rFonts w:ascii="Arial" w:cs="Arial" w:eastAsia="Arial" w:hAnsi="Arial"/>
          <w:sz w:val="13"/>
          <w:szCs w:val="13"/>
          <w:b w:val="1"/>
          <w:bCs w:val="1"/>
          <w:color w:val="auto"/>
        </w:rPr>
        <w:t>THERAPEUTICS</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6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Country</w:t>
            </w:r>
          </w:p>
        </w:tc>
        <w:tc>
          <w:tcPr>
            <w:tcW w:w="13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4"/>
              </w:rPr>
              <w:t>Application No.</w:t>
            </w:r>
          </w:p>
        </w:tc>
        <w:tc>
          <w:tcPr>
            <w:tcW w:w="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1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w w:val="95"/>
              </w:rPr>
              <w:t>Registration No.</w:t>
            </w:r>
          </w:p>
        </w:tc>
        <w:tc>
          <w:tcPr>
            <w:tcW w:w="158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130"/>
        </w:trPr>
        <w:tc>
          <w:tcPr>
            <w:tcW w:w="680" w:type="dxa"/>
            <w:vAlign w:val="bottom"/>
            <w:tcBorders>
              <w:bottom w:val="single" w:sz="8" w:color="auto"/>
              <w:right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MX</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1932722</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1817711</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08-Nov-2017</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MX</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1932726</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1817712</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08-Nov-2017</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NO</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201711429</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30-Aug-2017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296390</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16-Feb-2018</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KR</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w w:val="95"/>
              </w:rPr>
              <w:t>40-2017-0102884</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40-1353643</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24-Apr-2018</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RU</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Allowed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2017733207</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15-Aug-2017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ZA</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2017/23208</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ZA</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2017/23209</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CH</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60107/2017</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712186</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24-Jan-2018</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TR</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2017/72729</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14-Aug-2017</w:t>
            </w:r>
          </w:p>
        </w:tc>
        <w:tc>
          <w:tcPr>
            <w:tcW w:w="110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201772729</w:t>
            </w:r>
          </w:p>
        </w:tc>
        <w:tc>
          <w:tcPr>
            <w:tcW w:w="1580" w:type="dxa"/>
            <w:vAlign w:val="bottom"/>
          </w:tcPr>
          <w:p>
            <w:pPr>
              <w:spacing w:after="0" w:line="134" w:lineRule="exact"/>
              <w:rPr>
                <w:sz w:val="20"/>
                <w:szCs w:val="20"/>
                <w:color w:val="auto"/>
              </w:rPr>
            </w:pPr>
            <w:r>
              <w:rPr>
                <w:rFonts w:ascii="Arial" w:cs="Arial" w:eastAsia="Arial" w:hAnsi="Arial"/>
                <w:sz w:val="13"/>
                <w:szCs w:val="13"/>
                <w:color w:val="auto"/>
              </w:rPr>
              <w:t>05-Mar-2018</w:t>
            </w: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UY</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486802</w:t>
            </w:r>
          </w:p>
        </w:tc>
        <w:tc>
          <w:tcPr>
            <w:tcW w:w="8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16-Aug-2017</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US</w:t>
            </w:r>
          </w:p>
        </w:tc>
        <w:tc>
          <w:tcPr>
            <w:tcW w:w="134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APTEVO</w:t>
            </w:r>
          </w:p>
        </w:tc>
        <w:tc>
          <w:tcPr>
            <w:tcW w:w="76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86/768,978</w:t>
            </w:r>
          </w:p>
        </w:tc>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25-Sep-2015</w:t>
            </w:r>
          </w:p>
        </w:tc>
        <w:tc>
          <w:tcPr>
            <w:tcW w:w="11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68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6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68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38" w:name="page239"/>
    <w:bookmarkEnd w:id="238"/>
    <w:p>
      <w:pPr>
        <w:ind w:left="346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3430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674235" cy="3430905"/>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3"/>
          <w:szCs w:val="13"/>
          <w:b w:val="1"/>
          <w:bCs w:val="1"/>
          <w:color w:val="auto"/>
        </w:rPr>
        <w:t>LOGO</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c>
          <w:tcPr>
            <w:tcW w:w="1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Registration No.</w:t>
            </w:r>
          </w:p>
        </w:tc>
        <w:tc>
          <w:tcPr>
            <w:tcW w:w="156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30"/>
        </w:trPr>
        <w:tc>
          <w:tcPr>
            <w:tcW w:w="72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AU</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1790478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1790478</w:t>
            </w:r>
          </w:p>
        </w:tc>
        <w:tc>
          <w:tcPr>
            <w:tcW w:w="1560" w:type="dxa"/>
            <w:vAlign w:val="bottom"/>
          </w:tcPr>
          <w:p>
            <w:pPr>
              <w:ind w:left="40"/>
              <w:spacing w:after="0"/>
              <w:rPr>
                <w:sz w:val="20"/>
                <w:szCs w:val="20"/>
                <w:color w:val="auto"/>
              </w:rPr>
            </w:pPr>
            <w:r>
              <w:rPr>
                <w:rFonts w:ascii="Arial" w:cs="Arial" w:eastAsia="Arial" w:hAnsi="Arial"/>
                <w:sz w:val="13"/>
                <w:szCs w:val="13"/>
                <w:color w:val="auto"/>
              </w:rPr>
              <w:t>13-May-2016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911049290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BR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91104931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1,782,515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CH</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EM</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HK</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303775816</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303775816</w:t>
            </w:r>
          </w:p>
        </w:tc>
        <w:tc>
          <w:tcPr>
            <w:tcW w:w="1560" w:type="dxa"/>
            <w:vAlign w:val="bottom"/>
          </w:tcPr>
          <w:p>
            <w:pPr>
              <w:spacing w:after="0"/>
              <w:rPr>
                <w:sz w:val="20"/>
                <w:szCs w:val="20"/>
                <w:color w:val="auto"/>
              </w:rPr>
            </w:pPr>
            <w:r>
              <w:rPr>
                <w:rFonts w:ascii="Arial" w:cs="Arial" w:eastAsia="Arial" w:hAnsi="Arial"/>
                <w:sz w:val="13"/>
                <w:szCs w:val="13"/>
                <w:color w:val="auto"/>
              </w:rPr>
              <w:t>16-May-2016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3345080</w:t>
            </w:r>
          </w:p>
        </w:tc>
        <w:tc>
          <w:tcPr>
            <w:tcW w:w="1560" w:type="dxa"/>
            <w:vAlign w:val="bottom"/>
          </w:tcPr>
          <w:p>
            <w:pPr>
              <w:spacing w:after="0"/>
              <w:rPr>
                <w:sz w:val="20"/>
                <w:szCs w:val="20"/>
                <w:color w:val="auto"/>
              </w:rPr>
            </w:pPr>
            <w:r>
              <w:rPr>
                <w:rFonts w:ascii="Arial" w:cs="Arial" w:eastAsia="Arial" w:hAnsi="Arial"/>
                <w:sz w:val="13"/>
                <w:szCs w:val="13"/>
                <w:color w:val="auto"/>
              </w:rPr>
              <w:t>16-May-2016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IQ</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Allowed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72213</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A0058870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633" w:right="1440" w:bottom="1440" w:gutter="0" w:footer="0" w:header="0"/>
        </w:sectPr>
      </w:pPr>
    </w:p>
    <w:bookmarkStart w:id="239" w:name="page240"/>
    <w:bookmarkEnd w:id="239"/>
    <w:p>
      <w:pPr>
        <w:ind w:left="346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36372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74235" cy="363728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3"/>
          <w:szCs w:val="13"/>
          <w:b w:val="1"/>
          <w:bCs w:val="1"/>
          <w:color w:val="auto"/>
        </w:rPr>
        <w:t>LOGO</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c>
          <w:tcPr>
            <w:tcW w:w="10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7"/>
              </w:rPr>
              <w:t>Registration No.</w:t>
            </w:r>
          </w:p>
        </w:tc>
        <w:tc>
          <w:tcPr>
            <w:tcW w:w="156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30"/>
        </w:trPr>
        <w:tc>
          <w:tcPr>
            <w:tcW w:w="72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KW</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180380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150024</w:t>
            </w:r>
          </w:p>
        </w:tc>
        <w:tc>
          <w:tcPr>
            <w:tcW w:w="1560" w:type="dxa"/>
            <w:vAlign w:val="bottom"/>
          </w:tcPr>
          <w:p>
            <w:pPr>
              <w:spacing w:after="0"/>
              <w:rPr>
                <w:sz w:val="20"/>
                <w:szCs w:val="20"/>
                <w:color w:val="auto"/>
              </w:rPr>
            </w:pPr>
            <w:r>
              <w:rPr>
                <w:rFonts w:ascii="Arial" w:cs="Arial" w:eastAsia="Arial" w:hAnsi="Arial"/>
                <w:sz w:val="13"/>
                <w:szCs w:val="13"/>
                <w:color w:val="auto"/>
              </w:rPr>
              <w:t>01-Nov-2017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KW</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180381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150025</w:t>
            </w:r>
          </w:p>
        </w:tc>
        <w:tc>
          <w:tcPr>
            <w:tcW w:w="1560" w:type="dxa"/>
            <w:vAlign w:val="bottom"/>
          </w:tcPr>
          <w:p>
            <w:pPr>
              <w:spacing w:after="0"/>
              <w:rPr>
                <w:sz w:val="20"/>
                <w:szCs w:val="20"/>
                <w:color w:val="auto"/>
              </w:rPr>
            </w:pPr>
            <w:r>
              <w:rPr>
                <w:rFonts w:ascii="Arial" w:cs="Arial" w:eastAsia="Arial" w:hAnsi="Arial"/>
                <w:sz w:val="13"/>
                <w:szCs w:val="13"/>
                <w:color w:val="auto"/>
              </w:rPr>
              <w:t>01-Nov-2017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MX</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MX</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MY</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2016058867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2016058867</w:t>
            </w:r>
          </w:p>
        </w:tc>
        <w:tc>
          <w:tcPr>
            <w:tcW w:w="1560" w:type="dxa"/>
            <w:vAlign w:val="bottom"/>
          </w:tcPr>
          <w:p>
            <w:pPr>
              <w:spacing w:after="0"/>
              <w:rPr>
                <w:sz w:val="20"/>
                <w:szCs w:val="20"/>
                <w:color w:val="auto"/>
              </w:rPr>
            </w:pPr>
            <w:r>
              <w:rPr>
                <w:rFonts w:ascii="Arial" w:cs="Arial" w:eastAsia="Arial" w:hAnsi="Arial"/>
                <w:sz w:val="13"/>
                <w:szCs w:val="13"/>
                <w:color w:val="auto"/>
              </w:rPr>
              <w:t>06-Jul-2017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MY</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2016058869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17-Nov-2015</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2016058869</w:t>
            </w:r>
          </w:p>
        </w:tc>
        <w:tc>
          <w:tcPr>
            <w:tcW w:w="1560" w:type="dxa"/>
            <w:vAlign w:val="bottom"/>
          </w:tcPr>
          <w:p>
            <w:pPr>
              <w:spacing w:after="0"/>
              <w:rPr>
                <w:sz w:val="20"/>
                <w:szCs w:val="20"/>
                <w:color w:val="auto"/>
              </w:rPr>
            </w:pPr>
            <w:r>
              <w:rPr>
                <w:rFonts w:ascii="Arial" w:cs="Arial" w:eastAsia="Arial" w:hAnsi="Arial"/>
                <w:sz w:val="13"/>
                <w:szCs w:val="13"/>
                <w:color w:val="auto"/>
              </w:rPr>
              <w:t>28-Jun-2017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NI</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2016-001909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2017118458LM</w:t>
            </w:r>
          </w:p>
        </w:tc>
        <w:tc>
          <w:tcPr>
            <w:tcW w:w="1560" w:type="dxa"/>
            <w:vAlign w:val="bottom"/>
          </w:tcPr>
          <w:p>
            <w:pPr>
              <w:spacing w:after="0"/>
              <w:rPr>
                <w:sz w:val="20"/>
                <w:szCs w:val="20"/>
                <w:color w:val="auto"/>
              </w:rPr>
            </w:pPr>
            <w:r>
              <w:rPr>
                <w:rFonts w:ascii="Arial" w:cs="Arial" w:eastAsia="Arial" w:hAnsi="Arial"/>
                <w:sz w:val="13"/>
                <w:szCs w:val="13"/>
                <w:color w:val="auto"/>
              </w:rPr>
              <w:t>06-Apr-2017</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PK</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421013</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PK</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421014</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RU</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86/823,176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17-Nov-2015</w:t>
            </w:r>
          </w:p>
        </w:tc>
        <w:tc>
          <w:tcPr>
            <w:tcW w:w="1140" w:type="dxa"/>
            <w:vAlign w:val="bottom"/>
            <w:tcBorders>
              <w:right w:val="single" w:sz="8" w:color="auto"/>
            </w:tcBorders>
          </w:tcPr>
          <w:p>
            <w:pPr>
              <w:jc w:val="right"/>
              <w:ind w:right="536"/>
              <w:spacing w:after="0"/>
              <w:rPr>
                <w:sz w:val="20"/>
                <w:szCs w:val="20"/>
                <w:color w:val="auto"/>
              </w:rPr>
            </w:pPr>
            <w:r>
              <w:rPr>
                <w:rFonts w:ascii="Arial" w:cs="Arial" w:eastAsia="Arial" w:hAnsi="Arial"/>
                <w:sz w:val="13"/>
                <w:szCs w:val="13"/>
                <w:color w:val="auto"/>
                <w:w w:val="89"/>
              </w:rPr>
              <w:t>5,370,601</w:t>
            </w:r>
          </w:p>
        </w:tc>
        <w:tc>
          <w:tcPr>
            <w:tcW w:w="1560" w:type="dxa"/>
            <w:vAlign w:val="bottom"/>
          </w:tcPr>
          <w:p>
            <w:pPr>
              <w:ind w:left="40"/>
              <w:spacing w:after="0"/>
              <w:rPr>
                <w:sz w:val="20"/>
                <w:szCs w:val="20"/>
                <w:color w:val="auto"/>
              </w:rPr>
            </w:pPr>
            <w:r>
              <w:rPr>
                <w:rFonts w:ascii="Arial" w:cs="Arial" w:eastAsia="Arial" w:hAnsi="Arial"/>
                <w:sz w:val="13"/>
                <w:szCs w:val="13"/>
                <w:color w:val="auto"/>
              </w:rPr>
              <w:t>02-Jan- 2018</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40" w:name="page241"/>
    <w:bookmarkEnd w:id="240"/>
    <w:p>
      <w:pPr>
        <w:ind w:left="3460"/>
        <w:spacing w:after="0"/>
        <w:rPr>
          <w:sz w:val="20"/>
          <w:szCs w:val="20"/>
          <w:color w:val="auto"/>
        </w:rPr>
      </w:pPr>
      <w:r>
        <w:rPr>
          <w:rFonts w:ascii="Arial" w:cs="Arial" w:eastAsia="Arial" w:hAnsi="Arial"/>
          <w:sz w:val="13"/>
          <w:szCs w:val="13"/>
          <w:b w:val="1"/>
          <w:bCs w:val="1"/>
          <w:color w:val="auto"/>
        </w:rPr>
        <w:t>APTEVO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812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674235" cy="812165"/>
                    </a:xfrm>
                    <a:prstGeom prst="rect">
                      <a:avLst/>
                    </a:prstGeom>
                    <a:noFill/>
                  </pic:spPr>
                </pic:pic>
              </a:graphicData>
            </a:graphic>
          </wp:anchor>
        </w:drawing>
      </w:r>
    </w:p>
    <w:p>
      <w:pPr>
        <w:ind w:left="3460"/>
        <w:spacing w:after="0"/>
        <w:rPr>
          <w:sz w:val="20"/>
          <w:szCs w:val="20"/>
          <w:color w:val="auto"/>
        </w:rPr>
      </w:pPr>
      <w:r>
        <w:rPr>
          <w:rFonts w:ascii="Arial" w:cs="Arial" w:eastAsia="Arial" w:hAnsi="Arial"/>
          <w:sz w:val="13"/>
          <w:szCs w:val="13"/>
          <w:b w:val="1"/>
          <w:bCs w:val="1"/>
          <w:color w:val="auto"/>
        </w:rPr>
        <w:t>LOGO</w:t>
      </w:r>
    </w:p>
    <w:p>
      <w:pPr>
        <w:spacing w:after="0" w:line="3" w:lineRule="exact"/>
        <w:rPr>
          <w:sz w:val="20"/>
          <w:szCs w:val="20"/>
          <w:color w:val="auto"/>
        </w:rPr>
      </w:pPr>
    </w:p>
    <w:tbl>
      <w:tblPr>
        <w:tblLayout w:type="fixed"/>
        <w:tblInd w:w="27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Registration No.</w:t>
            </w:r>
          </w:p>
        </w:tc>
        <w:tc>
          <w:tcPr>
            <w:tcW w:w="156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30"/>
        </w:trPr>
        <w:tc>
          <w:tcPr>
            <w:tcW w:w="72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UY</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474195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17-May-2016</w:t>
            </w:r>
          </w:p>
        </w:tc>
        <w:tc>
          <w:tcPr>
            <w:tcW w:w="114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JP</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APTEVO_Logo</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13-May-2016</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1306007</w:t>
            </w:r>
          </w:p>
        </w:tc>
        <w:tc>
          <w:tcPr>
            <w:tcW w:w="1560" w:type="dxa"/>
            <w:vAlign w:val="bottom"/>
          </w:tcPr>
          <w:p>
            <w:pPr>
              <w:spacing w:after="0"/>
              <w:rPr>
                <w:sz w:val="20"/>
                <w:szCs w:val="20"/>
                <w:color w:val="auto"/>
              </w:rPr>
            </w:pPr>
            <w:r>
              <w:rPr>
                <w:rFonts w:ascii="Arial" w:cs="Arial" w:eastAsia="Arial" w:hAnsi="Arial"/>
                <w:sz w:val="13"/>
                <w:szCs w:val="13"/>
                <w:color w:val="auto"/>
              </w:rPr>
              <w:t>13-May-2016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601"/>
        </w:trPr>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55"/>
        </w:trPr>
        <w:tc>
          <w:tcPr>
            <w:tcW w:w="7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ind w:left="380"/>
              <w:spacing w:after="0"/>
              <w:rPr>
                <w:sz w:val="20"/>
                <w:szCs w:val="20"/>
                <w:color w:val="auto"/>
              </w:rPr>
            </w:pPr>
            <w:r>
              <w:rPr>
                <w:rFonts w:ascii="Arial" w:cs="Arial" w:eastAsia="Arial" w:hAnsi="Arial"/>
                <w:sz w:val="13"/>
                <w:szCs w:val="13"/>
                <w:b w:val="1"/>
                <w:bCs w:val="1"/>
                <w:color w:val="auto"/>
              </w:rPr>
              <w:t>IXINITY</w:t>
            </w: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r>
      <w:tr>
        <w:trPr>
          <w:trHeight w:val="140"/>
        </w:trPr>
        <w:tc>
          <w:tcPr>
            <w:tcW w:w="720" w:type="dxa"/>
            <w:vAlign w:val="bottom"/>
            <w:tcBorders>
              <w:left w:val="single" w:sz="8" w:color="auto"/>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5"/>
        </w:trPr>
        <w:tc>
          <w:tcPr>
            <w:tcW w:w="7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right w:val="single" w:sz="8" w:color="auto"/>
            </w:tcBorders>
          </w:tcPr>
          <w:p>
            <w:pPr>
              <w:ind w:left="200"/>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6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w w:val="99"/>
              </w:rPr>
              <w:t>Registration No.</w:t>
            </w:r>
          </w:p>
        </w:tc>
        <w:tc>
          <w:tcPr>
            <w:tcW w:w="1560" w:type="dxa"/>
            <w:vAlign w:val="bottom"/>
            <w:tcBorders>
              <w:right w:val="single" w:sz="8" w:color="auto"/>
            </w:tcBorders>
          </w:tcPr>
          <w:p>
            <w:pPr>
              <w:ind w:left="28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3165116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17-May-2012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2596265</w:t>
            </w:r>
          </w:p>
        </w:tc>
        <w:tc>
          <w:tcPr>
            <w:tcW w:w="15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07-Oct-2013</w:t>
            </w:r>
          </w:p>
        </w:tc>
      </w:tr>
      <w:tr>
        <w:trPr>
          <w:trHeight w:val="154"/>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AU</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1480170</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1480170</w:t>
            </w:r>
          </w:p>
        </w:tc>
        <w:tc>
          <w:tcPr>
            <w:tcW w:w="15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BR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904637328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23-Mar-2012</w:t>
            </w:r>
          </w:p>
        </w:tc>
        <w:tc>
          <w:tcPr>
            <w:tcW w:w="11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1568455</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13-Mar-2012</w:t>
            </w:r>
          </w:p>
        </w:tc>
        <w:tc>
          <w:tcPr>
            <w:tcW w:w="114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CH</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627391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627391</w:t>
            </w:r>
          </w:p>
        </w:tc>
        <w:tc>
          <w:tcPr>
            <w:tcW w:w="15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22-Mar-2012</w:t>
            </w:r>
          </w:p>
        </w:tc>
      </w:tr>
      <w:tr>
        <w:trPr>
          <w:trHeight w:val="154"/>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CL</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999711</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23-Mar-2012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1056965</w:t>
            </w:r>
          </w:p>
        </w:tc>
        <w:tc>
          <w:tcPr>
            <w:tcW w:w="15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14-Nov-2013</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10645298</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20-Mar-2012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10645298</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21-May-2013</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CO</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12079796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477717</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30-Aug-2013</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EM</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9671249</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19-Jan-2011</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9671249</w:t>
            </w:r>
          </w:p>
        </w:tc>
        <w:tc>
          <w:tcPr>
            <w:tcW w:w="15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27-Jun-2011</w:t>
            </w:r>
          </w:p>
        </w:tc>
      </w:tr>
      <w:tr>
        <w:trPr>
          <w:trHeight w:val="154"/>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r>
      <w:tr>
        <w:trPr>
          <w:trHeight w:val="151"/>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ID</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D002012013996</w:t>
            </w:r>
          </w:p>
        </w:tc>
        <w:tc>
          <w:tcPr>
            <w:tcW w:w="8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07-Mar-2012</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IDM000422137</w:t>
            </w:r>
          </w:p>
        </w:tc>
        <w:tc>
          <w:tcPr>
            <w:tcW w:w="156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27-Mar-2012</w:t>
            </w:r>
          </w:p>
        </w:tc>
      </w:tr>
      <w:tr>
        <w:trPr>
          <w:trHeight w:val="144"/>
        </w:trPr>
        <w:tc>
          <w:tcPr>
            <w:tcW w:w="72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right w:val="single" w:sz="8" w:color="auto"/>
            </w:tcBorders>
          </w:tcPr>
          <w:p>
            <w:pPr>
              <w:spacing w:after="0"/>
              <w:rPr>
                <w:sz w:val="12"/>
                <w:szCs w:val="1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41" w:name="page242"/>
    <w:bookmarkEnd w:id="241"/>
    <w:p>
      <w:pPr>
        <w:ind w:left="3420"/>
        <w:spacing w:after="0"/>
        <w:rPr>
          <w:sz w:val="20"/>
          <w:szCs w:val="20"/>
          <w:color w:val="auto"/>
        </w:rPr>
      </w:pPr>
      <w:r>
        <w:rPr>
          <w:rFonts w:ascii="Arial" w:cs="Arial" w:eastAsia="Arial" w:hAnsi="Arial"/>
          <w:sz w:val="13"/>
          <w:szCs w:val="13"/>
          <w:b w:val="1"/>
          <w:bCs w:val="1"/>
          <w:color w:val="auto"/>
        </w:rPr>
        <w:t>IXINITY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36372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674235" cy="3637280"/>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Registration No.</w:t>
            </w:r>
          </w:p>
        </w:tc>
        <w:tc>
          <w:tcPr>
            <w:tcW w:w="158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IL</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245198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245198</w:t>
            </w:r>
          </w:p>
        </w:tc>
        <w:tc>
          <w:tcPr>
            <w:tcW w:w="1580" w:type="dxa"/>
            <w:vAlign w:val="bottom"/>
          </w:tcPr>
          <w:p>
            <w:pPr>
              <w:ind w:left="20"/>
              <w:spacing w:after="0"/>
              <w:rPr>
                <w:sz w:val="20"/>
                <w:szCs w:val="20"/>
                <w:color w:val="auto"/>
              </w:rPr>
            </w:pPr>
            <w:r>
              <w:rPr>
                <w:rFonts w:ascii="Arial" w:cs="Arial" w:eastAsia="Arial" w:hAnsi="Arial"/>
                <w:sz w:val="13"/>
                <w:szCs w:val="13"/>
                <w:color w:val="auto"/>
              </w:rPr>
              <w:t>04-Feb-2014</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IN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Published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2299289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JP</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2012-019936</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5519002</w:t>
            </w:r>
          </w:p>
        </w:tc>
        <w:tc>
          <w:tcPr>
            <w:tcW w:w="1580" w:type="dxa"/>
            <w:vAlign w:val="bottom"/>
          </w:tcPr>
          <w:p>
            <w:pPr>
              <w:ind w:left="20"/>
              <w:spacing w:after="0"/>
              <w:rPr>
                <w:sz w:val="20"/>
                <w:szCs w:val="20"/>
                <w:color w:val="auto"/>
              </w:rPr>
            </w:pPr>
            <w:r>
              <w:rPr>
                <w:rFonts w:ascii="Arial" w:cs="Arial" w:eastAsia="Arial" w:hAnsi="Arial"/>
                <w:sz w:val="13"/>
                <w:szCs w:val="13"/>
                <w:color w:val="auto"/>
              </w:rPr>
              <w:t>31-Aug-2012</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KR</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4020120020248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40-0960235</w:t>
            </w:r>
          </w:p>
        </w:tc>
        <w:tc>
          <w:tcPr>
            <w:tcW w:w="1580" w:type="dxa"/>
            <w:vAlign w:val="bottom"/>
          </w:tcPr>
          <w:p>
            <w:pPr>
              <w:ind w:left="20"/>
              <w:spacing w:after="0"/>
              <w:rPr>
                <w:sz w:val="20"/>
                <w:szCs w:val="20"/>
                <w:color w:val="auto"/>
              </w:rPr>
            </w:pPr>
            <w:r>
              <w:rPr>
                <w:rFonts w:ascii="Arial" w:cs="Arial" w:eastAsia="Arial" w:hAnsi="Arial"/>
                <w:sz w:val="13"/>
                <w:szCs w:val="13"/>
                <w:color w:val="auto"/>
              </w:rPr>
              <w:t>25-Mar-2013</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KW</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128765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27-Mar-2012</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113202</w:t>
            </w:r>
          </w:p>
        </w:tc>
        <w:tc>
          <w:tcPr>
            <w:tcW w:w="1580" w:type="dxa"/>
            <w:vAlign w:val="bottom"/>
          </w:tcPr>
          <w:p>
            <w:pPr>
              <w:ind w:left="40"/>
              <w:spacing w:after="0"/>
              <w:rPr>
                <w:sz w:val="20"/>
                <w:szCs w:val="20"/>
                <w:color w:val="auto"/>
              </w:rPr>
            </w:pPr>
            <w:r>
              <w:rPr>
                <w:rFonts w:ascii="Arial" w:cs="Arial" w:eastAsia="Arial" w:hAnsi="Arial"/>
                <w:sz w:val="13"/>
                <w:szCs w:val="13"/>
                <w:color w:val="auto"/>
              </w:rPr>
              <w:t>27-Mar-2012</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KZ</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57589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26-Mar-2012</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41032</w:t>
            </w:r>
          </w:p>
        </w:tc>
        <w:tc>
          <w:tcPr>
            <w:tcW w:w="1580" w:type="dxa"/>
            <w:vAlign w:val="bottom"/>
          </w:tcPr>
          <w:p>
            <w:pPr>
              <w:ind w:left="40"/>
              <w:spacing w:after="0"/>
              <w:rPr>
                <w:sz w:val="20"/>
                <w:szCs w:val="20"/>
                <w:color w:val="auto"/>
              </w:rPr>
            </w:pPr>
            <w:r>
              <w:rPr>
                <w:rFonts w:ascii="Arial" w:cs="Arial" w:eastAsia="Arial" w:hAnsi="Arial"/>
                <w:sz w:val="13"/>
                <w:szCs w:val="13"/>
                <w:color w:val="auto"/>
              </w:rPr>
              <w:t>19-Jun-2013</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MX</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1258399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1302878</w:t>
            </w:r>
          </w:p>
        </w:tc>
        <w:tc>
          <w:tcPr>
            <w:tcW w:w="1580" w:type="dxa"/>
            <w:vAlign w:val="bottom"/>
          </w:tcPr>
          <w:p>
            <w:pPr>
              <w:ind w:left="20"/>
              <w:spacing w:after="0"/>
              <w:rPr>
                <w:sz w:val="20"/>
                <w:szCs w:val="20"/>
                <w:color w:val="auto"/>
              </w:rPr>
            </w:pPr>
            <w:r>
              <w:rPr>
                <w:rFonts w:ascii="Arial" w:cs="Arial" w:eastAsia="Arial" w:hAnsi="Arial"/>
                <w:sz w:val="13"/>
                <w:szCs w:val="13"/>
                <w:color w:val="auto"/>
              </w:rPr>
              <w:t>09-Aug-2012</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NO</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201202805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266290</w:t>
            </w:r>
          </w:p>
        </w:tc>
        <w:tc>
          <w:tcPr>
            <w:tcW w:w="1580" w:type="dxa"/>
            <w:vAlign w:val="bottom"/>
          </w:tcPr>
          <w:p>
            <w:pPr>
              <w:ind w:left="20"/>
              <w:spacing w:after="0"/>
              <w:rPr>
                <w:sz w:val="20"/>
                <w:szCs w:val="20"/>
                <w:color w:val="auto"/>
              </w:rPr>
            </w:pPr>
            <w:r>
              <w:rPr>
                <w:rFonts w:ascii="Arial" w:cs="Arial" w:eastAsia="Arial" w:hAnsi="Arial"/>
                <w:sz w:val="13"/>
                <w:szCs w:val="13"/>
                <w:color w:val="auto"/>
              </w:rPr>
              <w:t>06-Jul-2012</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NZ</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955543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14-Mar-2012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955543</w:t>
            </w:r>
          </w:p>
        </w:tc>
        <w:tc>
          <w:tcPr>
            <w:tcW w:w="1580" w:type="dxa"/>
            <w:vAlign w:val="bottom"/>
          </w:tcPr>
          <w:p>
            <w:pPr>
              <w:ind w:left="20"/>
              <w:spacing w:after="0"/>
              <w:rPr>
                <w:sz w:val="20"/>
                <w:szCs w:val="20"/>
                <w:color w:val="auto"/>
              </w:rPr>
            </w:pPr>
            <w:r>
              <w:rPr>
                <w:rFonts w:ascii="Arial" w:cs="Arial" w:eastAsia="Arial" w:hAnsi="Arial"/>
                <w:sz w:val="13"/>
                <w:szCs w:val="13"/>
                <w:color w:val="auto"/>
              </w:rPr>
              <w:t>18-Sep-2012</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PE</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487424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190646</w:t>
            </w:r>
          </w:p>
        </w:tc>
        <w:tc>
          <w:tcPr>
            <w:tcW w:w="1580" w:type="dxa"/>
            <w:vAlign w:val="bottom"/>
          </w:tcPr>
          <w:p>
            <w:pPr>
              <w:ind w:left="20"/>
              <w:spacing w:after="0"/>
              <w:rPr>
                <w:sz w:val="20"/>
                <w:szCs w:val="20"/>
                <w:color w:val="auto"/>
              </w:rPr>
            </w:pPr>
            <w:r>
              <w:rPr>
                <w:rFonts w:ascii="Arial" w:cs="Arial" w:eastAsia="Arial" w:hAnsi="Arial"/>
                <w:sz w:val="13"/>
                <w:szCs w:val="13"/>
                <w:color w:val="auto"/>
              </w:rPr>
              <w:t>15-Aug-2012</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RU</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2012707588</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15-Mar-2012</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489113</w:t>
            </w:r>
          </w:p>
        </w:tc>
        <w:tc>
          <w:tcPr>
            <w:tcW w:w="1580" w:type="dxa"/>
            <w:vAlign w:val="bottom"/>
          </w:tcPr>
          <w:p>
            <w:pPr>
              <w:ind w:left="40"/>
              <w:spacing w:after="0"/>
              <w:rPr>
                <w:sz w:val="20"/>
                <w:szCs w:val="20"/>
                <w:color w:val="auto"/>
              </w:rPr>
            </w:pPr>
            <w:r>
              <w:rPr>
                <w:rFonts w:ascii="Arial" w:cs="Arial" w:eastAsia="Arial" w:hAnsi="Arial"/>
                <w:sz w:val="13"/>
                <w:szCs w:val="13"/>
                <w:color w:val="auto"/>
              </w:rPr>
              <w:t>07-Jun-2013</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180225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27-Mar-2012</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143305340</w:t>
            </w:r>
          </w:p>
        </w:tc>
        <w:tc>
          <w:tcPr>
            <w:tcW w:w="1580" w:type="dxa"/>
            <w:vAlign w:val="bottom"/>
          </w:tcPr>
          <w:p>
            <w:pPr>
              <w:ind w:left="40"/>
              <w:spacing w:after="0"/>
              <w:rPr>
                <w:sz w:val="20"/>
                <w:szCs w:val="20"/>
                <w:color w:val="auto"/>
              </w:rPr>
            </w:pPr>
            <w:r>
              <w:rPr>
                <w:rFonts w:ascii="Arial" w:cs="Arial" w:eastAsia="Arial" w:hAnsi="Arial"/>
                <w:sz w:val="13"/>
                <w:szCs w:val="13"/>
                <w:color w:val="auto"/>
              </w:rPr>
              <w:t>05-Nov-2013</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SG</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T1203502H</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T1203520H</w:t>
            </w:r>
          </w:p>
        </w:tc>
        <w:tc>
          <w:tcPr>
            <w:tcW w:w="1580" w:type="dxa"/>
            <w:vAlign w:val="bottom"/>
          </w:tcPr>
          <w:p>
            <w:pPr>
              <w:ind w:left="20"/>
              <w:spacing w:after="0"/>
              <w:rPr>
                <w:sz w:val="20"/>
                <w:szCs w:val="20"/>
                <w:color w:val="auto"/>
              </w:rPr>
            </w:pPr>
            <w:r>
              <w:rPr>
                <w:rFonts w:ascii="Arial" w:cs="Arial" w:eastAsia="Arial" w:hAnsi="Arial"/>
                <w:sz w:val="13"/>
                <w:szCs w:val="13"/>
                <w:color w:val="auto"/>
              </w:rPr>
              <w:t>15-Mar-2012</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TH</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841121</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27-Mar-2012</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TM379750</w:t>
            </w:r>
          </w:p>
        </w:tc>
        <w:tc>
          <w:tcPr>
            <w:tcW w:w="1580" w:type="dxa"/>
            <w:vAlign w:val="bottom"/>
          </w:tcPr>
          <w:p>
            <w:pPr>
              <w:ind w:left="40"/>
              <w:spacing w:after="0"/>
              <w:rPr>
                <w:sz w:val="20"/>
                <w:szCs w:val="20"/>
                <w:color w:val="auto"/>
              </w:rPr>
            </w:pPr>
            <w:r>
              <w:rPr>
                <w:rFonts w:ascii="Arial" w:cs="Arial" w:eastAsia="Arial" w:hAnsi="Arial"/>
                <w:sz w:val="13"/>
                <w:szCs w:val="13"/>
                <w:color w:val="auto"/>
              </w:rPr>
              <w:t>27-May-2014</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TW</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101017402</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02-Apr-2012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1538533</w:t>
            </w:r>
          </w:p>
        </w:tc>
        <w:tc>
          <w:tcPr>
            <w:tcW w:w="1580" w:type="dxa"/>
            <w:vAlign w:val="bottom"/>
          </w:tcPr>
          <w:p>
            <w:pPr>
              <w:ind w:left="20"/>
              <w:spacing w:after="0"/>
              <w:rPr>
                <w:sz w:val="20"/>
                <w:szCs w:val="20"/>
                <w:color w:val="auto"/>
              </w:rPr>
            </w:pPr>
            <w:r>
              <w:rPr>
                <w:rFonts w:ascii="Arial" w:cs="Arial" w:eastAsia="Arial" w:hAnsi="Arial"/>
                <w:sz w:val="13"/>
                <w:szCs w:val="13"/>
                <w:color w:val="auto"/>
              </w:rPr>
              <w:t>01-Oct-2012</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m201204919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22-Mar-2012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169569</w:t>
            </w:r>
          </w:p>
        </w:tc>
        <w:tc>
          <w:tcPr>
            <w:tcW w:w="1580" w:type="dxa"/>
            <w:vAlign w:val="bottom"/>
          </w:tcPr>
          <w:p>
            <w:pPr>
              <w:ind w:left="20"/>
              <w:spacing w:after="0"/>
              <w:rPr>
                <w:sz w:val="20"/>
                <w:szCs w:val="20"/>
                <w:color w:val="auto"/>
              </w:rPr>
            </w:pPr>
            <w:r>
              <w:rPr>
                <w:rFonts w:ascii="Arial" w:cs="Arial" w:eastAsia="Arial" w:hAnsi="Arial"/>
                <w:sz w:val="13"/>
                <w:szCs w:val="13"/>
                <w:color w:val="auto"/>
              </w:rPr>
              <w:t>25-Apr-2013</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42" w:name="page243"/>
    <w:bookmarkEnd w:id="242"/>
    <w:p>
      <w:pPr>
        <w:ind w:left="3420"/>
        <w:spacing w:after="0"/>
        <w:rPr>
          <w:sz w:val="20"/>
          <w:szCs w:val="20"/>
          <w:color w:val="auto"/>
        </w:rPr>
      </w:pPr>
      <w:r>
        <w:rPr>
          <w:rFonts w:ascii="Arial" w:cs="Arial" w:eastAsia="Arial" w:hAnsi="Arial"/>
          <w:sz w:val="13"/>
          <w:szCs w:val="13"/>
          <w:b w:val="1"/>
          <w:bCs w:val="1"/>
          <w:color w:val="auto"/>
        </w:rPr>
        <w:t>IXINITY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12185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674235" cy="1218565"/>
                    </a:xfrm>
                    <a:prstGeom prst="rect">
                      <a:avLst/>
                    </a:prstGeom>
                    <a:noFill/>
                  </pic:spPr>
                </pic:pic>
              </a:graphicData>
            </a:graphic>
          </wp:anchor>
        </w:drawing>
      </w:r>
    </w:p>
    <w:p>
      <w:pPr>
        <w:spacing w:after="0" w:line="129"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Application No.</w:t>
            </w:r>
          </w:p>
        </w:tc>
        <w:tc>
          <w:tcPr>
            <w:tcW w:w="8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w w:val="97"/>
              </w:rPr>
              <w:t>Registration No.</w:t>
            </w:r>
          </w:p>
        </w:tc>
        <w:tc>
          <w:tcPr>
            <w:tcW w:w="158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85/220,714</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19-Jan-2011</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4597459</w:t>
            </w:r>
          </w:p>
        </w:tc>
        <w:tc>
          <w:tcPr>
            <w:tcW w:w="1580" w:type="dxa"/>
            <w:vAlign w:val="bottom"/>
          </w:tcPr>
          <w:p>
            <w:pPr>
              <w:ind w:left="20"/>
              <w:spacing w:after="0"/>
              <w:rPr>
                <w:sz w:val="20"/>
                <w:szCs w:val="20"/>
                <w:color w:val="auto"/>
              </w:rPr>
            </w:pPr>
            <w:r>
              <w:rPr>
                <w:rFonts w:ascii="Arial" w:cs="Arial" w:eastAsia="Arial" w:hAnsi="Arial"/>
                <w:sz w:val="13"/>
                <w:szCs w:val="13"/>
                <w:color w:val="auto"/>
              </w:rPr>
              <w:t>02-Sep-2014</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 (STYLIZED)</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86/322,323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27-June-2014</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4788624</w:t>
            </w:r>
          </w:p>
        </w:tc>
        <w:tc>
          <w:tcPr>
            <w:tcW w:w="1580" w:type="dxa"/>
            <w:vAlign w:val="bottom"/>
          </w:tcPr>
          <w:p>
            <w:pPr>
              <w:ind w:left="20"/>
              <w:spacing w:after="0"/>
              <w:rPr>
                <w:sz w:val="20"/>
                <w:szCs w:val="20"/>
                <w:color w:val="auto"/>
              </w:rPr>
            </w:pPr>
            <w:r>
              <w:rPr>
                <w:rFonts w:ascii="Arial" w:cs="Arial" w:eastAsia="Arial" w:hAnsi="Arial"/>
                <w:sz w:val="13"/>
                <w:szCs w:val="13"/>
                <w:color w:val="auto"/>
              </w:rPr>
              <w:t>11-Aug-2015</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VN</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4201205679</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27-Mar-2012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205459</w:t>
            </w:r>
          </w:p>
        </w:tc>
        <w:tc>
          <w:tcPr>
            <w:tcW w:w="1580" w:type="dxa"/>
            <w:vAlign w:val="bottom"/>
          </w:tcPr>
          <w:p>
            <w:pPr>
              <w:ind w:left="20"/>
              <w:spacing w:after="0"/>
              <w:rPr>
                <w:sz w:val="20"/>
                <w:szCs w:val="20"/>
                <w:color w:val="auto"/>
              </w:rPr>
            </w:pPr>
            <w:r>
              <w:rPr>
                <w:rFonts w:ascii="Arial" w:cs="Arial" w:eastAsia="Arial" w:hAnsi="Arial"/>
                <w:sz w:val="13"/>
                <w:szCs w:val="13"/>
                <w:color w:val="auto"/>
              </w:rPr>
              <w:t>13-May-2013</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ZA</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IXINITY</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201207095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19-Mar-2012</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201207095</w:t>
            </w:r>
          </w:p>
        </w:tc>
        <w:tc>
          <w:tcPr>
            <w:tcW w:w="1580" w:type="dxa"/>
            <w:vAlign w:val="bottom"/>
          </w:tcPr>
          <w:p>
            <w:pPr>
              <w:ind w:left="20"/>
              <w:spacing w:after="0"/>
              <w:rPr>
                <w:sz w:val="20"/>
                <w:szCs w:val="20"/>
                <w:color w:val="auto"/>
              </w:rPr>
            </w:pPr>
            <w:r>
              <w:rPr>
                <w:rFonts w:ascii="Arial" w:cs="Arial" w:eastAsia="Arial" w:hAnsi="Arial"/>
                <w:sz w:val="13"/>
                <w:szCs w:val="13"/>
                <w:color w:val="auto"/>
              </w:rPr>
              <w:t>30-Sept-2013</w:t>
            </w:r>
          </w:p>
        </w:tc>
      </w:tr>
      <w:tr>
        <w:trPr>
          <w:trHeight w:val="154"/>
        </w:trPr>
        <w:tc>
          <w:tcPr>
            <w:tcW w:w="7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r>
    </w:tbl>
    <w:p>
      <w:pPr>
        <w:spacing w:after="0" w:line="302" w:lineRule="exact"/>
        <w:rPr>
          <w:sz w:val="20"/>
          <w:szCs w:val="20"/>
          <w:color w:val="auto"/>
        </w:rPr>
      </w:pPr>
    </w:p>
    <w:p>
      <w:pPr>
        <w:ind w:left="3260"/>
        <w:spacing w:after="0"/>
        <w:rPr>
          <w:sz w:val="20"/>
          <w:szCs w:val="20"/>
          <w:color w:val="auto"/>
        </w:rPr>
      </w:pPr>
      <w:r>
        <w:rPr>
          <w:rFonts w:ascii="Arial" w:cs="Arial" w:eastAsia="Arial" w:hAnsi="Arial"/>
          <w:sz w:val="13"/>
          <w:szCs w:val="13"/>
          <w:b w:val="1"/>
          <w:bCs w:val="1"/>
          <w:color w:val="auto"/>
        </w:rPr>
        <w:t>IXPERIENCE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-92075</wp:posOffset>
            </wp:positionV>
            <wp:extent cx="4674235" cy="6121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674235" cy="612140"/>
                    </a:xfrm>
                    <a:prstGeom prst="rect">
                      <a:avLst/>
                    </a:prstGeom>
                    <a:noFill/>
                  </pic:spPr>
                </pic:pic>
              </a:graphicData>
            </a:graphic>
          </wp:anchor>
        </w:drawing>
      </w:r>
    </w:p>
    <w:p>
      <w:pPr>
        <w:spacing w:after="0" w:line="138"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Registration No.</w:t>
            </w:r>
          </w:p>
        </w:tc>
        <w:tc>
          <w:tcPr>
            <w:tcW w:w="158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Registration Date</w:t>
            </w:r>
          </w:p>
        </w:tc>
      </w:tr>
      <w:tr>
        <w:trPr>
          <w:trHeight w:val="140"/>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IXPERIENCE</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Registered</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86/322,313</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27-June-2014</w:t>
            </w:r>
          </w:p>
        </w:tc>
        <w:tc>
          <w:tcPr>
            <w:tcW w:w="11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4923507</w:t>
            </w:r>
          </w:p>
        </w:tc>
        <w:tc>
          <w:tcPr>
            <w:tcW w:w="1580" w:type="dxa"/>
            <w:vAlign w:val="bottom"/>
          </w:tcPr>
          <w:p>
            <w:pPr>
              <w:ind w:left="20"/>
              <w:spacing w:after="0"/>
              <w:rPr>
                <w:sz w:val="20"/>
                <w:szCs w:val="20"/>
                <w:color w:val="auto"/>
              </w:rPr>
            </w:pPr>
            <w:r>
              <w:rPr>
                <w:rFonts w:ascii="Arial" w:cs="Arial" w:eastAsia="Arial" w:hAnsi="Arial"/>
                <w:sz w:val="13"/>
                <w:szCs w:val="13"/>
                <w:color w:val="auto"/>
              </w:rPr>
              <w:t>22-Mar-2016</w:t>
            </w: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auto"/>
        </w:rPr>
        <w:t>VYDAPTIV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-103505</wp:posOffset>
            </wp:positionV>
            <wp:extent cx="4674235" cy="5276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74235" cy="527685"/>
                    </a:xfrm>
                    <a:prstGeom prst="rect">
                      <a:avLst/>
                    </a:prstGeom>
                    <a:noFill/>
                  </pic:spPr>
                </pic:pic>
              </a:graphicData>
            </a:graphic>
          </wp:anchor>
        </w:drawing>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55"/>
        </w:trPr>
        <w:tc>
          <w:tcPr>
            <w:tcW w:w="72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720" w:type="dxa"/>
            <w:vAlign w:val="bottom"/>
            <w:tcBorders>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7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VYDAPTIV</w:t>
            </w:r>
          </w:p>
        </w:tc>
        <w:tc>
          <w:tcPr>
            <w:tcW w:w="76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Pending</w:t>
            </w: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86/972,975</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21-April-2106</w:t>
            </w:r>
          </w:p>
        </w:tc>
        <w:tc>
          <w:tcPr>
            <w:tcW w:w="1140" w:type="dxa"/>
            <w:vAlign w:val="bottom"/>
            <w:tcBorders>
              <w:right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tbl>
      <w:tblPr>
        <w:tblLayout w:type="fixed"/>
        <w:tblInd w:w="270" w:type="dxa"/>
        <w:tblCellMar>
          <w:top w:w="0" w:type="dxa"/>
          <w:left w:w="0" w:type="dxa"/>
          <w:bottom w:w="0" w:type="dxa"/>
          <w:right w:w="0" w:type="dxa"/>
        </w:tblCellMar>
      </w:tblPr>
      <w:tr>
        <w:trPr>
          <w:trHeight w:val="163"/>
        </w:trPr>
        <w:tc>
          <w:tcPr>
            <w:tcW w:w="720" w:type="dxa"/>
            <w:vAlign w:val="bottom"/>
            <w:tcBorders>
              <w:top w:val="single" w:sz="8" w:color="auto"/>
              <w:left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536"/>
              <w:spacing w:after="0" w:line="163" w:lineRule="exact"/>
              <w:rPr>
                <w:sz w:val="20"/>
                <w:szCs w:val="20"/>
                <w:color w:val="auto"/>
              </w:rPr>
            </w:pPr>
            <w:r>
              <w:rPr>
                <w:rFonts w:ascii="Arial" w:cs="Arial" w:eastAsia="Arial" w:hAnsi="Arial"/>
                <w:sz w:val="15"/>
                <w:szCs w:val="15"/>
                <w:b w:val="1"/>
                <w:bCs w:val="1"/>
                <w:color w:val="auto"/>
              </w:rPr>
              <w:t>VYDAPTIV</w:t>
            </w:r>
          </w:p>
        </w:tc>
        <w:tc>
          <w:tcPr>
            <w:tcW w:w="1140" w:type="dxa"/>
            <w:vAlign w:val="bottom"/>
            <w:tcBorders>
              <w:top w:val="single" w:sz="8" w:color="auto"/>
            </w:tcBorders>
          </w:tcPr>
          <w:p>
            <w:pPr>
              <w:spacing w:after="0"/>
              <w:rPr>
                <w:sz w:val="14"/>
                <w:szCs w:val="14"/>
                <w:color w:val="auto"/>
              </w:rPr>
            </w:pPr>
          </w:p>
        </w:tc>
        <w:tc>
          <w:tcPr>
            <w:tcW w:w="158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tcBorders>
              <w:left w:val="single" w:sz="8" w:color="auto"/>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5"/>
                <w:szCs w:val="15"/>
                <w:b w:val="1"/>
                <w:bCs w:val="1"/>
                <w:color w:val="auto"/>
              </w:rPr>
              <w:t>BIOTHERAPEUTICS</w:t>
            </w: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Country</w:t>
            </w:r>
          </w:p>
        </w:tc>
        <w:tc>
          <w:tcPr>
            <w:tcW w:w="13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500" w:type="dxa"/>
            <w:vAlign w:val="bottom"/>
          </w:tcPr>
          <w:p>
            <w:pPr>
              <w:spacing w:after="0"/>
              <w:rPr>
                <w:sz w:val="20"/>
                <w:szCs w:val="20"/>
                <w:color w:val="auto"/>
              </w:rPr>
            </w:pPr>
            <w:r>
              <w:rPr>
                <w:rFonts w:ascii="Arial" w:cs="Arial" w:eastAsia="Arial" w:hAnsi="Arial"/>
                <w:sz w:val="13"/>
                <w:szCs w:val="13"/>
                <w:b w:val="1"/>
                <w:bCs w:val="1"/>
                <w:color w:val="auto"/>
              </w:rPr>
              <w:t>Status</w:t>
            </w:r>
          </w:p>
        </w:tc>
        <w:tc>
          <w:tcPr>
            <w:tcW w:w="2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64"/>
        </w:trPr>
        <w:tc>
          <w:tcPr>
            <w:tcW w:w="720" w:type="dxa"/>
            <w:vAlign w:val="bottom"/>
            <w:tcBorders>
              <w:left w:val="single" w:sz="8" w:color="auto"/>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5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20" w:type="dxa"/>
            <w:vAlign w:val="bottom"/>
            <w:tcBorders>
              <w:left w:val="single" w:sz="8" w:color="auto"/>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27" w:right="1440" w:bottom="1440" w:gutter="0" w:footer="0" w:header="0"/>
        </w:sectPr>
      </w:pPr>
    </w:p>
    <w:bookmarkStart w:id="243" w:name="page244"/>
    <w:bookmarkEnd w:id="243"/>
    <w:tbl>
      <w:tblPr>
        <w:tblLayout w:type="fixed"/>
        <w:tblInd w:w="270" w:type="dxa"/>
        <w:tblCellMar>
          <w:top w:w="0" w:type="dxa"/>
          <w:left w:w="0" w:type="dxa"/>
          <w:bottom w:w="0" w:type="dxa"/>
          <w:right w:w="0" w:type="dxa"/>
        </w:tblCellMar>
      </w:tblPr>
      <w:tr>
        <w:trPr>
          <w:trHeight w:val="153"/>
        </w:trPr>
        <w:tc>
          <w:tcPr>
            <w:tcW w:w="7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US</w:t>
            </w: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VYDAPTIV</w:t>
            </w:r>
          </w:p>
        </w:tc>
        <w:tc>
          <w:tcPr>
            <w:tcW w:w="7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Under</w:t>
            </w:r>
          </w:p>
        </w:tc>
        <w:tc>
          <w:tcPr>
            <w:tcW w:w="1020" w:type="dxa"/>
            <w:vAlign w:val="bottom"/>
            <w:tcBorders>
              <w:top w:val="single" w:sz="8" w:color="auto"/>
              <w:right w:val="single" w:sz="8" w:color="auto"/>
            </w:tcBorders>
            <w:vMerge w:val="restart"/>
          </w:tcPr>
          <w:p>
            <w:pPr>
              <w:jc w:val="right"/>
              <w:ind w:right="396"/>
              <w:spacing w:after="0"/>
              <w:rPr>
                <w:sz w:val="20"/>
                <w:szCs w:val="20"/>
                <w:color w:val="auto"/>
              </w:rPr>
            </w:pPr>
            <w:r>
              <w:rPr>
                <w:rFonts w:ascii="Arial" w:cs="Arial" w:eastAsia="Arial" w:hAnsi="Arial"/>
                <w:sz w:val="13"/>
                <w:szCs w:val="13"/>
                <w:color w:val="auto"/>
                <w:w w:val="82"/>
              </w:rPr>
              <w:t>86/972,988</w:t>
            </w:r>
          </w:p>
        </w:tc>
        <w:tc>
          <w:tcPr>
            <w:tcW w:w="8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color w:val="auto"/>
              </w:rPr>
              <w:t>12-April-2106</w:t>
            </w:r>
          </w:p>
        </w:tc>
        <w:tc>
          <w:tcPr>
            <w:tcW w:w="114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720" w:type="dxa"/>
            <w:vAlign w:val="bottom"/>
            <w:tcBorders>
              <w:left w:val="single" w:sz="8" w:color="auto"/>
              <w:right w:val="single" w:sz="8" w:color="auto"/>
            </w:tcBorders>
            <w:vMerge w:val="continue"/>
          </w:tcPr>
          <w:p>
            <w:pPr>
              <w:spacing w:after="0"/>
              <w:rPr>
                <w:sz w:val="7"/>
                <w:szCs w:val="7"/>
                <w:color w:val="auto"/>
              </w:rPr>
            </w:pPr>
          </w:p>
        </w:tc>
        <w:tc>
          <w:tcPr>
            <w:tcW w:w="13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BIOTHERAPEUTICS</w:t>
            </w:r>
          </w:p>
        </w:tc>
        <w:tc>
          <w:tcPr>
            <w:tcW w:w="7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Opposition</w:t>
            </w:r>
          </w:p>
        </w:tc>
        <w:tc>
          <w:tcPr>
            <w:tcW w:w="10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left w:val="single" w:sz="8" w:color="auto"/>
              <w:righ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left w:val="single" w:sz="8" w:color="auto"/>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2619"/>
        <w:spacing w:after="0"/>
        <w:rPr>
          <w:sz w:val="20"/>
          <w:szCs w:val="20"/>
          <w:color w:val="auto"/>
        </w:rPr>
      </w:pPr>
      <w:r>
        <w:rPr>
          <w:rFonts w:ascii="Arial" w:cs="Arial" w:eastAsia="Arial" w:hAnsi="Arial"/>
          <w:sz w:val="15"/>
          <w:szCs w:val="15"/>
          <w:b w:val="1"/>
          <w:bCs w:val="1"/>
          <w:color w:val="auto"/>
        </w:rPr>
        <w:t>VYDAPTIV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-103505</wp:posOffset>
            </wp:positionV>
            <wp:extent cx="4674235" cy="7277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674235" cy="727710"/>
                    </a:xfrm>
                    <a:prstGeom prst="rect">
                      <a:avLst/>
                    </a:prstGeom>
                    <a:noFill/>
                  </pic:spPr>
                </pic:pic>
              </a:graphicData>
            </a:graphic>
          </wp:anchor>
        </w:drawing>
      </w:r>
    </w:p>
    <w:p>
      <w:pPr>
        <w:jc w:val="center"/>
        <w:ind w:right="2619"/>
        <w:spacing w:after="0"/>
        <w:rPr>
          <w:sz w:val="20"/>
          <w:szCs w:val="20"/>
          <w:color w:val="auto"/>
        </w:rPr>
      </w:pPr>
      <w:r>
        <w:rPr>
          <w:rFonts w:ascii="Arial" w:cs="Arial" w:eastAsia="Arial" w:hAnsi="Arial"/>
          <w:sz w:val="15"/>
          <w:szCs w:val="15"/>
          <w:b w:val="1"/>
          <w:bCs w:val="1"/>
          <w:color w:val="auto"/>
        </w:rPr>
        <w:t>THERAPEUTICS</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Country</w:t>
            </w:r>
          </w:p>
        </w:tc>
        <w:tc>
          <w:tcPr>
            <w:tcW w:w="13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Trademark Name</w:t>
            </w:r>
          </w:p>
        </w:tc>
        <w:tc>
          <w:tcPr>
            <w:tcW w:w="7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Status</w:t>
            </w:r>
          </w:p>
        </w:tc>
        <w:tc>
          <w:tcPr>
            <w:tcW w:w="102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Application No.</w:t>
            </w:r>
          </w:p>
        </w:tc>
        <w:tc>
          <w:tcPr>
            <w:tcW w:w="84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Filing Date</w:t>
            </w:r>
          </w:p>
        </w:tc>
        <w:tc>
          <w:tcPr>
            <w:tcW w:w="114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No.</w:t>
            </w:r>
          </w:p>
        </w:tc>
        <w:tc>
          <w:tcPr>
            <w:tcW w:w="154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Registration Date</w:t>
            </w:r>
          </w:p>
        </w:tc>
        <w:tc>
          <w:tcPr>
            <w:tcW w:w="0" w:type="dxa"/>
            <w:vAlign w:val="bottom"/>
          </w:tcPr>
          <w:p>
            <w:pPr>
              <w:spacing w:after="0"/>
              <w:rPr>
                <w:sz w:val="1"/>
                <w:szCs w:val="1"/>
                <w:color w:val="auto"/>
              </w:rPr>
            </w:pPr>
          </w:p>
        </w:tc>
      </w:tr>
      <w:tr>
        <w:trPr>
          <w:trHeight w:val="53"/>
        </w:trPr>
        <w:tc>
          <w:tcPr>
            <w:tcW w:w="72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72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3"/>
                <w:szCs w:val="13"/>
                <w:color w:val="auto"/>
              </w:rPr>
              <w:t>US</w:t>
            </w:r>
          </w:p>
        </w:tc>
        <w:tc>
          <w:tcPr>
            <w:tcW w:w="132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VYDAPTIV</w:t>
            </w:r>
          </w:p>
        </w:tc>
        <w:tc>
          <w:tcPr>
            <w:tcW w:w="780" w:type="dxa"/>
            <w:vAlign w:val="bottom"/>
            <w:tcBorders>
              <w:right w:val="single" w:sz="8" w:color="auto"/>
            </w:tcBorders>
          </w:tcPr>
          <w:p>
            <w:pPr>
              <w:spacing w:after="0" w:line="134" w:lineRule="exact"/>
              <w:rPr>
                <w:sz w:val="20"/>
                <w:szCs w:val="20"/>
                <w:color w:val="auto"/>
              </w:rPr>
            </w:pPr>
            <w:r>
              <w:rPr>
                <w:rFonts w:ascii="Arial" w:cs="Arial" w:eastAsia="Arial" w:hAnsi="Arial"/>
                <w:sz w:val="13"/>
                <w:szCs w:val="13"/>
                <w:color w:val="auto"/>
              </w:rPr>
              <w:t>Under</w:t>
            </w:r>
          </w:p>
        </w:tc>
        <w:tc>
          <w:tcPr>
            <w:tcW w:w="10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86/972,981</w:t>
            </w:r>
          </w:p>
        </w:tc>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12-April-2106</w:t>
            </w:r>
          </w:p>
        </w:tc>
        <w:tc>
          <w:tcPr>
            <w:tcW w:w="1140" w:type="dxa"/>
            <w:vAlign w:val="bottom"/>
            <w:tcBorders>
              <w:right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72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THERAPEUTICS</w:t>
            </w: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Opposition</w:t>
            </w:r>
          </w:p>
        </w:tc>
        <w:tc>
          <w:tcPr>
            <w:tcW w:w="10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2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1140" w:type="dxa"/>
            <w:vAlign w:val="bottom"/>
            <w:tcBorders>
              <w:bottom w:val="single" w:sz="8" w:color="auto"/>
              <w:right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59"/>
        <w:spacing w:after="0"/>
        <w:rPr>
          <w:sz w:val="20"/>
          <w:szCs w:val="20"/>
          <w:color w:val="auto"/>
        </w:rPr>
      </w:pPr>
      <w:r>
        <w:rPr>
          <w:rFonts w:ascii="Arial" w:cs="Arial" w:eastAsia="Arial" w:hAnsi="Arial"/>
          <w:sz w:val="13"/>
          <w:szCs w:val="13"/>
          <w:color w:val="auto"/>
        </w:rPr>
        <w:t>Trademark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-85090</wp:posOffset>
            </wp:positionV>
            <wp:extent cx="5431790" cy="642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31790" cy="642620"/>
                    </a:xfrm>
                    <a:prstGeom prst="rect">
                      <a:avLst/>
                    </a:prstGeom>
                    <a:noFill/>
                  </pic:spPr>
                </pic:pic>
              </a:graphicData>
            </a:graphic>
          </wp:anchor>
        </w:drawing>
      </w:r>
    </w:p>
    <w:p>
      <w:pPr>
        <w:jc w:val="center"/>
        <w:ind w:right="2559"/>
        <w:spacing w:after="0" w:line="214" w:lineRule="auto"/>
        <w:rPr>
          <w:sz w:val="20"/>
          <w:szCs w:val="20"/>
          <w:color w:val="auto"/>
        </w:rPr>
      </w:pPr>
      <w:r>
        <w:rPr>
          <w:rFonts w:ascii="Arial" w:cs="Arial" w:eastAsia="Arial" w:hAnsi="Arial"/>
          <w:sz w:val="13"/>
          <w:szCs w:val="13"/>
          <w:color w:val="auto"/>
        </w:rPr>
        <w:t>Clearinghouse</w:t>
      </w:r>
    </w:p>
    <w:p>
      <w:pPr>
        <w:jc w:val="center"/>
        <w:ind w:right="2559"/>
        <w:spacing w:after="0" w:line="228" w:lineRule="auto"/>
        <w:rPr>
          <w:sz w:val="20"/>
          <w:szCs w:val="20"/>
          <w:color w:val="auto"/>
        </w:rPr>
      </w:pPr>
      <w:r>
        <w:rPr>
          <w:rFonts w:ascii="Arial" w:cs="Arial" w:eastAsia="Arial" w:hAnsi="Arial"/>
          <w:sz w:val="13"/>
          <w:szCs w:val="13"/>
          <w:color w:val="auto"/>
        </w:rPr>
        <w:t>Registrations (TMCH)</w:t>
      </w:r>
    </w:p>
    <w:tbl>
      <w:tblPr>
        <w:tblLayout w:type="fixed"/>
        <w:tblInd w:w="120" w:type="dxa"/>
        <w:tblCellMar>
          <w:top w:w="0" w:type="dxa"/>
          <w:left w:w="0" w:type="dxa"/>
          <w:bottom w:w="0" w:type="dxa"/>
          <w:right w:w="0" w:type="dxa"/>
        </w:tblCellMar>
      </w:tblPr>
      <w:tr>
        <w:trPr>
          <w:trHeight w:val="105"/>
        </w:trPr>
        <w:tc>
          <w:tcPr>
            <w:tcW w:w="212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US</w:t>
            </w:r>
          </w:p>
        </w:tc>
        <w:tc>
          <w:tcPr>
            <w:tcW w:w="2100" w:type="dxa"/>
            <w:vAlign w:val="bottom"/>
            <w:tcBorders>
              <w:top w:val="single" w:sz="8" w:color="auto"/>
              <w:right w:val="single" w:sz="8" w:color="auto"/>
            </w:tcBorders>
          </w:tcPr>
          <w:p>
            <w:pPr>
              <w:ind w:left="40"/>
              <w:spacing w:after="0" w:line="105" w:lineRule="exact"/>
              <w:rPr>
                <w:sz w:val="20"/>
                <w:szCs w:val="20"/>
                <w:color w:val="auto"/>
              </w:rPr>
            </w:pPr>
            <w:r>
              <w:rPr>
                <w:rFonts w:ascii="Arial" w:cs="Arial" w:eastAsia="Arial" w:hAnsi="Arial"/>
                <w:sz w:val="12"/>
                <w:szCs w:val="12"/>
                <w:color w:val="auto"/>
              </w:rPr>
              <w:t>IXINITY Trademark Clearinghouse</w:t>
            </w:r>
          </w:p>
        </w:tc>
        <w:tc>
          <w:tcPr>
            <w:tcW w:w="21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3"/>
                <w:szCs w:val="13"/>
                <w:color w:val="auto"/>
              </w:rPr>
              <w:t>Active</w:t>
            </w:r>
          </w:p>
        </w:tc>
        <w:tc>
          <w:tcPr>
            <w:tcW w:w="2240" w:type="dxa"/>
            <w:vAlign w:val="bottom"/>
            <w:tcBorders>
              <w:top w:val="single" w:sz="8" w:color="auto"/>
            </w:tcBorders>
            <w:vMerge w:val="restart"/>
          </w:tcPr>
          <w:p>
            <w:pPr>
              <w:jc w:val="right"/>
              <w:ind w:right="856"/>
              <w:spacing w:after="0"/>
              <w:rPr>
                <w:sz w:val="20"/>
                <w:szCs w:val="20"/>
                <w:color w:val="auto"/>
              </w:rPr>
            </w:pPr>
            <w:r>
              <w:rPr>
                <w:rFonts w:ascii="Arial" w:cs="Arial" w:eastAsia="Arial" w:hAnsi="Arial"/>
                <w:sz w:val="13"/>
                <w:szCs w:val="13"/>
                <w:color w:val="auto"/>
                <w:w w:val="89"/>
              </w:rPr>
              <w:t>00170514158981891415</w:t>
            </w:r>
          </w:p>
        </w:tc>
        <w:tc>
          <w:tcPr>
            <w:tcW w:w="0" w:type="dxa"/>
            <w:vAlign w:val="bottom"/>
          </w:tcPr>
          <w:p>
            <w:pPr>
              <w:spacing w:after="0"/>
              <w:rPr>
                <w:sz w:val="1"/>
                <w:szCs w:val="1"/>
                <w:color w:val="auto"/>
              </w:rPr>
            </w:pPr>
          </w:p>
        </w:tc>
      </w:tr>
      <w:tr>
        <w:trPr>
          <w:trHeight w:val="104"/>
        </w:trPr>
        <w:tc>
          <w:tcPr>
            <w:tcW w:w="212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Registration</w:t>
            </w:r>
          </w:p>
        </w:tc>
        <w:tc>
          <w:tcPr>
            <w:tcW w:w="2100" w:type="dxa"/>
            <w:vAlign w:val="bottom"/>
            <w:tcBorders>
              <w:right w:val="single" w:sz="8" w:color="auto"/>
            </w:tcBorders>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12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vMerge w:val="continue"/>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US</w:t>
            </w:r>
          </w:p>
        </w:tc>
        <w:tc>
          <w:tcPr>
            <w:tcW w:w="2100" w:type="dxa"/>
            <w:vAlign w:val="bottom"/>
            <w:tcBorders>
              <w:right w:val="single" w:sz="8" w:color="auto"/>
            </w:tcBorders>
          </w:tcPr>
          <w:p>
            <w:pPr>
              <w:ind w:left="40"/>
              <w:spacing w:after="0" w:line="110" w:lineRule="exact"/>
              <w:rPr>
                <w:sz w:val="20"/>
                <w:szCs w:val="20"/>
                <w:color w:val="auto"/>
              </w:rPr>
            </w:pPr>
            <w:r>
              <w:rPr>
                <w:rFonts w:ascii="Arial" w:cs="Arial" w:eastAsia="Arial" w:hAnsi="Arial"/>
                <w:sz w:val="12"/>
                <w:szCs w:val="12"/>
                <w:color w:val="auto"/>
              </w:rPr>
              <w:t>ADAPTIR Trademark Clearinghouse</w:t>
            </w:r>
          </w:p>
        </w:tc>
        <w:tc>
          <w:tcPr>
            <w:tcW w:w="2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Active</w:t>
            </w:r>
          </w:p>
        </w:tc>
        <w:tc>
          <w:tcPr>
            <w:tcW w:w="2240" w:type="dxa"/>
            <w:vAlign w:val="bottom"/>
            <w:vMerge w:val="restart"/>
          </w:tcPr>
          <w:p>
            <w:pPr>
              <w:jc w:val="right"/>
              <w:ind w:right="856"/>
              <w:spacing w:after="0"/>
              <w:rPr>
                <w:sz w:val="20"/>
                <w:szCs w:val="20"/>
                <w:color w:val="auto"/>
              </w:rPr>
            </w:pPr>
            <w:r>
              <w:rPr>
                <w:rFonts w:ascii="Arial" w:cs="Arial" w:eastAsia="Arial" w:hAnsi="Arial"/>
                <w:sz w:val="13"/>
                <w:szCs w:val="13"/>
                <w:color w:val="auto"/>
                <w:w w:val="89"/>
              </w:rPr>
              <w:t>00170513892841101389</w:t>
            </w:r>
          </w:p>
        </w:tc>
        <w:tc>
          <w:tcPr>
            <w:tcW w:w="0" w:type="dxa"/>
            <w:vAlign w:val="bottom"/>
          </w:tcPr>
          <w:p>
            <w:pPr>
              <w:spacing w:after="0"/>
              <w:rPr>
                <w:sz w:val="1"/>
                <w:szCs w:val="1"/>
                <w:color w:val="auto"/>
              </w:rPr>
            </w:pPr>
          </w:p>
        </w:tc>
      </w:tr>
      <w:tr>
        <w:trPr>
          <w:trHeight w:val="104"/>
        </w:trPr>
        <w:tc>
          <w:tcPr>
            <w:tcW w:w="2120" w:type="dxa"/>
            <w:vAlign w:val="bottom"/>
            <w:tcBorders>
              <w:right w:val="single" w:sz="8" w:color="auto"/>
            </w:tcBorders>
            <w:vMerge w:val="continue"/>
          </w:tcPr>
          <w:p>
            <w:pPr>
              <w:spacing w:after="0"/>
              <w:rPr>
                <w:sz w:val="9"/>
                <w:szCs w:val="9"/>
                <w:color w:val="auto"/>
              </w:rPr>
            </w:pPr>
          </w:p>
        </w:tc>
        <w:tc>
          <w:tcPr>
            <w:tcW w:w="21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Registration</w:t>
            </w:r>
          </w:p>
        </w:tc>
        <w:tc>
          <w:tcPr>
            <w:tcW w:w="2100" w:type="dxa"/>
            <w:vAlign w:val="bottom"/>
            <w:tcBorders>
              <w:right w:val="single" w:sz="8" w:color="auto"/>
            </w:tcBorders>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120" w:type="dxa"/>
            <w:vAlign w:val="bottom"/>
            <w:tcBorders>
              <w:bottom w:val="single" w:sz="8" w:color="auto"/>
              <w:right w:val="single" w:sz="8" w:color="auto"/>
            </w:tcBorders>
          </w:tcPr>
          <w:p>
            <w:pPr>
              <w:spacing w:after="0"/>
              <w:rPr>
                <w:sz w:val="5"/>
                <w:szCs w:val="5"/>
                <w:color w:val="auto"/>
              </w:rPr>
            </w:pPr>
          </w:p>
        </w:tc>
        <w:tc>
          <w:tcPr>
            <w:tcW w:w="2100" w:type="dxa"/>
            <w:vAlign w:val="bottom"/>
            <w:tcBorders>
              <w:bottom w:val="single" w:sz="8" w:color="auto"/>
              <w:right w:val="single" w:sz="8" w:color="auto"/>
            </w:tcBorders>
            <w:vMerge w:val="continue"/>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580" w:hanging="336"/>
        <w:spacing w:after="0"/>
        <w:tabs>
          <w:tab w:leader="none" w:pos="580" w:val="left"/>
        </w:tabs>
        <w:numPr>
          <w:ilvl w:val="0"/>
          <w:numId w:val="83"/>
        </w:numPr>
        <w:rPr>
          <w:rFonts w:ascii="Arial" w:cs="Arial" w:eastAsia="Arial" w:hAnsi="Arial"/>
          <w:sz w:val="15"/>
          <w:szCs w:val="15"/>
          <w:color w:val="auto"/>
        </w:rPr>
      </w:pPr>
      <w:r>
        <w:rPr>
          <w:rFonts w:ascii="Arial" w:cs="Arial" w:eastAsia="Arial" w:hAnsi="Arial"/>
          <w:sz w:val="15"/>
          <w:szCs w:val="15"/>
          <w:u w:val="single" w:color="auto"/>
          <w:color w:val="auto"/>
        </w:rPr>
        <w:t>Registered Domain Names</w:t>
      </w:r>
    </w:p>
    <w:p>
      <w:pPr>
        <w:spacing w:after="0" w:line="147" w:lineRule="exact"/>
        <w:rPr>
          <w:sz w:val="20"/>
          <w:szCs w:val="20"/>
          <w:color w:val="auto"/>
        </w:rPr>
      </w:pPr>
    </w:p>
    <w:tbl>
      <w:tblPr>
        <w:tblLayout w:type="fixed"/>
        <w:tblInd w:w="150" w:type="dxa"/>
        <w:tblCellMar>
          <w:top w:w="0" w:type="dxa"/>
          <w:left w:w="0" w:type="dxa"/>
          <w:bottom w:w="0" w:type="dxa"/>
          <w:right w:w="0" w:type="dxa"/>
        </w:tblCellMar>
      </w:tblPr>
      <w:tr>
        <w:trPr>
          <w:trHeight w:val="15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Domain Desc</w:t>
            </w:r>
          </w:p>
        </w:tc>
        <w:tc>
          <w:tcPr>
            <w:tcW w:w="2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Names</w:t>
            </w:r>
          </w:p>
        </w:tc>
        <w:tc>
          <w:tcPr>
            <w:tcW w:w="19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Registar Name</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ExpirationDate</w:t>
            </w:r>
          </w:p>
        </w:tc>
        <w:tc>
          <w:tcPr>
            <w:tcW w:w="13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w:t>
            </w:r>
          </w:p>
        </w:tc>
      </w:tr>
      <w:tr>
        <w:trPr>
          <w:trHeight w:val="161"/>
        </w:trPr>
        <w:tc>
          <w:tcPr>
            <w:tcW w:w="128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registered by:</w:t>
            </w:r>
          </w:p>
        </w:tc>
      </w:tr>
      <w:tr>
        <w:trPr>
          <w:trHeight w:val="134"/>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applygenerationixproject.com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11/11/2018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9/24/2018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35"/>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44" w:name="page245"/>
    <w:bookmarkEnd w:id="244"/>
    <w:tbl>
      <w:tblPr>
        <w:tblLayout w:type="fixed"/>
        <w:tblInd w:w="150" w:type="dxa"/>
        <w:tblCellMar>
          <w:top w:w="0" w:type="dxa"/>
          <w:left w:w="0" w:type="dxa"/>
          <w:bottom w:w="0" w:type="dxa"/>
          <w:right w:w="0" w:type="dxa"/>
        </w:tblCellMar>
      </w:tblPr>
      <w:tr>
        <w:trPr>
          <w:trHeight w:val="15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Domain Desc</w:t>
            </w:r>
          </w:p>
        </w:tc>
        <w:tc>
          <w:tcPr>
            <w:tcW w:w="2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Names</w:t>
            </w:r>
          </w:p>
        </w:tc>
        <w:tc>
          <w:tcPr>
            <w:tcW w:w="19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Registar Name</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ExpirationDate</w:t>
            </w:r>
          </w:p>
        </w:tc>
        <w:tc>
          <w:tcPr>
            <w:tcW w:w="13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w:t>
            </w:r>
          </w:p>
        </w:tc>
      </w:tr>
      <w:tr>
        <w:trPr>
          <w:trHeight w:val="161"/>
        </w:trPr>
        <w:tc>
          <w:tcPr>
            <w:tcW w:w="128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registered by:</w:t>
            </w:r>
          </w:p>
        </w:tc>
      </w:tr>
      <w:tr>
        <w:trPr>
          <w:trHeight w:val="134"/>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aptevobiotechnology.biz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aptevobiotechnology.com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aptevobiotechnology.net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aptevobiotechnology.org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aptevobiotherapeutics.biz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aptevobiotherapeutics.com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aptevobiotherapeutics.net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aptevobiotherapeutics.org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aptevocommunitysupport.com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11/21/2018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aptevohemophilia.com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5/6/2018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35"/>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aptevoinfo.com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9/27/2018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aptevoresearchanddevelopment.biz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45" w:name="page246"/>
    <w:bookmarkEnd w:id="245"/>
    <w:tbl>
      <w:tblPr>
        <w:tblLayout w:type="fixed"/>
        <w:tblInd w:w="150" w:type="dxa"/>
        <w:tblCellMar>
          <w:top w:w="0" w:type="dxa"/>
          <w:left w:w="0" w:type="dxa"/>
          <w:bottom w:w="0" w:type="dxa"/>
          <w:right w:w="0" w:type="dxa"/>
        </w:tblCellMar>
      </w:tblPr>
      <w:tr>
        <w:trPr>
          <w:trHeight w:val="15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Domain Desc</w:t>
            </w:r>
          </w:p>
        </w:tc>
        <w:tc>
          <w:tcPr>
            <w:tcW w:w="2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Names</w:t>
            </w:r>
          </w:p>
        </w:tc>
        <w:tc>
          <w:tcPr>
            <w:tcW w:w="19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Registar Name</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ExpirationDate</w:t>
            </w:r>
          </w:p>
        </w:tc>
        <w:tc>
          <w:tcPr>
            <w:tcW w:w="13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w:t>
            </w:r>
          </w:p>
        </w:tc>
      </w:tr>
      <w:tr>
        <w:trPr>
          <w:trHeight w:val="161"/>
        </w:trPr>
        <w:tc>
          <w:tcPr>
            <w:tcW w:w="128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registered by:</w:t>
            </w:r>
          </w:p>
        </w:tc>
      </w:tr>
      <w:tr>
        <w:trPr>
          <w:trHeight w:val="134"/>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aptevoresearchanddevelopment.com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aptevoresearchanddevelopment.net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aptevoresearchanddevelopment.org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aptevotherapeutics.biz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9/24/2018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aptevotherapeutics.com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aptevotherapeutics.net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aptevotherapeutics.org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aptevotx.biz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3/1/2019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aptevotx.com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aptevotx.mobi</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aptevotx.net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aptevotx.org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apvo.biz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3/10/2019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apvo.com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12/22/2018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apvo.info</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3/11/2018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35"/>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apvo.mobi</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3/11/2018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Aptevo</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apvo.org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3/11/2018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46" w:name="page247"/>
    <w:bookmarkEnd w:id="246"/>
    <w:tbl>
      <w:tblPr>
        <w:tblLayout w:type="fixed"/>
        <w:tblInd w:w="150" w:type="dxa"/>
        <w:tblCellMar>
          <w:top w:w="0" w:type="dxa"/>
          <w:left w:w="0" w:type="dxa"/>
          <w:bottom w:w="0" w:type="dxa"/>
          <w:right w:w="0" w:type="dxa"/>
        </w:tblCellMar>
      </w:tblPr>
      <w:tr>
        <w:trPr>
          <w:trHeight w:val="15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Domain Desc</w:t>
            </w:r>
          </w:p>
        </w:tc>
        <w:tc>
          <w:tcPr>
            <w:tcW w:w="2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Names</w:t>
            </w:r>
          </w:p>
        </w:tc>
        <w:tc>
          <w:tcPr>
            <w:tcW w:w="19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Registar Name</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ExpirationDate</w:t>
            </w:r>
          </w:p>
        </w:tc>
        <w:tc>
          <w:tcPr>
            <w:tcW w:w="13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w:t>
            </w:r>
          </w:p>
        </w:tc>
      </w:tr>
      <w:tr>
        <w:trPr>
          <w:trHeight w:val="161"/>
        </w:trPr>
        <w:tc>
          <w:tcPr>
            <w:tcW w:w="128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registered by:</w:t>
            </w:r>
          </w:p>
        </w:tc>
      </w:tr>
      <w:tr>
        <w:trPr>
          <w:trHeight w:val="134"/>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bmorescholarship.com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1/7/2019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defineyourexperience.com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1/5/2019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defineyourixperience.com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1/5/2019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emergenthemophilia.biz</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1/3/2019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emergenthemophilia.com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1/4/2019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emergenthemophilia.net</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1/4/2019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emergenthemophilia.org</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1/4/2019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factoritforward.com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factoritforwardfaces.com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9/13/2018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generationixproject.com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9/25/2018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hemophiliabcompany.com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10/24/2018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hemophiliabstories.com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10/22/2018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hemophiliastories.com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10/23/2018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hemophiliaterritorymanager.com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10/18/2018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ixinity.ca</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4/10/2018</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35"/>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ixinity.co</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6/5/2019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ixinity.com</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1/12/2019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47" w:name="page248"/>
    <w:bookmarkEnd w:id="247"/>
    <w:tbl>
      <w:tblPr>
        <w:tblLayout w:type="fixed"/>
        <w:tblInd w:w="150" w:type="dxa"/>
        <w:tblCellMar>
          <w:top w:w="0" w:type="dxa"/>
          <w:left w:w="0" w:type="dxa"/>
          <w:bottom w:w="0" w:type="dxa"/>
          <w:right w:w="0" w:type="dxa"/>
        </w:tblCellMar>
      </w:tblPr>
      <w:tr>
        <w:trPr>
          <w:trHeight w:val="153"/>
        </w:trPr>
        <w:tc>
          <w:tcPr>
            <w:tcW w:w="12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Domain Desc</w:t>
            </w:r>
          </w:p>
        </w:tc>
        <w:tc>
          <w:tcPr>
            <w:tcW w:w="26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Names</w:t>
            </w:r>
          </w:p>
        </w:tc>
        <w:tc>
          <w:tcPr>
            <w:tcW w:w="19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Registar Name</w:t>
            </w:r>
          </w:p>
        </w:tc>
        <w:tc>
          <w:tcPr>
            <w:tcW w:w="13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ExpirationDate</w:t>
            </w:r>
          </w:p>
        </w:tc>
        <w:tc>
          <w:tcPr>
            <w:tcW w:w="13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3"/>
                <w:szCs w:val="13"/>
                <w:color w:val="auto"/>
              </w:rPr>
              <w:t>Domain Name</w:t>
            </w:r>
          </w:p>
        </w:tc>
      </w:tr>
      <w:tr>
        <w:trPr>
          <w:trHeight w:val="161"/>
        </w:trPr>
        <w:tc>
          <w:tcPr>
            <w:tcW w:w="1280" w:type="dxa"/>
            <w:vAlign w:val="bottom"/>
            <w:tcBorders>
              <w:left w:val="single" w:sz="8" w:color="auto"/>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registered by:</w:t>
            </w:r>
          </w:p>
        </w:tc>
      </w:tr>
      <w:tr>
        <w:trPr>
          <w:trHeight w:val="134"/>
        </w:trPr>
        <w:tc>
          <w:tcPr>
            <w:tcW w:w="1280" w:type="dxa"/>
            <w:vAlign w:val="bottom"/>
            <w:tcBorders>
              <w:left w:val="single" w:sz="8" w:color="auto"/>
              <w:bottom w:val="single" w:sz="8" w:color="auto"/>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9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r>
      <w:tr>
        <w:trPr>
          <w:trHeight w:val="151"/>
        </w:trPr>
        <w:tc>
          <w:tcPr>
            <w:tcW w:w="12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IXINITY</w:t>
            </w: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ixinity.info</w:t>
            </w:r>
          </w:p>
        </w:tc>
        <w:tc>
          <w:tcPr>
            <w:tcW w:w="19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Godaddy.com</w:t>
            </w:r>
          </w:p>
        </w:tc>
        <w:tc>
          <w:tcPr>
            <w:tcW w:w="130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1/12/2019</w:t>
            </w:r>
          </w:p>
        </w:tc>
        <w:tc>
          <w:tcPr>
            <w:tcW w:w="13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Aptevo Therapeutics</w:t>
            </w:r>
          </w:p>
        </w:tc>
      </w:tr>
      <w:tr>
        <w:trPr>
          <w:trHeight w:val="125"/>
        </w:trPr>
        <w:tc>
          <w:tcPr>
            <w:tcW w:w="128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right w:val="single" w:sz="8" w:color="auto"/>
            </w:tcBorders>
          </w:tcPr>
          <w:p>
            <w:pPr>
              <w:spacing w:after="0"/>
              <w:rPr>
                <w:sz w:val="10"/>
                <w:szCs w:val="10"/>
                <w:color w:val="auto"/>
              </w:rPr>
            </w:pPr>
          </w:p>
        </w:tc>
      </w:tr>
    </w:tbl>
    <w:p>
      <w:pPr>
        <w:spacing w:after="0" w:line="301" w:lineRule="exact"/>
        <w:rPr>
          <w:sz w:val="20"/>
          <w:szCs w:val="20"/>
          <w:color w:val="auto"/>
        </w:rPr>
      </w:pPr>
    </w:p>
    <w:p>
      <w:pPr>
        <w:ind w:left="600" w:hanging="356"/>
        <w:spacing w:after="0"/>
        <w:tabs>
          <w:tab w:leader="none" w:pos="60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Licenses</w:t>
      </w:r>
    </w:p>
    <w:p>
      <w:pPr>
        <w:spacing w:after="0" w:line="389" w:lineRule="exact"/>
        <w:rPr>
          <w:sz w:val="20"/>
          <w:szCs w:val="20"/>
          <w:color w:val="auto"/>
        </w:rPr>
      </w:pPr>
    </w:p>
    <w:p>
      <w:pPr>
        <w:ind w:left="680" w:right="639" w:hanging="436"/>
        <w:spacing w:after="0" w:line="253" w:lineRule="auto"/>
        <w:tabs>
          <w:tab w:leader="none" w:pos="68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Non-Exclusive License Agreement, dated July 21, 2008, by between Trubion Pharmaceuticals and Hospital Clinic I Provincial de Barcelona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there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restriction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right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grant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lien?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there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restriction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right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assign?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sublicense? NO</w:t>
      </w:r>
    </w:p>
    <w:p>
      <w:pPr>
        <w:spacing w:after="0" w:line="300" w:lineRule="exact"/>
        <w:rPr>
          <w:sz w:val="20"/>
          <w:szCs w:val="20"/>
          <w:color w:val="auto"/>
        </w:rPr>
      </w:pPr>
    </w:p>
    <w:p>
      <w:pPr>
        <w:ind w:left="680" w:right="1019" w:hanging="436"/>
        <w:spacing w:after="0" w:line="253" w:lineRule="auto"/>
        <w:tabs>
          <w:tab w:leader="none" w:pos="680"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Exclusive License Agreement, dated December 12, 2011, by and between University of Washington and Emergent Product Development Seattle LLC</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grant a lien? 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assign? NO, provided express written consent unless to Affiliate(s)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sublicense? YES, except to Affiliate(s) and Co-Development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Partners</w:t>
      </w:r>
    </w:p>
    <w:p>
      <w:pPr>
        <w:spacing w:after="0" w:line="157" w:lineRule="exact"/>
        <w:rPr>
          <w:sz w:val="20"/>
          <w:szCs w:val="20"/>
          <w:color w:val="auto"/>
        </w:rPr>
      </w:pPr>
    </w:p>
    <w:p>
      <w:pPr>
        <w:ind w:left="680" w:right="1039" w:hanging="436"/>
        <w:spacing w:after="0" w:line="253" w:lineRule="auto"/>
        <w:tabs>
          <w:tab w:leader="none" w:pos="680" w:val="left"/>
        </w:tabs>
        <w:numPr>
          <w:ilvl w:val="0"/>
          <w:numId w:val="87"/>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Commercial Platform License Agreement, dated January 8, 2016, by and between Open Monoclonal Technology, Inc. and Emergent Product Development Seattle, LLC</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there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restriction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right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grant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lien?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there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restriction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right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to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assign?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sublicense? YES,” non-sublicenseable”</w:t>
      </w:r>
    </w:p>
    <w:p>
      <w:pPr>
        <w:spacing w:after="0" w:line="272" w:lineRule="exact"/>
        <w:rPr>
          <w:sz w:val="20"/>
          <w:szCs w:val="20"/>
          <w:color w:val="auto"/>
        </w:rPr>
      </w:pPr>
    </w:p>
    <w:p>
      <w:pPr>
        <w:ind w:left="240" w:right="559" w:firstLine="4"/>
        <w:spacing w:after="0" w:line="253" w:lineRule="auto"/>
        <w:tabs>
          <w:tab w:leader="none" w:pos="67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License(s) pursuant to License Agreement, dated December 13, 2013, by and between Lonza Sales AG and Emergent Product Development Seattle, LLC </w:t>
      </w:r>
      <w:r>
        <w:rPr>
          <w:rFonts w:ascii="Arial" w:cs="Arial" w:eastAsia="Arial" w:hAnsi="Arial"/>
          <w:sz w:val="14"/>
          <w:szCs w:val="14"/>
          <w:i w:val="1"/>
          <w:iCs w:val="1"/>
          <w:color w:val="auto"/>
        </w:rPr>
        <w:t>Is there a restriction on a right to grant a lien? NO</w:t>
      </w:r>
    </w:p>
    <w:p>
      <w:pPr>
        <w:spacing w:after="0" w:line="1" w:lineRule="exact"/>
        <w:rPr>
          <w:rFonts w:ascii="Arial" w:cs="Arial" w:eastAsia="Arial" w:hAnsi="Arial"/>
          <w:sz w:val="14"/>
          <w:szCs w:val="14"/>
          <w:b w:val="1"/>
          <w:bCs w:val="1"/>
          <w:color w:val="auto"/>
        </w:rPr>
      </w:pPr>
    </w:p>
    <w:p>
      <w:pPr>
        <w:ind w:left="240"/>
        <w:spacing w:after="0"/>
        <w:rPr>
          <w:rFonts w:ascii="Arial" w:cs="Arial" w:eastAsia="Arial" w:hAnsi="Arial"/>
          <w:sz w:val="14"/>
          <w:szCs w:val="14"/>
          <w:b w:val="1"/>
          <w:bCs w:val="1"/>
          <w:color w:val="auto"/>
        </w:rPr>
      </w:pPr>
      <w:r>
        <w:rPr>
          <w:rFonts w:ascii="Arial" w:cs="Arial" w:eastAsia="Arial" w:hAnsi="Arial"/>
          <w:sz w:val="14"/>
          <w:szCs w:val="14"/>
          <w:i w:val="1"/>
          <w:iCs w:val="1"/>
          <w:color w:val="auto"/>
        </w:rPr>
        <w:t>Is there a restriction on a right to assign? NO, provided prior written consent</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48" w:name="page249"/>
    <w:bookmarkEnd w:id="248"/>
    <w:p>
      <w:pPr>
        <w:ind w:left="240"/>
        <w:spacing w:after="0"/>
        <w:rPr>
          <w:sz w:val="20"/>
          <w:szCs w:val="20"/>
          <w:color w:val="auto"/>
        </w:rPr>
      </w:pPr>
      <w:r>
        <w:rPr>
          <w:rFonts w:ascii="Arial" w:cs="Arial" w:eastAsia="Arial" w:hAnsi="Arial"/>
          <w:sz w:val="14"/>
          <w:szCs w:val="14"/>
          <w:i w:val="1"/>
          <w:iCs w:val="1"/>
          <w:color w:val="auto"/>
        </w:rPr>
        <w:t>Is there a restriction on a right to sublicense? NO, provided written consent</w:t>
      </w:r>
    </w:p>
    <w:p>
      <w:pPr>
        <w:spacing w:after="0" w:line="150" w:lineRule="exact"/>
        <w:rPr>
          <w:sz w:val="20"/>
          <w:szCs w:val="20"/>
          <w:color w:val="auto"/>
        </w:rPr>
      </w:pPr>
    </w:p>
    <w:p>
      <w:pPr>
        <w:ind w:left="680" w:right="80" w:hanging="436"/>
        <w:spacing w:after="0" w:line="253" w:lineRule="auto"/>
        <w:tabs>
          <w:tab w:leader="none" w:pos="680" w:val="left"/>
        </w:tabs>
        <w:numPr>
          <w:ilvl w:val="0"/>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Amended and Restated License Agreement, dated as of November 28, 2008, by and between Cangene Corporation (as successor-in-interest to Inspiration Biopharmaceuticals, Inc.) and The University of North Carolina at Chapel Hill, as amended on June 14, 2012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grant a lien? 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assign?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NO, provided written consent Is there a</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restriction on a right to sublicense? 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provided notification</w:t>
      </w:r>
    </w:p>
    <w:p>
      <w:pPr>
        <w:spacing w:after="0" w:line="157" w:lineRule="exact"/>
        <w:rPr>
          <w:sz w:val="20"/>
          <w:szCs w:val="20"/>
          <w:color w:val="auto"/>
        </w:rPr>
      </w:pPr>
    </w:p>
    <w:p>
      <w:pPr>
        <w:ind w:left="680" w:hanging="436"/>
        <w:spacing w:after="0" w:line="253" w:lineRule="auto"/>
        <w:tabs>
          <w:tab w:leader="none" w:pos="680" w:val="left"/>
        </w:tabs>
        <w:numPr>
          <w:ilvl w:val="0"/>
          <w:numId w:val="90"/>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Life Technologies DG44 Commercial Production License Agreement, dated July 28, 2016, by and between Life Techonologies Corporation and Emergent BioSolutions Inc. (the “DG44 License Agreement”)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grant a lien? 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assign? NO, provided prior written approval</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sublicense? YES, third party obtains a separate commercial license from LIFE</w:t>
      </w:r>
    </w:p>
    <w:p>
      <w:pPr>
        <w:spacing w:after="0" w:line="253" w:lineRule="exact"/>
        <w:rPr>
          <w:sz w:val="20"/>
          <w:szCs w:val="20"/>
          <w:color w:val="auto"/>
        </w:rPr>
      </w:pPr>
    </w:p>
    <w:p>
      <w:pPr>
        <w:ind w:left="240" w:right="580" w:firstLine="4"/>
        <w:spacing w:after="0" w:line="260" w:lineRule="auto"/>
        <w:tabs>
          <w:tab w:leader="none" w:pos="67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License(s) pursuant to Research Evaluation Agreement, dated December 10, 2003, by and between Lonza Biologics PLC and Trubion Pharmaceuticals, Inc. </w:t>
      </w:r>
      <w:r>
        <w:rPr>
          <w:rFonts w:ascii="Arial" w:cs="Arial" w:eastAsia="Arial" w:hAnsi="Arial"/>
          <w:sz w:val="14"/>
          <w:szCs w:val="14"/>
          <w:i w:val="1"/>
          <w:iCs w:val="1"/>
          <w:color w:val="auto"/>
        </w:rPr>
        <w:t>Is there a restriction on a right to grant a lien? NO</w:t>
      </w:r>
    </w:p>
    <w:p>
      <w:pPr>
        <w:spacing w:after="0" w:line="1" w:lineRule="exact"/>
        <w:rPr>
          <w:rFonts w:ascii="Arial" w:cs="Arial" w:eastAsia="Arial" w:hAnsi="Arial"/>
          <w:sz w:val="14"/>
          <w:szCs w:val="14"/>
          <w:b w:val="1"/>
          <w:bCs w:val="1"/>
          <w:color w:val="auto"/>
        </w:rPr>
      </w:pPr>
    </w:p>
    <w:p>
      <w:pPr>
        <w:ind w:left="240" w:right="7300"/>
        <w:spacing w:after="0" w:line="246" w:lineRule="auto"/>
        <w:rPr>
          <w:rFonts w:ascii="Arial" w:cs="Arial" w:eastAsia="Arial" w:hAnsi="Arial"/>
          <w:sz w:val="14"/>
          <w:szCs w:val="14"/>
          <w:b w:val="1"/>
          <w:bCs w:val="1"/>
          <w:color w:val="auto"/>
        </w:rPr>
      </w:pPr>
      <w:r>
        <w:rPr>
          <w:rFonts w:ascii="Arial" w:cs="Arial" w:eastAsia="Arial" w:hAnsi="Arial"/>
          <w:sz w:val="14"/>
          <w:szCs w:val="14"/>
          <w:i w:val="1"/>
          <w:iCs w:val="1"/>
          <w:color w:val="auto"/>
        </w:rPr>
        <w:t>Is there a restriction on a right to assign? NO, provided prior written consent Is there a restriction on a right to sublicense? YES</w:t>
      </w:r>
    </w:p>
    <w:p>
      <w:pPr>
        <w:spacing w:after="0" w:line="147" w:lineRule="exact"/>
        <w:rPr>
          <w:rFonts w:ascii="Arial" w:cs="Arial" w:eastAsia="Arial" w:hAnsi="Arial"/>
          <w:sz w:val="14"/>
          <w:szCs w:val="14"/>
          <w:b w:val="1"/>
          <w:bCs w:val="1"/>
          <w:color w:val="auto"/>
        </w:rPr>
      </w:pPr>
    </w:p>
    <w:p>
      <w:pPr>
        <w:ind w:left="680" w:right="1300" w:hanging="436"/>
        <w:spacing w:after="0" w:line="274" w:lineRule="auto"/>
        <w:tabs>
          <w:tab w:leader="none" w:pos="680" w:val="left"/>
        </w:tabs>
        <w:numPr>
          <w:ilvl w:val="0"/>
          <w:numId w:val="91"/>
        </w:numPr>
        <w:rPr>
          <w:rFonts w:ascii="Arial" w:cs="Arial" w:eastAsia="Arial" w:hAnsi="Arial"/>
          <w:sz w:val="14"/>
          <w:szCs w:val="14"/>
          <w:b w:val="1"/>
          <w:bCs w:val="1"/>
          <w:color w:val="auto"/>
        </w:rPr>
      </w:pPr>
      <w:r>
        <w:rPr>
          <w:rFonts w:ascii="Arial" w:cs="Arial" w:eastAsia="Arial" w:hAnsi="Arial"/>
          <w:sz w:val="14"/>
          <w:szCs w:val="14"/>
          <w:b w:val="1"/>
          <w:bCs w:val="1"/>
          <w:color w:val="auto"/>
        </w:rPr>
        <w:t>License(s) pursuant to Distributed Bio, dated March 14, 2016, by and between Distributed Bio Inc. and Emergent Product Development Seattle LLC.</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grant a lien? NO</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Is there a restriction on a right to assign? NO,</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provided prior written consent Is there a restriction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on a right to sublicense? NO</w:t>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[Schedule 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420"/>
          </w:cols>
          <w:pgMar w:left="240" w:top="299" w:right="1239" w:bottom="1440" w:gutter="0" w:footer="0" w:header="0"/>
        </w:sectPr>
      </w:pPr>
    </w:p>
    <w:bookmarkStart w:id="249" w:name="page250"/>
    <w:bookmarkEnd w:id="249"/>
    <w:p>
      <w:pPr>
        <w:jc w:val="right"/>
        <w:ind w:right="4159"/>
        <w:spacing w:after="0"/>
        <w:rPr>
          <w:sz w:val="20"/>
          <w:szCs w:val="20"/>
          <w:color w:val="auto"/>
        </w:rPr>
      </w:pPr>
      <w:r>
        <w:rPr>
          <w:rFonts w:ascii="Arial" w:cs="Arial" w:eastAsia="Arial" w:hAnsi="Arial"/>
          <w:sz w:val="15"/>
          <w:szCs w:val="15"/>
          <w:b w:val="1"/>
          <w:bCs w:val="1"/>
          <w:color w:val="auto"/>
        </w:rPr>
        <w:t>Schedule 4.9 – Litigation, Governmental Proceedings and Other Notice Events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4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0" w:name="page251"/>
    <w:bookmarkEnd w:id="250"/>
    <w:p>
      <w:pPr>
        <w:jc w:val="right"/>
        <w:ind w:right="4299"/>
        <w:spacing w:after="0"/>
        <w:rPr>
          <w:sz w:val="20"/>
          <w:szCs w:val="20"/>
          <w:color w:val="auto"/>
        </w:rPr>
      </w:pPr>
      <w:r>
        <w:rPr>
          <w:rFonts w:ascii="Arial" w:cs="Arial" w:eastAsia="Arial" w:hAnsi="Arial"/>
          <w:sz w:val="15"/>
          <w:szCs w:val="15"/>
          <w:b w:val="1"/>
          <w:bCs w:val="1"/>
          <w:color w:val="auto"/>
        </w:rPr>
        <w:t>Schedule 5.1 – Debt; Contingent Obligations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1" w:name="page252"/>
    <w:bookmarkEnd w:id="251"/>
    <w:p>
      <w:pPr>
        <w:jc w:val="right"/>
        <w:ind w:right="3839"/>
        <w:spacing w:after="0"/>
        <w:rPr>
          <w:sz w:val="20"/>
          <w:szCs w:val="20"/>
          <w:color w:val="auto"/>
        </w:rPr>
      </w:pPr>
      <w:r>
        <w:rPr>
          <w:rFonts w:ascii="Arial" w:cs="Arial" w:eastAsia="Arial" w:hAnsi="Arial"/>
          <w:sz w:val="15"/>
          <w:szCs w:val="15"/>
          <w:b w:val="1"/>
          <w:bCs w:val="1"/>
          <w:color w:val="auto"/>
        </w:rPr>
        <w:t>Schedule 5.2 – Liens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2" w:name="page253"/>
    <w:bookmarkEnd w:id="252"/>
    <w:p>
      <w:pPr>
        <w:jc w:val="right"/>
        <w:ind w:right="4339"/>
        <w:spacing w:after="0"/>
        <w:rPr>
          <w:sz w:val="20"/>
          <w:szCs w:val="20"/>
          <w:color w:val="auto"/>
        </w:rPr>
      </w:pPr>
      <w:r>
        <w:rPr>
          <w:rFonts w:ascii="Arial" w:cs="Arial" w:eastAsia="Arial" w:hAnsi="Arial"/>
          <w:sz w:val="15"/>
          <w:szCs w:val="15"/>
          <w:b w:val="1"/>
          <w:bCs w:val="1"/>
          <w:color w:val="auto"/>
        </w:rPr>
        <w:t>Schedule 5.7 – Permitted Investments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3" w:name="page254"/>
    <w:bookmarkEnd w:id="253"/>
    <w:p>
      <w:pPr>
        <w:jc w:val="right"/>
        <w:ind w:right="4359"/>
        <w:spacing w:after="0"/>
        <w:rPr>
          <w:sz w:val="20"/>
          <w:szCs w:val="20"/>
          <w:color w:val="auto"/>
        </w:rPr>
      </w:pPr>
      <w:r>
        <w:rPr>
          <w:rFonts w:ascii="Arial" w:cs="Arial" w:eastAsia="Arial" w:hAnsi="Arial"/>
          <w:sz w:val="15"/>
          <w:szCs w:val="15"/>
          <w:b w:val="1"/>
          <w:bCs w:val="1"/>
          <w:color w:val="auto"/>
        </w:rPr>
        <w:t>Schedule 5.8 – Affiliate Transactions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[Schedule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4" w:name="page255"/>
    <w:bookmarkEnd w:id="254"/>
    <w:p>
      <w:pPr>
        <w:ind w:left="3480"/>
        <w:spacing w:after="0"/>
        <w:rPr>
          <w:sz w:val="20"/>
          <w:szCs w:val="20"/>
          <w:color w:val="auto"/>
        </w:rPr>
      </w:pPr>
      <w:r>
        <w:rPr>
          <w:rFonts w:ascii="Arial" w:cs="Arial" w:eastAsia="Arial" w:hAnsi="Arial"/>
          <w:sz w:val="15"/>
          <w:szCs w:val="15"/>
          <w:b w:val="1"/>
          <w:bCs w:val="1"/>
          <w:color w:val="auto"/>
        </w:rPr>
        <w:t>Schedule 5.11 – Business Description</w:t>
      </w:r>
    </w:p>
    <w:p>
      <w:pPr>
        <w:spacing w:after="0" w:line="175" w:lineRule="exact"/>
        <w:rPr>
          <w:sz w:val="20"/>
          <w:szCs w:val="20"/>
          <w:color w:val="auto"/>
        </w:rPr>
      </w:pPr>
    </w:p>
    <w:p>
      <w:pPr>
        <w:jc w:val="both"/>
        <w:ind w:left="160" w:firstLine="827"/>
        <w:spacing w:after="0" w:line="280" w:lineRule="auto"/>
        <w:rPr>
          <w:sz w:val="20"/>
          <w:szCs w:val="20"/>
          <w:color w:val="auto"/>
        </w:rPr>
      </w:pPr>
      <w:r>
        <w:rPr>
          <w:rFonts w:ascii="Arial" w:cs="Arial" w:eastAsia="Arial" w:hAnsi="Arial"/>
          <w:sz w:val="14"/>
          <w:szCs w:val="14"/>
          <w:color w:val="auto"/>
        </w:rPr>
        <w:t>Aptevo Therapeutics Inc. (Aptevo, we, us, or the Company) is a biotechnology company focused on novel oncology (cancer) and hematology (blood disease) therapeutics to meaningfully improve patients’ lives. Our core technology is the ADAPTIR (modular protein technology) platform. We currently have one revenue-generating product in the area of hematology, IXINITY, as well as various investigational stage product candidates in the area of immuno-oncology and autoimmune and inflammatory diseases.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[Schedule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80"/>
          </w:cols>
          <w:pgMar w:left="240" w:top="159" w:right="379" w:bottom="1440" w:gutter="0" w:footer="0" w:header="0"/>
        </w:sectPr>
      </w:pPr>
    </w:p>
    <w:bookmarkStart w:id="255" w:name="page256"/>
    <w:bookmarkEnd w:id="255"/>
    <w:p>
      <w:pPr>
        <w:ind w:left="2200"/>
        <w:spacing w:after="0"/>
        <w:rPr>
          <w:sz w:val="20"/>
          <w:szCs w:val="20"/>
          <w:color w:val="auto"/>
        </w:rPr>
      </w:pPr>
      <w:r>
        <w:rPr>
          <w:rFonts w:ascii="Arial" w:cs="Arial" w:eastAsia="Arial" w:hAnsi="Arial"/>
          <w:sz w:val="13"/>
          <w:szCs w:val="13"/>
          <w:b w:val="1"/>
          <w:bCs w:val="1"/>
          <w:color w:val="auto"/>
        </w:rPr>
        <w:t>Schedule 5.14 – Deposit Accounts and Securities Accounts</w:t>
      </w:r>
    </w:p>
    <w:p>
      <w:pPr>
        <w:spacing w:after="0" w:line="174" w:lineRule="exact"/>
        <w:rPr>
          <w:sz w:val="20"/>
          <w:szCs w:val="20"/>
          <w:color w:val="auto"/>
        </w:rPr>
      </w:pPr>
    </w:p>
    <w:tbl>
      <w:tblPr>
        <w:tblLayout w:type="fixed"/>
        <w:tblInd w:w="130" w:type="dxa"/>
        <w:tblCellMar>
          <w:top w:w="0" w:type="dxa"/>
          <w:left w:w="0" w:type="dxa"/>
          <w:bottom w:w="0" w:type="dxa"/>
          <w:right w:w="0" w:type="dxa"/>
        </w:tblCellMar>
      </w:tblPr>
      <w:tr>
        <w:trPr>
          <w:trHeight w:val="171"/>
        </w:trPr>
        <w:tc>
          <w:tcPr>
            <w:tcW w:w="1320" w:type="dxa"/>
            <w:vAlign w:val="bottom"/>
            <w:tcBorders>
              <w:top w:val="single" w:sz="8" w:color="auto"/>
              <w:left w:val="single" w:sz="8" w:color="auto"/>
              <w:right w:val="single" w:sz="8" w:color="auto"/>
            </w:tcBorders>
            <w:shd w:val="clear" w:color="auto" w:fill="FFC000"/>
          </w:tcPr>
          <w:p>
            <w:pPr>
              <w:ind w:left="100"/>
              <w:spacing w:after="0"/>
              <w:rPr>
                <w:sz w:val="20"/>
                <w:szCs w:val="20"/>
                <w:color w:val="auto"/>
              </w:rPr>
            </w:pPr>
            <w:r>
              <w:rPr>
                <w:rFonts w:ascii="Arial" w:cs="Arial" w:eastAsia="Arial" w:hAnsi="Arial"/>
                <w:sz w:val="14"/>
                <w:szCs w:val="14"/>
                <w:color w:val="auto"/>
              </w:rPr>
              <w:t>Bank Name</w:t>
            </w:r>
          </w:p>
        </w:tc>
        <w:tc>
          <w:tcPr>
            <w:tcW w:w="800" w:type="dxa"/>
            <w:vAlign w:val="bottom"/>
            <w:tcBorders>
              <w:top w:val="single" w:sz="8" w:color="auto"/>
              <w:right w:val="single" w:sz="8" w:color="auto"/>
            </w:tcBorders>
            <w:shd w:val="clear" w:color="auto" w:fill="FFC000"/>
          </w:tcPr>
          <w:p>
            <w:pPr>
              <w:ind w:left="80"/>
              <w:spacing w:after="0"/>
              <w:rPr>
                <w:sz w:val="20"/>
                <w:szCs w:val="20"/>
                <w:color w:val="auto"/>
              </w:rPr>
            </w:pPr>
            <w:r>
              <w:rPr>
                <w:rFonts w:ascii="Arial" w:cs="Arial" w:eastAsia="Arial" w:hAnsi="Arial"/>
                <w:sz w:val="14"/>
                <w:szCs w:val="14"/>
                <w:color w:val="auto"/>
              </w:rPr>
              <w:t>Account</w:t>
            </w:r>
          </w:p>
        </w:tc>
        <w:tc>
          <w:tcPr>
            <w:tcW w:w="1280" w:type="dxa"/>
            <w:vAlign w:val="bottom"/>
            <w:tcBorders>
              <w:top w:val="single" w:sz="8" w:color="auto"/>
              <w:right w:val="single" w:sz="8" w:color="auto"/>
            </w:tcBorders>
            <w:shd w:val="clear" w:color="auto" w:fill="FFC000"/>
          </w:tcPr>
          <w:p>
            <w:pPr>
              <w:ind w:left="60"/>
              <w:spacing w:after="0"/>
              <w:rPr>
                <w:sz w:val="20"/>
                <w:szCs w:val="20"/>
                <w:color w:val="auto"/>
              </w:rPr>
            </w:pPr>
            <w:r>
              <w:rPr>
                <w:rFonts w:ascii="Arial" w:cs="Arial" w:eastAsia="Arial" w:hAnsi="Arial"/>
                <w:sz w:val="14"/>
                <w:szCs w:val="14"/>
                <w:color w:val="auto"/>
              </w:rPr>
              <w:t>Account Type</w:t>
            </w:r>
          </w:p>
        </w:tc>
        <w:tc>
          <w:tcPr>
            <w:tcW w:w="1160" w:type="dxa"/>
            <w:vAlign w:val="bottom"/>
            <w:tcBorders>
              <w:top w:val="single" w:sz="8" w:color="auto"/>
              <w:right w:val="single" w:sz="8" w:color="auto"/>
            </w:tcBorders>
            <w:gridSpan w:val="2"/>
            <w:shd w:val="clear" w:color="auto" w:fill="FFC000"/>
          </w:tcPr>
          <w:p>
            <w:pPr>
              <w:ind w:left="80"/>
              <w:spacing w:after="0"/>
              <w:rPr>
                <w:sz w:val="20"/>
                <w:szCs w:val="20"/>
                <w:color w:val="auto"/>
              </w:rPr>
            </w:pPr>
            <w:r>
              <w:rPr>
                <w:rFonts w:ascii="Arial" w:cs="Arial" w:eastAsia="Arial" w:hAnsi="Arial"/>
                <w:sz w:val="14"/>
                <w:szCs w:val="14"/>
                <w:color w:val="auto"/>
              </w:rPr>
              <w:t>Branch Address</w:t>
            </w:r>
          </w:p>
        </w:tc>
        <w:tc>
          <w:tcPr>
            <w:tcW w:w="1460" w:type="dxa"/>
            <w:vAlign w:val="bottom"/>
            <w:tcBorders>
              <w:top w:val="single" w:sz="8" w:color="auto"/>
              <w:right w:val="single" w:sz="8" w:color="auto"/>
            </w:tcBorders>
            <w:shd w:val="clear" w:color="auto" w:fill="FFC000"/>
          </w:tcPr>
          <w:p>
            <w:pPr>
              <w:ind w:left="80"/>
              <w:spacing w:after="0"/>
              <w:rPr>
                <w:sz w:val="20"/>
                <w:szCs w:val="20"/>
                <w:color w:val="auto"/>
              </w:rPr>
            </w:pPr>
            <w:r>
              <w:rPr>
                <w:rFonts w:ascii="Arial" w:cs="Arial" w:eastAsia="Arial" w:hAnsi="Arial"/>
                <w:sz w:val="14"/>
                <w:szCs w:val="14"/>
                <w:color w:val="auto"/>
              </w:rPr>
              <w:t>NameofBorrower</w:t>
            </w:r>
          </w:p>
        </w:tc>
      </w:tr>
      <w:tr>
        <w:trPr>
          <w:trHeight w:val="179"/>
        </w:trPr>
        <w:tc>
          <w:tcPr>
            <w:tcW w:w="1320" w:type="dxa"/>
            <w:vAlign w:val="bottom"/>
            <w:tcBorders>
              <w:left w:val="single" w:sz="8" w:color="auto"/>
              <w:right w:val="single" w:sz="8" w:color="auto"/>
            </w:tcBorders>
            <w:shd w:val="clear" w:color="auto" w:fill="FFC000"/>
          </w:tcPr>
          <w:p>
            <w:pPr>
              <w:spacing w:after="0"/>
              <w:rPr>
                <w:sz w:val="15"/>
                <w:szCs w:val="15"/>
                <w:color w:val="auto"/>
              </w:rPr>
            </w:pPr>
          </w:p>
        </w:tc>
        <w:tc>
          <w:tcPr>
            <w:tcW w:w="800" w:type="dxa"/>
            <w:vAlign w:val="bottom"/>
            <w:tcBorders>
              <w:right w:val="single" w:sz="8" w:color="auto"/>
            </w:tcBorders>
            <w:shd w:val="clear" w:color="auto" w:fill="FFC000"/>
          </w:tcPr>
          <w:p>
            <w:pPr>
              <w:ind w:left="80"/>
              <w:spacing w:after="0"/>
              <w:rPr>
                <w:sz w:val="20"/>
                <w:szCs w:val="20"/>
                <w:color w:val="auto"/>
              </w:rPr>
            </w:pPr>
            <w:r>
              <w:rPr>
                <w:rFonts w:ascii="Arial" w:cs="Arial" w:eastAsia="Arial" w:hAnsi="Arial"/>
                <w:sz w:val="14"/>
                <w:szCs w:val="14"/>
                <w:color w:val="auto"/>
              </w:rPr>
              <w:t>Number</w:t>
            </w:r>
          </w:p>
        </w:tc>
        <w:tc>
          <w:tcPr>
            <w:tcW w:w="1280" w:type="dxa"/>
            <w:vAlign w:val="bottom"/>
            <w:tcBorders>
              <w:right w:val="single" w:sz="8" w:color="auto"/>
            </w:tcBorders>
            <w:shd w:val="clear" w:color="auto" w:fill="FFC000"/>
          </w:tcPr>
          <w:p>
            <w:pPr>
              <w:spacing w:after="0"/>
              <w:rPr>
                <w:sz w:val="15"/>
                <w:szCs w:val="15"/>
                <w:color w:val="auto"/>
              </w:rPr>
            </w:pPr>
          </w:p>
        </w:tc>
        <w:tc>
          <w:tcPr>
            <w:tcW w:w="280" w:type="dxa"/>
            <w:vAlign w:val="bottom"/>
            <w:shd w:val="clear" w:color="auto" w:fill="FFC000"/>
          </w:tcPr>
          <w:p>
            <w:pPr>
              <w:spacing w:after="0"/>
              <w:rPr>
                <w:sz w:val="15"/>
                <w:szCs w:val="15"/>
                <w:color w:val="auto"/>
              </w:rPr>
            </w:pPr>
          </w:p>
        </w:tc>
        <w:tc>
          <w:tcPr>
            <w:tcW w:w="880" w:type="dxa"/>
            <w:vAlign w:val="bottom"/>
            <w:tcBorders>
              <w:right w:val="single" w:sz="8" w:color="auto"/>
            </w:tcBorders>
            <w:shd w:val="clear" w:color="auto" w:fill="FFC000"/>
          </w:tcPr>
          <w:p>
            <w:pPr>
              <w:spacing w:after="0"/>
              <w:rPr>
                <w:sz w:val="15"/>
                <w:szCs w:val="15"/>
                <w:color w:val="auto"/>
              </w:rPr>
            </w:pPr>
          </w:p>
        </w:tc>
        <w:tc>
          <w:tcPr>
            <w:tcW w:w="1460" w:type="dxa"/>
            <w:vAlign w:val="bottom"/>
            <w:tcBorders>
              <w:right w:val="single" w:sz="8" w:color="auto"/>
            </w:tcBorders>
            <w:shd w:val="clear" w:color="auto" w:fill="FFC000"/>
          </w:tcPr>
          <w:p>
            <w:pPr>
              <w:ind w:left="80"/>
              <w:spacing w:after="0"/>
              <w:rPr>
                <w:sz w:val="20"/>
                <w:szCs w:val="20"/>
                <w:color w:val="auto"/>
              </w:rPr>
            </w:pPr>
            <w:r>
              <w:rPr>
                <w:rFonts w:ascii="Arial" w:cs="Arial" w:eastAsia="Arial" w:hAnsi="Arial"/>
                <w:sz w:val="14"/>
                <w:szCs w:val="14"/>
                <w:color w:val="auto"/>
              </w:rPr>
              <w:t>Holding Account</w:t>
            </w:r>
          </w:p>
        </w:tc>
      </w:tr>
      <w:tr>
        <w:trPr>
          <w:trHeight w:val="70"/>
        </w:trPr>
        <w:tc>
          <w:tcPr>
            <w:tcW w:w="1320" w:type="dxa"/>
            <w:vAlign w:val="bottom"/>
            <w:tcBorders>
              <w:left w:val="single" w:sz="8" w:color="auto"/>
              <w:bottom w:val="single" w:sz="8" w:color="auto"/>
              <w:right w:val="single" w:sz="8" w:color="auto"/>
            </w:tcBorders>
            <w:shd w:val="clear" w:color="auto" w:fill="FFC000"/>
          </w:tcPr>
          <w:p>
            <w:pPr>
              <w:spacing w:after="0"/>
              <w:rPr>
                <w:sz w:val="6"/>
                <w:szCs w:val="6"/>
                <w:color w:val="auto"/>
              </w:rPr>
            </w:pPr>
          </w:p>
        </w:tc>
        <w:tc>
          <w:tcPr>
            <w:tcW w:w="800" w:type="dxa"/>
            <w:vAlign w:val="bottom"/>
            <w:tcBorders>
              <w:bottom w:val="single" w:sz="8" w:color="auto"/>
              <w:right w:val="single" w:sz="8" w:color="auto"/>
            </w:tcBorders>
            <w:shd w:val="clear" w:color="auto" w:fill="FFC000"/>
          </w:tcPr>
          <w:p>
            <w:pPr>
              <w:spacing w:after="0"/>
              <w:rPr>
                <w:sz w:val="6"/>
                <w:szCs w:val="6"/>
                <w:color w:val="auto"/>
              </w:rPr>
            </w:pPr>
          </w:p>
        </w:tc>
        <w:tc>
          <w:tcPr>
            <w:tcW w:w="1280" w:type="dxa"/>
            <w:vAlign w:val="bottom"/>
            <w:tcBorders>
              <w:bottom w:val="single" w:sz="8" w:color="auto"/>
              <w:right w:val="single" w:sz="8" w:color="auto"/>
            </w:tcBorders>
            <w:shd w:val="clear" w:color="auto" w:fill="FFC000"/>
          </w:tcPr>
          <w:p>
            <w:pPr>
              <w:spacing w:after="0"/>
              <w:rPr>
                <w:sz w:val="6"/>
                <w:szCs w:val="6"/>
                <w:color w:val="auto"/>
              </w:rPr>
            </w:pPr>
          </w:p>
        </w:tc>
        <w:tc>
          <w:tcPr>
            <w:tcW w:w="280" w:type="dxa"/>
            <w:vAlign w:val="bottom"/>
            <w:tcBorders>
              <w:bottom w:val="single" w:sz="8" w:color="auto"/>
            </w:tcBorders>
            <w:shd w:val="clear" w:color="auto" w:fill="FFC000"/>
          </w:tcPr>
          <w:p>
            <w:pPr>
              <w:spacing w:after="0"/>
              <w:rPr>
                <w:sz w:val="6"/>
                <w:szCs w:val="6"/>
                <w:color w:val="auto"/>
              </w:rPr>
            </w:pPr>
          </w:p>
        </w:tc>
        <w:tc>
          <w:tcPr>
            <w:tcW w:w="880" w:type="dxa"/>
            <w:vAlign w:val="bottom"/>
            <w:tcBorders>
              <w:bottom w:val="single" w:sz="8" w:color="auto"/>
              <w:right w:val="single" w:sz="8" w:color="auto"/>
            </w:tcBorders>
            <w:shd w:val="clear" w:color="auto" w:fill="FFC000"/>
          </w:tcPr>
          <w:p>
            <w:pPr>
              <w:spacing w:after="0"/>
              <w:rPr>
                <w:sz w:val="6"/>
                <w:szCs w:val="6"/>
                <w:color w:val="auto"/>
              </w:rPr>
            </w:pPr>
          </w:p>
        </w:tc>
        <w:tc>
          <w:tcPr>
            <w:tcW w:w="1460" w:type="dxa"/>
            <w:vAlign w:val="bottom"/>
            <w:tcBorders>
              <w:bottom w:val="single" w:sz="8" w:color="auto"/>
              <w:right w:val="single" w:sz="8" w:color="auto"/>
            </w:tcBorders>
            <w:shd w:val="clear" w:color="auto" w:fill="FFC000"/>
          </w:tcPr>
          <w:p>
            <w:pPr>
              <w:spacing w:after="0"/>
              <w:rPr>
                <w:sz w:val="6"/>
                <w:szCs w:val="6"/>
                <w:color w:val="auto"/>
              </w:rPr>
            </w:pPr>
          </w:p>
        </w:tc>
      </w:tr>
      <w:tr>
        <w:trPr>
          <w:trHeight w:val="142"/>
        </w:trPr>
        <w:tc>
          <w:tcPr>
            <w:tcW w:w="132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color w:val="auto"/>
                <w:w w:val="89"/>
              </w:rPr>
              <w:t>4106074107</w:t>
            </w:r>
          </w:p>
        </w:tc>
        <w:tc>
          <w:tcPr>
            <w:tcW w:w="128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Holding</w:t>
            </w:r>
          </w:p>
        </w:tc>
        <w:tc>
          <w:tcPr>
            <w:tcW w:w="280" w:type="dxa"/>
            <w:vAlign w:val="bottom"/>
          </w:tcPr>
          <w:p>
            <w:pPr>
              <w:ind w:left="60"/>
              <w:spacing w:after="0" w:line="143"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4"/>
                <w:szCs w:val="14"/>
                <w:color w:val="auto"/>
              </w:rPr>
              <w:t>3</w:t>
            </w:r>
            <w:r>
              <w:rPr>
                <w:rFonts w:ascii="Arial" w:cs="Arial" w:eastAsia="Arial" w:hAnsi="Arial"/>
                <w:sz w:val="11"/>
                <w:szCs w:val="11"/>
                <w:color w:val="auto"/>
              </w:rPr>
              <w:t>rd</w:t>
            </w:r>
            <w:r>
              <w:rPr>
                <w:rFonts w:ascii="Arial" w:cs="Arial" w:eastAsia="Arial" w:hAnsi="Arial"/>
                <w:sz w:val="14"/>
                <w:szCs w:val="14"/>
                <w:color w:val="auto"/>
              </w:rPr>
              <w:t xml:space="preserve"> Ave</w:t>
            </w:r>
          </w:p>
        </w:tc>
        <w:tc>
          <w:tcPr>
            <w:tcW w:w="146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color w:val="auto"/>
              </w:rPr>
              <w:t>Aptevo Therapeutics</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w:t>
            </w:r>
          </w:p>
        </w:tc>
      </w:tr>
      <w:tr>
        <w:trPr>
          <w:trHeight w:val="53"/>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r>
      <w:tr>
        <w:trPr>
          <w:trHeight w:val="142"/>
        </w:trPr>
        <w:tc>
          <w:tcPr>
            <w:tcW w:w="1320" w:type="dxa"/>
            <w:vAlign w:val="bottom"/>
            <w:tcBorders>
              <w:left w:val="single" w:sz="8" w:color="auto"/>
              <w:right w:val="single" w:sz="8" w:color="auto"/>
            </w:tcBorders>
          </w:tcPr>
          <w:p>
            <w:pPr>
              <w:ind w:left="80"/>
              <w:spacing w:after="0" w:line="143"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color w:val="auto"/>
                <w:w w:val="89"/>
              </w:rPr>
              <w:t>4106074115</w:t>
            </w:r>
          </w:p>
        </w:tc>
        <w:tc>
          <w:tcPr>
            <w:tcW w:w="128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Operating</w:t>
            </w:r>
          </w:p>
        </w:tc>
        <w:tc>
          <w:tcPr>
            <w:tcW w:w="280" w:type="dxa"/>
            <w:vAlign w:val="bottom"/>
          </w:tcPr>
          <w:p>
            <w:pPr>
              <w:ind w:left="60"/>
              <w:spacing w:after="0" w:line="143"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4"/>
                <w:szCs w:val="14"/>
                <w:color w:val="auto"/>
              </w:rPr>
              <w:t>3</w:t>
            </w:r>
            <w:r>
              <w:rPr>
                <w:rFonts w:ascii="Arial" w:cs="Arial" w:eastAsia="Arial" w:hAnsi="Arial"/>
                <w:sz w:val="11"/>
                <w:szCs w:val="11"/>
                <w:color w:val="auto"/>
              </w:rPr>
              <w:t>rd</w:t>
            </w:r>
            <w:r>
              <w:rPr>
                <w:rFonts w:ascii="Arial" w:cs="Arial" w:eastAsia="Arial" w:hAnsi="Arial"/>
                <w:sz w:val="14"/>
                <w:szCs w:val="14"/>
                <w:color w:val="auto"/>
              </w:rPr>
              <w:t xml:space="preserve"> Ave</w:t>
            </w:r>
          </w:p>
        </w:tc>
        <w:tc>
          <w:tcPr>
            <w:tcW w:w="146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4"/>
                <w:szCs w:val="14"/>
                <w:color w:val="auto"/>
              </w:rPr>
              <w:t>Aptevo Therapeutics</w:t>
            </w:r>
          </w:p>
        </w:tc>
      </w:tr>
      <w:tr>
        <w:trPr>
          <w:trHeight w:val="204"/>
        </w:trPr>
        <w:tc>
          <w:tcPr>
            <w:tcW w:w="132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w:t>
            </w:r>
          </w:p>
        </w:tc>
      </w:tr>
      <w:tr>
        <w:trPr>
          <w:trHeight w:val="53"/>
        </w:trPr>
        <w:tc>
          <w:tcPr>
            <w:tcW w:w="1320" w:type="dxa"/>
            <w:vAlign w:val="bottom"/>
            <w:tcBorders>
              <w:left w:val="single" w:sz="8" w:color="auto"/>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r>
      <w:tr>
        <w:trPr>
          <w:trHeight w:val="139"/>
        </w:trPr>
        <w:tc>
          <w:tcPr>
            <w:tcW w:w="132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w w:val="89"/>
              </w:rPr>
              <w:t>4419053285</w:t>
            </w:r>
          </w:p>
        </w:tc>
        <w:tc>
          <w:tcPr>
            <w:tcW w:w="128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Operating</w:t>
            </w:r>
          </w:p>
        </w:tc>
        <w:tc>
          <w:tcPr>
            <w:tcW w:w="280" w:type="dxa"/>
            <w:vAlign w:val="bottom"/>
          </w:tcPr>
          <w:p>
            <w:pPr>
              <w:ind w:left="60"/>
              <w:spacing w:after="0" w:line="139"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3</w:t>
            </w:r>
            <w:r>
              <w:rPr>
                <w:rFonts w:ascii="Arial" w:cs="Arial" w:eastAsia="Arial" w:hAnsi="Arial"/>
                <w:sz w:val="11"/>
                <w:szCs w:val="11"/>
                <w:color w:val="auto"/>
              </w:rPr>
              <w:t>rd</w:t>
            </w:r>
            <w:r>
              <w:rPr>
                <w:rFonts w:ascii="Arial" w:cs="Arial" w:eastAsia="Arial" w:hAnsi="Arial"/>
                <w:sz w:val="14"/>
                <w:szCs w:val="14"/>
                <w:color w:val="auto"/>
              </w:rPr>
              <w:t xml:space="preserve"> Ave</w:t>
            </w:r>
          </w:p>
        </w:tc>
        <w:tc>
          <w:tcPr>
            <w:tcW w:w="146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Aptevo Research and</w:t>
            </w:r>
          </w:p>
        </w:tc>
      </w:tr>
      <w:tr>
        <w:trPr>
          <w:trHeight w:val="188"/>
        </w:trPr>
        <w:tc>
          <w:tcPr>
            <w:tcW w:w="13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Development LLC</w:t>
            </w: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r>
      <w:tr>
        <w:trPr>
          <w:trHeight w:val="139"/>
        </w:trPr>
        <w:tc>
          <w:tcPr>
            <w:tcW w:w="1320" w:type="dxa"/>
            <w:vAlign w:val="bottom"/>
            <w:tcBorders>
              <w:left w:val="single" w:sz="8" w:color="auto"/>
              <w:right w:val="single" w:sz="8" w:color="auto"/>
            </w:tcBorders>
          </w:tcPr>
          <w:p>
            <w:pPr>
              <w:ind w:left="80"/>
              <w:spacing w:after="0" w:line="139"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w w:val="89"/>
              </w:rPr>
              <w:t>4419053277</w:t>
            </w:r>
          </w:p>
        </w:tc>
        <w:tc>
          <w:tcPr>
            <w:tcW w:w="128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Operating</w:t>
            </w:r>
          </w:p>
        </w:tc>
        <w:tc>
          <w:tcPr>
            <w:tcW w:w="280" w:type="dxa"/>
            <w:vAlign w:val="bottom"/>
          </w:tcPr>
          <w:p>
            <w:pPr>
              <w:ind w:left="60"/>
              <w:spacing w:after="0" w:line="139"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3</w:t>
            </w:r>
            <w:r>
              <w:rPr>
                <w:rFonts w:ascii="Arial" w:cs="Arial" w:eastAsia="Arial" w:hAnsi="Arial"/>
                <w:sz w:val="11"/>
                <w:szCs w:val="11"/>
                <w:color w:val="auto"/>
              </w:rPr>
              <w:t>rd</w:t>
            </w:r>
            <w:r>
              <w:rPr>
                <w:rFonts w:ascii="Arial" w:cs="Arial" w:eastAsia="Arial" w:hAnsi="Arial"/>
                <w:sz w:val="14"/>
                <w:szCs w:val="14"/>
                <w:color w:val="auto"/>
              </w:rPr>
              <w:t xml:space="preserve"> Ave</w:t>
            </w:r>
          </w:p>
        </w:tc>
        <w:tc>
          <w:tcPr>
            <w:tcW w:w="146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Aptevo</w:t>
            </w:r>
          </w:p>
        </w:tc>
      </w:tr>
      <w:tr>
        <w:trPr>
          <w:trHeight w:val="188"/>
        </w:trPr>
        <w:tc>
          <w:tcPr>
            <w:tcW w:w="132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BioTherapeutics LLC</w:t>
            </w:r>
          </w:p>
        </w:tc>
      </w:tr>
      <w:tr>
        <w:trPr>
          <w:trHeight w:val="73"/>
        </w:trPr>
        <w:tc>
          <w:tcPr>
            <w:tcW w:w="1320" w:type="dxa"/>
            <w:vAlign w:val="bottom"/>
            <w:tcBorders>
              <w:left w:val="single" w:sz="8" w:color="auto"/>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r>
      <w:tr>
        <w:trPr>
          <w:trHeight w:val="151"/>
        </w:trPr>
        <w:tc>
          <w:tcPr>
            <w:tcW w:w="1320" w:type="dxa"/>
            <w:vAlign w:val="bottom"/>
            <w:tcBorders>
              <w:left w:val="single" w:sz="8" w:color="auto"/>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w w:val="89"/>
              </w:rPr>
              <w:t>4059551978</w:t>
            </w:r>
          </w:p>
        </w:tc>
        <w:tc>
          <w:tcPr>
            <w:tcW w:w="128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Corporate Card</w:t>
            </w:r>
          </w:p>
        </w:tc>
        <w:tc>
          <w:tcPr>
            <w:tcW w:w="280" w:type="dxa"/>
            <w:vAlign w:val="bottom"/>
          </w:tcPr>
          <w:p>
            <w:pPr>
              <w:ind w:left="60"/>
              <w:spacing w:after="0" w:line="151"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3rd Ave</w:t>
            </w:r>
          </w:p>
        </w:tc>
        <w:tc>
          <w:tcPr>
            <w:tcW w:w="146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rPr>
              <w:t>Aptevo Therapeutics</w:t>
            </w:r>
          </w:p>
        </w:tc>
      </w:tr>
      <w:tr>
        <w:trPr>
          <w:trHeight w:val="205"/>
        </w:trPr>
        <w:tc>
          <w:tcPr>
            <w:tcW w:w="132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Collateral Account</w:t>
            </w: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w:t>
            </w:r>
          </w:p>
        </w:tc>
      </w:tr>
      <w:tr>
        <w:trPr>
          <w:trHeight w:val="49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r>
        <w:trPr>
          <w:trHeight w:val="151"/>
        </w:trPr>
        <w:tc>
          <w:tcPr>
            <w:tcW w:w="1320" w:type="dxa"/>
            <w:vAlign w:val="bottom"/>
            <w:tcBorders>
              <w:left w:val="single" w:sz="8" w:color="auto"/>
              <w:right w:val="single" w:sz="8" w:color="auto"/>
            </w:tcBorders>
          </w:tcPr>
          <w:p>
            <w:pPr>
              <w:ind w:left="80"/>
              <w:spacing w:after="0" w:line="151" w:lineRule="exact"/>
              <w:rPr>
                <w:sz w:val="20"/>
                <w:szCs w:val="20"/>
                <w:color w:val="auto"/>
              </w:rPr>
            </w:pPr>
            <w:r>
              <w:rPr>
                <w:rFonts w:ascii="Arial" w:cs="Arial" w:eastAsia="Arial" w:hAnsi="Arial"/>
                <w:sz w:val="14"/>
                <w:szCs w:val="14"/>
                <w:color w:val="auto"/>
              </w:rPr>
              <w:t>Wells Fargo</w:t>
            </w:r>
          </w:p>
        </w:tc>
        <w:tc>
          <w:tcPr>
            <w:tcW w:w="80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rPr>
              <w:t>1BA97831</w:t>
            </w:r>
          </w:p>
        </w:tc>
        <w:tc>
          <w:tcPr>
            <w:tcW w:w="1280" w:type="dxa"/>
            <w:vAlign w:val="bottom"/>
            <w:tcBorders>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Money Market</w:t>
            </w:r>
          </w:p>
        </w:tc>
        <w:tc>
          <w:tcPr>
            <w:tcW w:w="280" w:type="dxa"/>
            <w:vAlign w:val="bottom"/>
          </w:tcPr>
          <w:p>
            <w:pPr>
              <w:ind w:left="60"/>
              <w:spacing w:after="0" w:line="151" w:lineRule="exact"/>
              <w:rPr>
                <w:sz w:val="20"/>
                <w:szCs w:val="20"/>
                <w:color w:val="auto"/>
              </w:rPr>
            </w:pPr>
            <w:r>
              <w:rPr>
                <w:rFonts w:ascii="Arial" w:cs="Arial" w:eastAsia="Arial" w:hAnsi="Arial"/>
                <w:sz w:val="14"/>
                <w:szCs w:val="14"/>
                <w:color w:val="auto"/>
                <w:w w:val="85"/>
              </w:rPr>
              <w:t>999</w:t>
            </w:r>
          </w:p>
        </w:tc>
        <w:tc>
          <w:tcPr>
            <w:tcW w:w="88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3rd Ave</w:t>
            </w:r>
          </w:p>
        </w:tc>
        <w:tc>
          <w:tcPr>
            <w:tcW w:w="1460" w:type="dxa"/>
            <w:vAlign w:val="bottom"/>
            <w:tcBorders>
              <w:right w:val="single" w:sz="8" w:color="auto"/>
            </w:tcBorders>
          </w:tcPr>
          <w:p>
            <w:pPr>
              <w:ind w:left="60"/>
              <w:spacing w:after="0" w:line="151" w:lineRule="exact"/>
              <w:rPr>
                <w:sz w:val="20"/>
                <w:szCs w:val="20"/>
                <w:color w:val="auto"/>
              </w:rPr>
            </w:pPr>
            <w:r>
              <w:rPr>
                <w:rFonts w:ascii="Arial" w:cs="Arial" w:eastAsia="Arial" w:hAnsi="Arial"/>
                <w:sz w:val="14"/>
                <w:szCs w:val="14"/>
                <w:color w:val="auto"/>
              </w:rPr>
              <w:t>Aptevo Therapeutics</w:t>
            </w:r>
          </w:p>
        </w:tc>
      </w:tr>
      <w:tr>
        <w:trPr>
          <w:trHeight w:val="205"/>
        </w:trPr>
        <w:tc>
          <w:tcPr>
            <w:tcW w:w="132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7"/>
              </w:rPr>
              <w:t>Investment Account</w:t>
            </w:r>
          </w:p>
        </w:tc>
        <w:tc>
          <w:tcPr>
            <w:tcW w:w="11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w w:val="90"/>
              </w:rPr>
              <w:t>Seattle, WA 98104</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Inc.</w:t>
            </w:r>
          </w:p>
        </w:tc>
      </w:tr>
      <w:tr>
        <w:trPr>
          <w:trHeight w:val="493"/>
        </w:trPr>
        <w:tc>
          <w:tcPr>
            <w:tcW w:w="132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159" w:right="1440" w:bottom="1440" w:gutter="0" w:footer="0" w:header="0"/>
        </w:sectPr>
      </w:pPr>
    </w:p>
    <w:bookmarkStart w:id="256" w:name="page257"/>
    <w:bookmarkEnd w:id="256"/>
    <w:p>
      <w:pPr>
        <w:ind w:left="1880"/>
        <w:spacing w:after="0"/>
        <w:rPr>
          <w:sz w:val="20"/>
          <w:szCs w:val="20"/>
          <w:color w:val="auto"/>
        </w:rPr>
      </w:pPr>
      <w:r>
        <w:rPr>
          <w:rFonts w:ascii="Arial" w:cs="Arial" w:eastAsia="Arial" w:hAnsi="Arial"/>
          <w:sz w:val="14"/>
          <w:szCs w:val="14"/>
          <w:b w:val="1"/>
          <w:bCs w:val="1"/>
          <w:color w:val="auto"/>
        </w:rPr>
        <w:t>Schedule 6.2 – Minimum Net Commercial Product Revenue Schedule</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60" w:type="dxa"/>
            <w:vAlign w:val="bottom"/>
            <w:tcBorders>
              <w:right w:val="single" w:sz="8" w:color="auto"/>
            </w:tcBorders>
          </w:tcPr>
          <w:p>
            <w:pPr>
              <w:spacing w:after="0"/>
              <w:rPr>
                <w:sz w:val="13"/>
                <w:szCs w:val="13"/>
                <w:color w:val="auto"/>
              </w:rPr>
            </w:pPr>
          </w:p>
        </w:tc>
        <w:tc>
          <w:tcPr>
            <w:tcW w:w="2640" w:type="dxa"/>
            <w:vAlign w:val="bottom"/>
            <w:tcBorders>
              <w:top w:val="single" w:sz="8" w:color="auto"/>
              <w:right w:val="single" w:sz="8" w:color="auto"/>
            </w:tcBorders>
          </w:tcPr>
          <w:p>
            <w:pPr>
              <w:jc w:val="right"/>
              <w:ind w:right="1210"/>
              <w:spacing w:after="0" w:line="159" w:lineRule="exact"/>
              <w:rPr>
                <w:sz w:val="20"/>
                <w:szCs w:val="20"/>
                <w:color w:val="auto"/>
              </w:rPr>
            </w:pPr>
            <w:r>
              <w:rPr>
                <w:rFonts w:ascii="Arial" w:cs="Arial" w:eastAsia="Arial" w:hAnsi="Arial"/>
                <w:sz w:val="14"/>
                <w:szCs w:val="14"/>
                <w:color w:val="auto"/>
                <w:w w:val="95"/>
              </w:rPr>
              <w:t>Defined Period Ending</w:t>
            </w:r>
          </w:p>
        </w:tc>
        <w:tc>
          <w:tcPr>
            <w:tcW w:w="2340" w:type="dxa"/>
            <w:vAlign w:val="bottom"/>
            <w:tcBorders>
              <w:top w:val="single" w:sz="8" w:color="auto"/>
              <w:right w:val="single" w:sz="8" w:color="auto"/>
            </w:tcBorders>
          </w:tcPr>
          <w:p>
            <w:pPr>
              <w:ind w:left="60"/>
              <w:spacing w:after="0" w:line="159" w:lineRule="exact"/>
              <w:rPr>
                <w:sz w:val="20"/>
                <w:szCs w:val="20"/>
                <w:color w:val="auto"/>
              </w:rPr>
            </w:pPr>
            <w:r>
              <w:rPr>
                <w:rFonts w:ascii="Arial" w:cs="Arial" w:eastAsia="Arial" w:hAnsi="Arial"/>
                <w:sz w:val="14"/>
                <w:szCs w:val="14"/>
                <w:color w:val="auto"/>
              </w:rPr>
              <w:t>Minimum Net Commercial Product</w:t>
            </w:r>
          </w:p>
        </w:tc>
        <w:tc>
          <w:tcPr>
            <w:tcW w:w="5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auto"/>
            </w:tcBorders>
          </w:tcPr>
          <w:p>
            <w:pPr>
              <w:spacing w:after="0"/>
              <w:rPr>
                <w:sz w:val="15"/>
                <w:szCs w:val="15"/>
                <w:color w:val="auto"/>
              </w:rPr>
            </w:pPr>
          </w:p>
        </w:tc>
        <w:tc>
          <w:tcPr>
            <w:tcW w:w="264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Revenue Amount</w:t>
            </w:r>
          </w:p>
        </w:tc>
        <w:tc>
          <w:tcPr>
            <w:tcW w:w="5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30-Sep-18</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$16,300,000.00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31-Dec-18</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$20,100,000.00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70"/>
              <w:spacing w:after="0" w:line="143" w:lineRule="exact"/>
              <w:rPr>
                <w:sz w:val="20"/>
                <w:szCs w:val="20"/>
                <w:color w:val="auto"/>
              </w:rPr>
            </w:pPr>
            <w:r>
              <w:rPr>
                <w:rFonts w:ascii="Arial" w:cs="Arial" w:eastAsia="Arial" w:hAnsi="Arial"/>
                <w:sz w:val="14"/>
                <w:szCs w:val="14"/>
                <w:color w:val="auto"/>
              </w:rPr>
              <w:t>31-Mar-19</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$21,700,000.00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30-Jun-19</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$22,000,000.00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30-Sep-19</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$23,500,000.00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31-Dec-19</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$25,000,000.00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70"/>
              <w:spacing w:after="0" w:line="143" w:lineRule="exact"/>
              <w:rPr>
                <w:sz w:val="20"/>
                <w:szCs w:val="20"/>
                <w:color w:val="auto"/>
              </w:rPr>
            </w:pPr>
            <w:r>
              <w:rPr>
                <w:rFonts w:ascii="Arial" w:cs="Arial" w:eastAsia="Arial" w:hAnsi="Arial"/>
                <w:sz w:val="14"/>
                <w:szCs w:val="14"/>
                <w:color w:val="auto"/>
              </w:rPr>
              <w:t>31-Mar-20</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$29,900,000.00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30-Jun-20</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$30,750,000.00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30-Sep-20</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$31,500,000.00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31-Dec-20</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$32,000,000.00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70"/>
              <w:spacing w:after="0" w:line="143" w:lineRule="exact"/>
              <w:rPr>
                <w:sz w:val="20"/>
                <w:szCs w:val="20"/>
                <w:color w:val="auto"/>
              </w:rPr>
            </w:pPr>
            <w:r>
              <w:rPr>
                <w:rFonts w:ascii="Arial" w:cs="Arial" w:eastAsia="Arial" w:hAnsi="Arial"/>
                <w:sz w:val="14"/>
                <w:szCs w:val="14"/>
                <w:color w:val="auto"/>
              </w:rPr>
              <w:t>31-Mar-21</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$32,500,000.00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30-Jun-21</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$33,000,000.00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30-Sep-21</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$33,500,000.00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31-Dec-21</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$34,000,000.00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70"/>
              <w:spacing w:after="0" w:line="143" w:lineRule="exact"/>
              <w:rPr>
                <w:sz w:val="20"/>
                <w:szCs w:val="20"/>
                <w:color w:val="auto"/>
              </w:rPr>
            </w:pPr>
            <w:r>
              <w:rPr>
                <w:rFonts w:ascii="Arial" w:cs="Arial" w:eastAsia="Arial" w:hAnsi="Arial"/>
                <w:sz w:val="14"/>
                <w:szCs w:val="14"/>
                <w:color w:val="auto"/>
              </w:rPr>
              <w:t>31-Mar-22</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$34,500,000.00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30-Jun-22</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$35,000,000.00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390"/>
              <w:spacing w:after="0" w:line="143" w:lineRule="exact"/>
              <w:rPr>
                <w:sz w:val="20"/>
                <w:szCs w:val="20"/>
                <w:color w:val="auto"/>
              </w:rPr>
            </w:pPr>
            <w:r>
              <w:rPr>
                <w:rFonts w:ascii="Arial" w:cs="Arial" w:eastAsia="Arial" w:hAnsi="Arial"/>
                <w:sz w:val="14"/>
                <w:szCs w:val="14"/>
                <w:color w:val="auto"/>
              </w:rPr>
              <w:t>30-Sep-22</w:t>
            </w:r>
          </w:p>
        </w:tc>
        <w:tc>
          <w:tcPr>
            <w:tcW w:w="2340" w:type="dxa"/>
            <w:vAlign w:val="bottom"/>
            <w:tcBorders>
              <w:bottom w:val="single" w:sz="8" w:color="auto"/>
              <w:right w:val="single" w:sz="8" w:color="auto"/>
            </w:tcBorders>
          </w:tcPr>
          <w:p>
            <w:pPr>
              <w:jc w:val="right"/>
              <w:ind w:right="670"/>
              <w:spacing w:after="0" w:line="143" w:lineRule="exact"/>
              <w:rPr>
                <w:sz w:val="20"/>
                <w:szCs w:val="20"/>
                <w:color w:val="auto"/>
              </w:rPr>
            </w:pPr>
            <w:r>
              <w:rPr>
                <w:rFonts w:ascii="Arial" w:cs="Arial" w:eastAsia="Arial" w:hAnsi="Arial"/>
                <w:sz w:val="14"/>
                <w:szCs w:val="14"/>
                <w:color w:val="auto"/>
              </w:rPr>
              <w:t>$35,500,000.00</w:t>
            </w: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tcBorders>
              <w:right w:val="single" w:sz="8" w:color="auto"/>
            </w:tcBorders>
          </w:tcPr>
          <w:p>
            <w:pPr>
              <w:spacing w:after="0"/>
              <w:rPr>
                <w:sz w:val="11"/>
                <w:szCs w:val="11"/>
                <w:color w:val="auto"/>
              </w:rPr>
            </w:pPr>
          </w:p>
        </w:tc>
        <w:tc>
          <w:tcPr>
            <w:tcW w:w="2640" w:type="dxa"/>
            <w:vAlign w:val="bottom"/>
            <w:tcBorders>
              <w:right w:val="single" w:sz="8" w:color="auto"/>
            </w:tcBorders>
          </w:tcPr>
          <w:p>
            <w:pPr>
              <w:jc w:val="right"/>
              <w:ind w:right="10"/>
              <w:spacing w:after="0" w:line="130" w:lineRule="exact"/>
              <w:rPr>
                <w:sz w:val="20"/>
                <w:szCs w:val="20"/>
                <w:color w:val="auto"/>
              </w:rPr>
            </w:pPr>
            <w:r>
              <w:rPr>
                <w:rFonts w:ascii="Arial" w:cs="Arial" w:eastAsia="Arial" w:hAnsi="Arial"/>
                <w:sz w:val="14"/>
                <w:szCs w:val="14"/>
                <w:color w:val="auto"/>
                <w:w w:val="92"/>
              </w:rPr>
              <w:t>31-Dec-22 and the last day of each calendar</w:t>
            </w:r>
          </w:p>
        </w:tc>
        <w:tc>
          <w:tcPr>
            <w:tcW w:w="2340" w:type="dxa"/>
            <w:vAlign w:val="bottom"/>
            <w:tcBorders>
              <w:right w:val="single" w:sz="8" w:color="auto"/>
            </w:tcBorders>
            <w:vMerge w:val="restart"/>
          </w:tcPr>
          <w:p>
            <w:pPr>
              <w:jc w:val="right"/>
              <w:ind w:right="670"/>
              <w:spacing w:after="0"/>
              <w:rPr>
                <w:sz w:val="20"/>
                <w:szCs w:val="20"/>
                <w:color w:val="auto"/>
              </w:rPr>
            </w:pPr>
            <w:r>
              <w:rPr>
                <w:rFonts w:ascii="Arial" w:cs="Arial" w:eastAsia="Arial" w:hAnsi="Arial"/>
                <w:sz w:val="14"/>
                <w:szCs w:val="14"/>
                <w:color w:val="auto"/>
              </w:rPr>
              <w:t>$36,000,000.00</w:t>
            </w:r>
          </w:p>
        </w:tc>
        <w:tc>
          <w:tcPr>
            <w:tcW w:w="5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060" w:type="dxa"/>
            <w:vAlign w:val="bottom"/>
            <w:tcBorders>
              <w:right w:val="single" w:sz="8" w:color="auto"/>
            </w:tcBorders>
          </w:tcPr>
          <w:p>
            <w:pPr>
              <w:spacing w:after="0"/>
              <w:rPr>
                <w:sz w:val="8"/>
                <w:szCs w:val="8"/>
                <w:color w:val="auto"/>
              </w:rPr>
            </w:pPr>
          </w:p>
        </w:tc>
        <w:tc>
          <w:tcPr>
            <w:tcW w:w="264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4"/>
                <w:szCs w:val="14"/>
                <w:color w:val="auto"/>
              </w:rPr>
              <w:t>quarter occurring thereafter</w:t>
            </w:r>
          </w:p>
        </w:tc>
        <w:tc>
          <w:tcPr>
            <w:tcW w:w="2340" w:type="dxa"/>
            <w:vAlign w:val="bottom"/>
            <w:tcBorders>
              <w:right w:val="single" w:sz="8" w:color="auto"/>
            </w:tcBorders>
            <w:vMerge w:val="continue"/>
          </w:tcPr>
          <w:p>
            <w:pPr>
              <w:spacing w:after="0"/>
              <w:rPr>
                <w:sz w:val="8"/>
                <w:szCs w:val="8"/>
                <w:color w:val="auto"/>
              </w:rPr>
            </w:pPr>
          </w:p>
        </w:tc>
        <w:tc>
          <w:tcPr>
            <w:tcW w:w="5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060" w:type="dxa"/>
            <w:vAlign w:val="bottom"/>
            <w:tcBorders>
              <w:right w:val="single" w:sz="8" w:color="auto"/>
            </w:tcBorders>
          </w:tcPr>
          <w:p>
            <w:pPr>
              <w:spacing w:after="0"/>
              <w:rPr>
                <w:sz w:val="6"/>
                <w:szCs w:val="6"/>
                <w:color w:val="auto"/>
              </w:rPr>
            </w:pPr>
          </w:p>
        </w:tc>
        <w:tc>
          <w:tcPr>
            <w:tcW w:w="2640" w:type="dxa"/>
            <w:vAlign w:val="bottom"/>
            <w:tcBorders>
              <w:bottom w:val="single" w:sz="8" w:color="auto"/>
              <w:right w:val="single" w:sz="8" w:color="auto"/>
            </w:tcBorders>
            <w:vMerge w:val="continue"/>
          </w:tcPr>
          <w:p>
            <w:pPr>
              <w:spacing w:after="0"/>
              <w:rPr>
                <w:sz w:val="6"/>
                <w:szCs w:val="6"/>
                <w:color w:val="auto"/>
              </w:rPr>
            </w:pPr>
          </w:p>
        </w:tc>
        <w:tc>
          <w:tcPr>
            <w:tcW w:w="2340" w:type="dxa"/>
            <w:vAlign w:val="bottom"/>
            <w:tcBorders>
              <w:bottom w:val="single" w:sz="8" w:color="auto"/>
              <w:right w:val="single" w:sz="8" w:color="auto"/>
            </w:tcBorders>
          </w:tcPr>
          <w:p>
            <w:pPr>
              <w:spacing w:after="0"/>
              <w:rPr>
                <w:sz w:val="6"/>
                <w:szCs w:val="6"/>
                <w:color w:val="auto"/>
              </w:rPr>
            </w:pPr>
          </w:p>
        </w:tc>
        <w:tc>
          <w:tcPr>
            <w:tcW w:w="5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10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61" w:right="179" w:bottom="1440" w:gutter="0" w:footer="0" w:header="0"/>
        </w:sectPr>
      </w:pPr>
    </w:p>
    <w:bookmarkStart w:id="257" w:name="page258"/>
    <w:bookmarkEnd w:id="257"/>
    <w:p>
      <w:pPr>
        <w:ind w:left="3220"/>
        <w:spacing w:after="0"/>
        <w:rPr>
          <w:sz w:val="20"/>
          <w:szCs w:val="20"/>
          <w:color w:val="auto"/>
        </w:rPr>
      </w:pPr>
      <w:r>
        <w:rPr>
          <w:rFonts w:ascii="Arial" w:cs="Arial" w:eastAsia="Arial" w:hAnsi="Arial"/>
          <w:sz w:val="14"/>
          <w:szCs w:val="14"/>
          <w:b w:val="1"/>
          <w:bCs w:val="1"/>
          <w:color w:val="auto"/>
        </w:rPr>
        <w:t>Schedule 7.4 – Post Closing Requirements</w:t>
      </w:r>
    </w:p>
    <w:p>
      <w:pPr>
        <w:spacing w:after="0" w:line="200" w:lineRule="exact"/>
        <w:rPr>
          <w:sz w:val="20"/>
          <w:szCs w:val="20"/>
          <w:color w:val="auto"/>
        </w:rPr>
      </w:pPr>
    </w:p>
    <w:p>
      <w:pPr>
        <w:spacing w:after="0" w:line="254" w:lineRule="exact"/>
        <w:rPr>
          <w:sz w:val="20"/>
          <w:szCs w:val="20"/>
          <w:color w:val="auto"/>
        </w:rPr>
      </w:pPr>
    </w:p>
    <w:p>
      <w:pPr>
        <w:ind w:left="840"/>
        <w:spacing w:after="0"/>
        <w:rPr>
          <w:sz w:val="20"/>
          <w:szCs w:val="20"/>
          <w:color w:val="auto"/>
        </w:rPr>
      </w:pPr>
      <w:r>
        <w:rPr>
          <w:rFonts w:ascii="Arial" w:cs="Arial" w:eastAsia="Arial" w:hAnsi="Arial"/>
          <w:sz w:val="13"/>
          <w:szCs w:val="13"/>
          <w:color w:val="auto"/>
        </w:rPr>
        <w:t>Borrowers shall satisfy and complete each of the following obligations, or provide Agent each of the items listed below, as applicable, on or before the date indicated below:</w:t>
      </w:r>
    </w:p>
    <w:p>
      <w:pPr>
        <w:spacing w:after="0" w:line="337" w:lineRule="exact"/>
        <w:rPr>
          <w:sz w:val="20"/>
          <w:szCs w:val="20"/>
          <w:color w:val="auto"/>
        </w:rPr>
      </w:pPr>
    </w:p>
    <w:p>
      <w:pPr>
        <w:jc w:val="both"/>
        <w:ind w:left="840" w:hanging="413"/>
        <w:spacing w:after="0" w:line="283" w:lineRule="auto"/>
        <w:tabs>
          <w:tab w:leader="none" w:pos="8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Borrowers shall, by August 17, 2018 (or such later date as Agent may agree in its sole discretion), ensure that each Deposit Account and Securities Account maintained by Borrowers (including, for the avoidance of doubt, Securities Account No. 1BA97831 at Wells Fargo but excluding Excluded Accounts) shall be subject to a Deposit Account Control Agreement or a Securities Account Control Agreement, as applicable, each of which shall be in form and substance reasonably satisfactory to Agent.</w:t>
      </w:r>
    </w:p>
    <w:p>
      <w:pPr>
        <w:spacing w:after="0" w:line="120" w:lineRule="exact"/>
        <w:rPr>
          <w:sz w:val="20"/>
          <w:szCs w:val="20"/>
          <w:color w:val="auto"/>
        </w:rPr>
      </w:pPr>
    </w:p>
    <w:p>
      <w:pPr>
        <w:ind w:firstLine="826"/>
        <w:spacing w:after="0" w:line="307" w:lineRule="auto"/>
        <w:rPr>
          <w:sz w:val="20"/>
          <w:szCs w:val="20"/>
          <w:color w:val="auto"/>
        </w:rPr>
      </w:pPr>
      <w:r>
        <w:rPr>
          <w:rFonts w:ascii="Arial" w:cs="Arial" w:eastAsia="Arial" w:hAnsi="Arial"/>
          <w:sz w:val="13"/>
          <w:szCs w:val="13"/>
          <w:color w:val="auto"/>
        </w:rPr>
        <w:t>Borrower’s failure to complete any of the above obligations on or before the date indicated above (as such may be extended by Agent in its sole discretion), or Borrower’s failure to deliver any of the above listed items on or before the date indicated above (as such may be extended by Agent in its sole discretion), shall constitute an immediate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213360</wp:posOffset>
            </wp:positionV>
            <wp:extent cx="732409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120"/>
          </w:cols>
          <w:pgMar w:left="400" w:top="238" w:right="37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Schedule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8.2(a)</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Licensing</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and</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5"/>
                <w:szCs w:val="15"/>
                <w:b w:val="1"/>
                <w:bCs w:val="1"/>
                <w:color w:val="auto"/>
              </w:rPr>
              <w:t>Products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160" w:type="dxa"/>
            <w:vAlign w:val="bottom"/>
            <w:gridSpan w:val="2"/>
          </w:tcPr>
          <w:p>
            <w:pPr>
              <w:spacing w:after="0" w:line="161" w:lineRule="exact"/>
              <w:rPr>
                <w:sz w:val="20"/>
                <w:szCs w:val="20"/>
                <w:color w:val="auto"/>
              </w:rPr>
            </w:pPr>
            <w:r>
              <w:rPr>
                <w:rFonts w:ascii="Arial" w:cs="Arial" w:eastAsia="Arial" w:hAnsi="Arial"/>
                <w:sz w:val="15"/>
                <w:szCs w:val="15"/>
                <w:b w:val="1"/>
                <w:bCs w:val="1"/>
                <w:color w:val="auto"/>
              </w:rPr>
              <w:t>Products:</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60" w:type="dxa"/>
            <w:vAlign w:val="bottom"/>
            <w:tcBorders>
              <w:right w:val="single" w:sz="8" w:color="auto"/>
            </w:tcBorders>
          </w:tcPr>
          <w:p>
            <w:pPr>
              <w:spacing w:after="0"/>
              <w:rPr>
                <w:sz w:val="13"/>
                <w:szCs w:val="13"/>
                <w:color w:val="auto"/>
              </w:rPr>
            </w:pPr>
          </w:p>
        </w:tc>
        <w:tc>
          <w:tcPr>
            <w:tcW w:w="308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b w:val="1"/>
                <w:bCs w:val="1"/>
                <w:i w:val="1"/>
                <w:iCs w:val="1"/>
                <w:color w:val="auto"/>
              </w:rPr>
              <w:t>Approved Products</w:t>
            </w:r>
          </w:p>
        </w:tc>
        <w:tc>
          <w:tcPr>
            <w:tcW w:w="6220" w:type="dxa"/>
            <w:vAlign w:val="bottom"/>
            <w:tcBorders>
              <w:right w:val="single" w:sz="8" w:color="auto"/>
            </w:tcBorders>
            <w:gridSpan w:val="3"/>
          </w:tcPr>
          <w:p>
            <w:pPr>
              <w:ind w:left="60"/>
              <w:spacing w:after="0" w:line="157" w:lineRule="exact"/>
              <w:rPr>
                <w:sz w:val="20"/>
                <w:szCs w:val="20"/>
                <w:color w:val="auto"/>
              </w:rPr>
            </w:pPr>
            <w:r>
              <w:rPr>
                <w:rFonts w:ascii="Arial" w:cs="Arial" w:eastAsia="Arial" w:hAnsi="Arial"/>
                <w:sz w:val="14"/>
                <w:szCs w:val="14"/>
                <w:b w:val="1"/>
                <w:bCs w:val="1"/>
                <w:i w:val="1"/>
                <w:iCs w:val="1"/>
                <w:color w:val="auto"/>
              </w:rPr>
              <w:t>Indication(s)</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60" w:type="dxa"/>
            <w:vAlign w:val="bottom"/>
            <w:tcBorders>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0" w:type="dxa"/>
            <w:vAlign w:val="bottom"/>
            <w:tcBorders>
              <w:right w:val="single" w:sz="8" w:color="auto"/>
            </w:tcBorders>
          </w:tcPr>
          <w:p>
            <w:pPr>
              <w:spacing w:after="0"/>
              <w:rPr>
                <w:sz w:val="12"/>
                <w:szCs w:val="12"/>
                <w:color w:val="auto"/>
              </w:rPr>
            </w:pPr>
          </w:p>
        </w:tc>
        <w:tc>
          <w:tcPr>
            <w:tcW w:w="308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4"/>
                <w:szCs w:val="14"/>
                <w:color w:val="auto"/>
              </w:rPr>
              <w:t>IXINITY [coagulation factor IX (recombinant)]</w:t>
            </w:r>
          </w:p>
        </w:tc>
        <w:tc>
          <w:tcPr>
            <w:tcW w:w="6220" w:type="dxa"/>
            <w:vAlign w:val="bottom"/>
            <w:tcBorders>
              <w:right w:val="single" w:sz="8" w:color="auto"/>
            </w:tcBorders>
            <w:gridSpan w:val="3"/>
          </w:tcPr>
          <w:p>
            <w:pPr>
              <w:ind w:left="60"/>
              <w:spacing w:after="0" w:line="139" w:lineRule="exact"/>
              <w:rPr>
                <w:sz w:val="20"/>
                <w:szCs w:val="20"/>
                <w:color w:val="auto"/>
              </w:rPr>
            </w:pPr>
            <w:r>
              <w:rPr>
                <w:rFonts w:ascii="Arial" w:cs="Arial" w:eastAsia="Arial" w:hAnsi="Arial"/>
                <w:sz w:val="14"/>
                <w:szCs w:val="14"/>
                <w:color w:val="auto"/>
                <w:w w:val="94"/>
              </w:rPr>
              <w:t>Control and prevention of bleeding episodes and for management of bleeding during operations in adults</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62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and children, 12 years of age and older, with hemophilia B</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60" w:type="dxa"/>
            <w:vAlign w:val="bottom"/>
            <w:tcBorders>
              <w:right w:val="single" w:sz="8" w:color="auto"/>
            </w:tcBorders>
          </w:tcPr>
          <w:p>
            <w:pPr>
              <w:spacing w:after="0"/>
              <w:rPr>
                <w:sz w:val="13"/>
                <w:szCs w:val="13"/>
                <w:color w:val="auto"/>
              </w:rPr>
            </w:pPr>
          </w:p>
        </w:tc>
        <w:tc>
          <w:tcPr>
            <w:tcW w:w="3080" w:type="dxa"/>
            <w:vAlign w:val="bottom"/>
            <w:tcBorders>
              <w:bottom w:val="single" w:sz="8" w:color="auto"/>
              <w:right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540" w:type="dxa"/>
            <w:vAlign w:val="bottom"/>
            <w:tcBorders>
              <w:bottom w:val="single" w:sz="8" w:color="auto"/>
              <w:right w:val="single" w:sz="8" w:color="auto"/>
            </w:tcBorders>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16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D9D9D9"/>
            </w:tcBorders>
            <w:shd w:val="clear" w:color="auto" w:fill="D9D9D9"/>
          </w:tcPr>
          <w:p>
            <w:pPr>
              <w:ind w:left="40"/>
              <w:spacing w:after="0"/>
              <w:rPr>
                <w:sz w:val="20"/>
                <w:szCs w:val="20"/>
                <w:color w:val="auto"/>
              </w:rPr>
            </w:pPr>
            <w:r>
              <w:rPr>
                <w:rFonts w:ascii="Arial" w:cs="Arial" w:eastAsia="Arial" w:hAnsi="Arial"/>
                <w:sz w:val="14"/>
                <w:szCs w:val="14"/>
                <w:b w:val="1"/>
                <w:bCs w:val="1"/>
                <w:i w:val="1"/>
                <w:iCs w:val="1"/>
                <w:color w:val="auto"/>
              </w:rPr>
              <w:t>Investigational Stage Product Candidates</w:t>
            </w:r>
          </w:p>
        </w:tc>
        <w:tc>
          <w:tcPr>
            <w:tcW w:w="3060" w:type="dxa"/>
            <w:vAlign w:val="bottom"/>
            <w:shd w:val="clear" w:color="auto" w:fill="D9D9D9"/>
          </w:tcPr>
          <w:p>
            <w:pPr>
              <w:spacing w:after="0"/>
              <w:rPr>
                <w:sz w:val="14"/>
                <w:szCs w:val="14"/>
                <w:color w:val="auto"/>
              </w:rPr>
            </w:pPr>
          </w:p>
        </w:tc>
        <w:tc>
          <w:tcPr>
            <w:tcW w:w="620" w:type="dxa"/>
            <w:vAlign w:val="bottom"/>
            <w:shd w:val="clear" w:color="auto" w:fill="D9D9D9"/>
          </w:tcPr>
          <w:p>
            <w:pPr>
              <w:spacing w:after="0"/>
              <w:rPr>
                <w:sz w:val="14"/>
                <w:szCs w:val="14"/>
                <w:color w:val="auto"/>
              </w:rPr>
            </w:pPr>
          </w:p>
        </w:tc>
        <w:tc>
          <w:tcPr>
            <w:tcW w:w="2540" w:type="dxa"/>
            <w:vAlign w:val="bottom"/>
            <w:tcBorders>
              <w:right w:val="single" w:sz="8" w:color="auto"/>
            </w:tcBorders>
            <w:shd w:val="clear" w:color="auto" w:fill="D9D9D9"/>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 w:type="dxa"/>
            <w:vAlign w:val="bottom"/>
            <w:tcBorders>
              <w:right w:val="single" w:sz="8" w:color="auto"/>
            </w:tcBorders>
          </w:tcPr>
          <w:p>
            <w:pPr>
              <w:spacing w:after="0"/>
              <w:rPr>
                <w:sz w:val="11"/>
                <w:szCs w:val="11"/>
                <w:color w:val="auto"/>
              </w:rPr>
            </w:pPr>
          </w:p>
        </w:tc>
        <w:tc>
          <w:tcPr>
            <w:tcW w:w="3080" w:type="dxa"/>
            <w:vAlign w:val="bottom"/>
            <w:tcBorders>
              <w:bottom w:val="single" w:sz="8" w:color="auto"/>
              <w:right w:val="single" w:sz="8" w:color="D9D9D9"/>
            </w:tcBorders>
            <w:shd w:val="clear" w:color="auto" w:fill="D9D9D9"/>
          </w:tcPr>
          <w:p>
            <w:pPr>
              <w:spacing w:after="0"/>
              <w:rPr>
                <w:sz w:val="11"/>
                <w:szCs w:val="11"/>
                <w:color w:val="auto"/>
              </w:rPr>
            </w:pPr>
          </w:p>
        </w:tc>
        <w:tc>
          <w:tcPr>
            <w:tcW w:w="3060" w:type="dxa"/>
            <w:vAlign w:val="bottom"/>
            <w:tcBorders>
              <w:bottom w:val="single" w:sz="8" w:color="auto"/>
            </w:tcBorders>
            <w:shd w:val="clear" w:color="auto" w:fill="D9D9D9"/>
          </w:tcPr>
          <w:p>
            <w:pPr>
              <w:spacing w:after="0"/>
              <w:rPr>
                <w:sz w:val="11"/>
                <w:szCs w:val="11"/>
                <w:color w:val="auto"/>
              </w:rPr>
            </w:pPr>
          </w:p>
        </w:tc>
        <w:tc>
          <w:tcPr>
            <w:tcW w:w="620" w:type="dxa"/>
            <w:vAlign w:val="bottom"/>
            <w:tcBorders>
              <w:bottom w:val="single" w:sz="8" w:color="auto"/>
            </w:tcBorders>
            <w:shd w:val="clear" w:color="auto" w:fill="D9D9D9"/>
          </w:tcPr>
          <w:p>
            <w:pPr>
              <w:spacing w:after="0"/>
              <w:rPr>
                <w:sz w:val="11"/>
                <w:szCs w:val="11"/>
                <w:color w:val="auto"/>
              </w:rPr>
            </w:pPr>
          </w:p>
        </w:tc>
        <w:tc>
          <w:tcPr>
            <w:tcW w:w="2540" w:type="dxa"/>
            <w:vAlign w:val="bottom"/>
            <w:tcBorders>
              <w:bottom w:val="single" w:sz="8" w:color="auto"/>
              <w:right w:val="single" w:sz="8" w:color="auto"/>
            </w:tcBorders>
            <w:shd w:val="clear" w:color="auto" w:fill="D9D9D9"/>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Product Candidates</w:t>
            </w: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i w:val="1"/>
                <w:iCs w:val="1"/>
                <w:color w:val="auto"/>
              </w:rPr>
              <w:t>Description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 w:type="dxa"/>
            <w:vAlign w:val="bottom"/>
            <w:tcBorders>
              <w:right w:val="single" w:sz="8" w:color="auto"/>
            </w:tcBorders>
          </w:tcPr>
          <w:p>
            <w:pPr>
              <w:spacing w:after="0"/>
              <w:rPr>
                <w:sz w:val="11"/>
                <w:szCs w:val="11"/>
                <w:color w:val="auto"/>
              </w:rPr>
            </w:pPr>
          </w:p>
        </w:tc>
        <w:tc>
          <w:tcPr>
            <w:tcW w:w="3080" w:type="dxa"/>
            <w:vAlign w:val="bottom"/>
            <w:tcBorders>
              <w:bottom w:val="single" w:sz="8" w:color="auto"/>
              <w:right w:val="single" w:sz="8" w:color="auto"/>
            </w:tcBorders>
          </w:tcPr>
          <w:p>
            <w:pPr>
              <w:spacing w:after="0"/>
              <w:rPr>
                <w:sz w:val="11"/>
                <w:szCs w:val="11"/>
                <w:color w:val="auto"/>
              </w:rPr>
            </w:pPr>
          </w:p>
        </w:tc>
        <w:tc>
          <w:tcPr>
            <w:tcW w:w="30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APVO414 (formerly MOR209/ES414)</w:t>
            </w:r>
          </w:p>
        </w:tc>
        <w:tc>
          <w:tcPr>
            <w:tcW w:w="62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color w:val="auto"/>
                <w:w w:val="94"/>
              </w:rPr>
              <w:t>a bispecific ADAPTIR candidate, currently in Phase 1 development, targeting prostate specific membrane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60" w:type="dxa"/>
            <w:vAlign w:val="bottom"/>
            <w:tcBorders>
              <w:right w:val="single" w:sz="8" w:color="auto"/>
            </w:tcBorders>
          </w:tcPr>
          <w:p>
            <w:pPr>
              <w:spacing w:after="0"/>
              <w:rPr>
                <w:sz w:val="3"/>
                <w:szCs w:val="3"/>
                <w:color w:val="auto"/>
              </w:rPr>
            </w:pPr>
          </w:p>
        </w:tc>
        <w:tc>
          <w:tcPr>
            <w:tcW w:w="3080" w:type="dxa"/>
            <w:vAlign w:val="bottom"/>
            <w:tcBorders>
              <w:right w:val="single" w:sz="8" w:color="auto"/>
            </w:tcBorders>
          </w:tcPr>
          <w:p>
            <w:pPr>
              <w:spacing w:after="0"/>
              <w:rPr>
                <w:sz w:val="3"/>
                <w:szCs w:val="3"/>
                <w:color w:val="auto"/>
              </w:rPr>
            </w:pPr>
          </w:p>
        </w:tc>
        <w:tc>
          <w:tcPr>
            <w:tcW w:w="6220" w:type="dxa"/>
            <w:vAlign w:val="bottom"/>
            <w:tcBorders>
              <w:right w:val="single" w:sz="8" w:color="auto"/>
            </w:tcBorders>
            <w:gridSpan w:val="3"/>
            <w:vMerge w:val="continue"/>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antigen (PSMA), an enzyme that is expressed on the surface of prostate cancer cells, and, CD3,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a  component of the T cell receptor complex expressed on all T cells. APVO414 redirects T cells to</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2"/>
              </w:rPr>
              <w:t>specifically kill PSMA expressing tumors and is being developed for metastatic castration-resistant prostate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89"/>
              </w:rPr>
              <w:t>cancer, which is advanced prostate cancer that has spread to other organs and no longer responds to hormone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blocking therapies.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6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otlertuzumab</w:t>
            </w:r>
          </w:p>
        </w:tc>
        <w:tc>
          <w:tcPr>
            <w:tcW w:w="62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color w:val="auto"/>
              </w:rPr>
              <w:t>a monospecific ADAPTIR candidate currently in Phase 2 clinical development for the treatment of</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60" w:type="dxa"/>
            <w:vAlign w:val="bottom"/>
            <w:tcBorders>
              <w:right w:val="single" w:sz="8" w:color="auto"/>
            </w:tcBorders>
          </w:tcPr>
          <w:p>
            <w:pPr>
              <w:spacing w:after="0"/>
              <w:rPr>
                <w:sz w:val="3"/>
                <w:szCs w:val="3"/>
                <w:color w:val="auto"/>
              </w:rPr>
            </w:pPr>
          </w:p>
        </w:tc>
        <w:tc>
          <w:tcPr>
            <w:tcW w:w="3080" w:type="dxa"/>
            <w:vAlign w:val="bottom"/>
            <w:tcBorders>
              <w:right w:val="single" w:sz="8" w:color="auto"/>
            </w:tcBorders>
          </w:tcPr>
          <w:p>
            <w:pPr>
              <w:spacing w:after="0"/>
              <w:rPr>
                <w:sz w:val="3"/>
                <w:szCs w:val="3"/>
                <w:color w:val="auto"/>
              </w:rPr>
            </w:pPr>
          </w:p>
        </w:tc>
        <w:tc>
          <w:tcPr>
            <w:tcW w:w="6220" w:type="dxa"/>
            <w:vAlign w:val="bottom"/>
            <w:tcBorders>
              <w:right w:val="single" w:sz="8" w:color="auto"/>
            </w:tcBorders>
            <w:gridSpan w:val="3"/>
            <w:vMerge w:val="continue"/>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8"/>
              </w:rPr>
              <w:t>peripheral T-cell lymphoma (PTCL). A previous Phase 2 clinical study evaluating otlertuzumab for the</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7"/>
              </w:rPr>
              <w:t>treatment  of  chronic  lymphocytic  leukemia  (CLL)  showed  that  otlertuzumab  in  combination  with</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1"/>
              </w:rPr>
              <w:t>bendamustine, compared to bendamustine alone, demonstrated a significant increase in median progression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0" w:type="dxa"/>
            <w:vAlign w:val="bottom"/>
            <w:tcBorders>
              <w:right w:val="single" w:sz="8" w:color="auto"/>
            </w:tcBorders>
          </w:tcPr>
          <w:p>
            <w:pPr>
              <w:spacing w:after="0"/>
              <w:rPr>
                <w:sz w:val="15"/>
                <w:szCs w:val="15"/>
                <w:color w:val="auto"/>
              </w:rPr>
            </w:pPr>
          </w:p>
        </w:tc>
        <w:tc>
          <w:tcPr>
            <w:tcW w:w="3080" w:type="dxa"/>
            <w:vAlign w:val="bottom"/>
            <w:tcBorders>
              <w:right w:val="single" w:sz="8" w:color="auto"/>
            </w:tcBorders>
          </w:tcPr>
          <w:p>
            <w:pPr>
              <w:spacing w:after="0"/>
              <w:rPr>
                <w:sz w:val="15"/>
                <w:szCs w:val="15"/>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free survival for the combination, from approximately 10 to 16 months.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160" w:type="dxa"/>
            <w:vAlign w:val="bottom"/>
            <w:tcBorders>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APVO436</w:t>
            </w:r>
          </w:p>
        </w:tc>
        <w:tc>
          <w:tcPr>
            <w:tcW w:w="62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color w:val="auto"/>
                <w:w w:val="97"/>
              </w:rPr>
              <w:t>a bispecific ADAPTIR candidate targeting CD123, a cell surface receptor highly expressed on several</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60" w:type="dxa"/>
            <w:vAlign w:val="bottom"/>
            <w:tcBorders>
              <w:right w:val="single" w:sz="8" w:color="auto"/>
            </w:tcBorders>
          </w:tcPr>
          <w:p>
            <w:pPr>
              <w:spacing w:after="0"/>
              <w:rPr>
                <w:sz w:val="3"/>
                <w:szCs w:val="3"/>
                <w:color w:val="auto"/>
              </w:rPr>
            </w:pPr>
          </w:p>
        </w:tc>
        <w:tc>
          <w:tcPr>
            <w:tcW w:w="3080" w:type="dxa"/>
            <w:vAlign w:val="bottom"/>
            <w:tcBorders>
              <w:right w:val="single" w:sz="8" w:color="auto"/>
            </w:tcBorders>
          </w:tcPr>
          <w:p>
            <w:pPr>
              <w:spacing w:after="0"/>
              <w:rPr>
                <w:sz w:val="3"/>
                <w:szCs w:val="3"/>
                <w:color w:val="auto"/>
              </w:rPr>
            </w:pPr>
          </w:p>
        </w:tc>
        <w:tc>
          <w:tcPr>
            <w:tcW w:w="6220" w:type="dxa"/>
            <w:vAlign w:val="bottom"/>
            <w:tcBorders>
              <w:right w:val="single" w:sz="8" w:color="auto"/>
            </w:tcBorders>
            <w:gridSpan w:val="3"/>
            <w:vMerge w:val="continue"/>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6"/>
              </w:rPr>
              <w:t>hematological malignancies and CD3, a component of the T cell receptor. APVO436 engages T cells to</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622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w w:val="97"/>
              </w:rPr>
              <w:t>initiate killing of tumor cells. Aptevo filed an IND in Q2 2018 and plans to begin clinical development of</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right w:val="single" w:sz="8" w:color="auto"/>
            </w:tcBorders>
          </w:tcPr>
          <w:p>
            <w:pPr>
              <w:spacing w:after="0"/>
              <w:rPr>
                <w:sz w:val="14"/>
                <w:szCs w:val="14"/>
                <w:color w:val="auto"/>
              </w:rPr>
            </w:pPr>
          </w:p>
        </w:tc>
        <w:tc>
          <w:tcPr>
            <w:tcW w:w="308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4"/>
                <w:szCs w:val="14"/>
                <w:color w:val="auto"/>
              </w:rPr>
              <w:t>APVO436 in Q4 2018.</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240" w:type="dxa"/>
            <w:vAlign w:val="bottom"/>
            <w:gridSpan w:val="2"/>
          </w:tcPr>
          <w:p>
            <w:pPr>
              <w:ind w:left="20"/>
              <w:spacing w:after="0"/>
              <w:rPr>
                <w:sz w:val="20"/>
                <w:szCs w:val="20"/>
                <w:color w:val="auto"/>
              </w:rPr>
            </w:pPr>
            <w:r>
              <w:rPr>
                <w:rFonts w:ascii="Arial" w:cs="Arial" w:eastAsia="Arial" w:hAnsi="Arial"/>
                <w:sz w:val="14"/>
                <w:szCs w:val="14"/>
                <w:color w:val="auto"/>
              </w:rPr>
              <w:t>[Schedule 8.2(a)]</w:t>
            </w:r>
          </w:p>
        </w:tc>
        <w:tc>
          <w:tcPr>
            <w:tcW w:w="3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-24130</wp:posOffset>
            </wp:positionV>
            <wp:extent cx="3175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75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283" w:right="179" w:bottom="1440" w:gutter="0" w:footer="0" w:header="0"/>
        </w:sectPr>
      </w:pPr>
    </w:p>
    <w:bookmarkStart w:id="259" w:name="page260"/>
    <w:bookmarkEnd w:id="259"/>
    <w:tbl>
      <w:tblPr>
        <w:tblLayout w:type="fixed"/>
        <w:tblInd w:w="130" w:type="dxa"/>
        <w:tblCellMar>
          <w:top w:w="0" w:type="dxa"/>
          <w:left w:w="0" w:type="dxa"/>
          <w:bottom w:w="0" w:type="dxa"/>
          <w:right w:w="0" w:type="dxa"/>
        </w:tblCellMar>
      </w:tblPr>
      <w:tr>
        <w:trPr>
          <w:trHeight w:val="315"/>
        </w:trPr>
        <w:tc>
          <w:tcPr>
            <w:tcW w:w="30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62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APVO210</w:t>
            </w:r>
          </w:p>
        </w:tc>
        <w:tc>
          <w:tcPr>
            <w:tcW w:w="62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4"/>
              </w:rPr>
              <w:t>a bispecific ADAPTIR preclinical candidate with a novel mechanism of action based on targeted cytokine</w:t>
            </w:r>
          </w:p>
        </w:tc>
        <w:tc>
          <w:tcPr>
            <w:tcW w:w="0" w:type="dxa"/>
            <w:vAlign w:val="bottom"/>
          </w:tcPr>
          <w:p>
            <w:pPr>
              <w:spacing w:after="0"/>
              <w:rPr>
                <w:sz w:val="1"/>
                <w:szCs w:val="1"/>
                <w:color w:val="auto"/>
              </w:rPr>
            </w:pPr>
          </w:p>
        </w:tc>
      </w:tr>
      <w:tr>
        <w:trPr>
          <w:trHeight w:val="38"/>
        </w:trPr>
        <w:tc>
          <w:tcPr>
            <w:tcW w:w="3080" w:type="dxa"/>
            <w:vAlign w:val="bottom"/>
            <w:tcBorders>
              <w:left w:val="single" w:sz="8" w:color="auto"/>
              <w:right w:val="single" w:sz="8" w:color="auto"/>
            </w:tcBorders>
          </w:tcPr>
          <w:p>
            <w:pPr>
              <w:spacing w:after="0"/>
              <w:rPr>
                <w:sz w:val="3"/>
                <w:szCs w:val="3"/>
                <w:color w:val="auto"/>
              </w:rPr>
            </w:pPr>
          </w:p>
        </w:tc>
        <w:tc>
          <w:tcPr>
            <w:tcW w:w="6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delivery. APVO210 is composed of a humanized anti-CD86 antibody fused with a modified form of IL-10</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8"/>
              </w:rPr>
              <w:t>that specifically induces IL-10 signaling on antigen presenting cells, but not on lymphoid populations.</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APVO210 functions by suppressing immune responses and inducing certain tolerogenic responses and</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4"/>
              </w:rPr>
              <w:t>therefore may have potential benefit for the treatment of autoimmune and inflammatory diseases. Aptevo</w:t>
            </w:r>
          </w:p>
        </w:tc>
        <w:tc>
          <w:tcPr>
            <w:tcW w:w="0" w:type="dxa"/>
            <w:vAlign w:val="bottom"/>
          </w:tcPr>
          <w:p>
            <w:pPr>
              <w:spacing w:after="0"/>
              <w:rPr>
                <w:sz w:val="1"/>
                <w:szCs w:val="1"/>
                <w:color w:val="auto"/>
              </w:rPr>
            </w:pPr>
          </w:p>
        </w:tc>
      </w:tr>
      <w:tr>
        <w:trPr>
          <w:trHeight w:val="179"/>
        </w:trPr>
        <w:tc>
          <w:tcPr>
            <w:tcW w:w="3080" w:type="dxa"/>
            <w:vAlign w:val="bottom"/>
            <w:tcBorders>
              <w:left w:val="single" w:sz="8" w:color="auto"/>
              <w:right w:val="single" w:sz="8" w:color="auto"/>
            </w:tcBorders>
          </w:tcPr>
          <w:p>
            <w:pPr>
              <w:spacing w:after="0"/>
              <w:rPr>
                <w:sz w:val="15"/>
                <w:szCs w:val="15"/>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intends to file an IND for APVO210 in 2018.</w:t>
            </w:r>
          </w:p>
        </w:tc>
        <w:tc>
          <w:tcPr>
            <w:tcW w:w="0" w:type="dxa"/>
            <w:vAlign w:val="bottom"/>
          </w:tcPr>
          <w:p>
            <w:pPr>
              <w:spacing w:after="0"/>
              <w:rPr>
                <w:sz w:val="1"/>
                <w:szCs w:val="1"/>
                <w:color w:val="auto"/>
              </w:rPr>
            </w:pPr>
          </w:p>
        </w:tc>
      </w:tr>
      <w:tr>
        <w:trPr>
          <w:trHeight w:val="302"/>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080" w:type="dxa"/>
            <w:vAlign w:val="bottom"/>
            <w:tcBorders>
              <w:left w:val="single" w:sz="8" w:color="auto"/>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ALG.APV-527</w:t>
            </w:r>
          </w:p>
        </w:tc>
        <w:tc>
          <w:tcPr>
            <w:tcW w:w="624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w w:val="93"/>
              </w:rPr>
              <w:t>a bispecific antibody candidate, partnered with Alligator Bioscience, featuring a novel mechanism of action</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designed to simultaneously target 4-1BB (CD137) and 5T4, a tumor antigen widely overexpressed in a</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number of different types of cancer. 4-1BB, a costimulatory receptor on T cells, is known to enhance the</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4"/>
              </w:rPr>
              <w:t>immune response to cancer through activation of tumor-specific T cells and is believed to be a promising</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3"/>
              </w:rPr>
              <w:t>target for new immunotherapeutic approaches. ALG.APV-527 could potentially have utility in the treatment</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tcPr>
          <w:p>
            <w:pPr>
              <w:spacing w:after="0"/>
              <w:rPr>
                <w:sz w:val="14"/>
                <w:szCs w:val="14"/>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1"/>
              </w:rPr>
              <w:t>of a broad spectrum of cancers over-expressing the tumor antigen, including breast, cervical, non-small-cell-</w:t>
            </w:r>
          </w:p>
        </w:tc>
        <w:tc>
          <w:tcPr>
            <w:tcW w:w="0" w:type="dxa"/>
            <w:vAlign w:val="bottom"/>
          </w:tcPr>
          <w:p>
            <w:pPr>
              <w:spacing w:after="0"/>
              <w:rPr>
                <w:sz w:val="1"/>
                <w:szCs w:val="1"/>
                <w:color w:val="auto"/>
              </w:rPr>
            </w:pPr>
          </w:p>
        </w:tc>
      </w:tr>
      <w:tr>
        <w:trPr>
          <w:trHeight w:val="179"/>
        </w:trPr>
        <w:tc>
          <w:tcPr>
            <w:tcW w:w="3080" w:type="dxa"/>
            <w:vAlign w:val="bottom"/>
            <w:tcBorders>
              <w:left w:val="single" w:sz="8" w:color="auto"/>
              <w:right w:val="single" w:sz="8" w:color="auto"/>
            </w:tcBorders>
          </w:tcPr>
          <w:p>
            <w:pPr>
              <w:spacing w:after="0"/>
              <w:rPr>
                <w:sz w:val="15"/>
                <w:szCs w:val="15"/>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lung, prostate, renal, gastric, colorectal and bladder cancers.</w:t>
            </w:r>
          </w:p>
        </w:tc>
        <w:tc>
          <w:tcPr>
            <w:tcW w:w="0" w:type="dxa"/>
            <w:vAlign w:val="bottom"/>
          </w:tcPr>
          <w:p>
            <w:pPr>
              <w:spacing w:after="0"/>
              <w:rPr>
                <w:sz w:val="1"/>
                <w:szCs w:val="1"/>
                <w:color w:val="auto"/>
              </w:rPr>
            </w:pPr>
          </w:p>
        </w:tc>
      </w:tr>
      <w:tr>
        <w:trPr>
          <w:trHeight w:val="292"/>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80" w:type="dxa"/>
            <w:vAlign w:val="bottom"/>
            <w:tcBorders>
              <w:left w:val="single" w:sz="8" w:color="auto"/>
              <w:right w:val="single" w:sz="8" w:color="auto"/>
            </w:tcBorders>
          </w:tcPr>
          <w:p>
            <w:pPr>
              <w:spacing w:after="0"/>
              <w:rPr>
                <w:sz w:val="17"/>
                <w:szCs w:val="17"/>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3"/>
              </w:rPr>
              <w:t>an immunotherapeutic protein targeting ROR1, a proof-of-concept bispecific candidate targeting ROR1, an</w:t>
            </w:r>
          </w:p>
        </w:tc>
        <w:tc>
          <w:tcPr>
            <w:tcW w:w="0" w:type="dxa"/>
            <w:vAlign w:val="bottom"/>
          </w:tcPr>
          <w:p>
            <w:pPr>
              <w:spacing w:after="0"/>
              <w:rPr>
                <w:sz w:val="1"/>
                <w:szCs w:val="1"/>
                <w:color w:val="auto"/>
              </w:rPr>
            </w:pPr>
          </w:p>
        </w:tc>
      </w:tr>
      <w:tr>
        <w:trPr>
          <w:trHeight w:val="162"/>
        </w:trPr>
        <w:tc>
          <w:tcPr>
            <w:tcW w:w="30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4"/>
                <w:szCs w:val="14"/>
                <w:color w:val="auto"/>
              </w:rPr>
              <w:t>ROR1 Bispecific</w:t>
            </w: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6"/>
              </w:rPr>
              <w:t>antigen found on several solid tumors and hematologic, or blood-related malignancies. Initial preclinical</w:t>
            </w:r>
          </w:p>
        </w:tc>
        <w:tc>
          <w:tcPr>
            <w:tcW w:w="0" w:type="dxa"/>
            <w:vAlign w:val="bottom"/>
          </w:tcPr>
          <w:p>
            <w:pPr>
              <w:spacing w:after="0"/>
              <w:rPr>
                <w:sz w:val="1"/>
                <w:szCs w:val="1"/>
                <w:color w:val="auto"/>
              </w:rPr>
            </w:pPr>
          </w:p>
        </w:tc>
      </w:tr>
      <w:tr>
        <w:trPr>
          <w:trHeight w:val="83"/>
        </w:trPr>
        <w:tc>
          <w:tcPr>
            <w:tcW w:w="3080" w:type="dxa"/>
            <w:vAlign w:val="bottom"/>
            <w:tcBorders>
              <w:left w:val="single" w:sz="8" w:color="auto"/>
              <w:right w:val="single" w:sz="8" w:color="auto"/>
            </w:tcBorders>
            <w:vMerge w:val="continue"/>
          </w:tcPr>
          <w:p>
            <w:pPr>
              <w:spacing w:after="0"/>
              <w:rPr>
                <w:sz w:val="7"/>
                <w:szCs w:val="7"/>
                <w:color w:val="auto"/>
              </w:rPr>
            </w:pPr>
          </w:p>
        </w:tc>
        <w:tc>
          <w:tcPr>
            <w:tcW w:w="62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3"/>
              </w:rPr>
              <w:t xml:space="preserve">data demonstrate redirected T cell killing of tumors expressing ROR1 </w:t>
            </w:r>
            <w:r>
              <w:rPr>
                <w:rFonts w:ascii="Arial" w:cs="Arial" w:eastAsia="Arial" w:hAnsi="Arial"/>
                <w:sz w:val="14"/>
                <w:szCs w:val="14"/>
                <w:i w:val="1"/>
                <w:iCs w:val="1"/>
                <w:color w:val="auto"/>
                <w:w w:val="93"/>
              </w:rPr>
              <w:t>in vitro</w:t>
            </w:r>
            <w:r>
              <w:rPr>
                <w:rFonts w:ascii="Arial" w:cs="Arial" w:eastAsia="Arial" w:hAnsi="Arial"/>
                <w:sz w:val="14"/>
                <w:szCs w:val="14"/>
                <w:color w:val="auto"/>
                <w:w w:val="93"/>
              </w:rPr>
              <w:t xml:space="preserve"> and </w:t>
            </w:r>
            <w:r>
              <w:rPr>
                <w:rFonts w:ascii="Arial" w:cs="Arial" w:eastAsia="Arial" w:hAnsi="Arial"/>
                <w:sz w:val="14"/>
                <w:szCs w:val="14"/>
                <w:i w:val="1"/>
                <w:iCs w:val="1"/>
                <w:color w:val="auto"/>
                <w:w w:val="93"/>
              </w:rPr>
              <w:t>in vivo</w:t>
            </w:r>
            <w:r>
              <w:rPr>
                <w:rFonts w:ascii="Arial" w:cs="Arial" w:eastAsia="Arial" w:hAnsi="Arial"/>
                <w:sz w:val="14"/>
                <w:szCs w:val="14"/>
                <w:color w:val="auto"/>
                <w:w w:val="93"/>
              </w:rPr>
              <w:t xml:space="preserve"> in animal models.</w:t>
            </w:r>
          </w:p>
        </w:tc>
        <w:tc>
          <w:tcPr>
            <w:tcW w:w="0" w:type="dxa"/>
            <w:vAlign w:val="bottom"/>
          </w:tcPr>
          <w:p>
            <w:pPr>
              <w:spacing w:after="0"/>
              <w:rPr>
                <w:sz w:val="1"/>
                <w:szCs w:val="1"/>
                <w:color w:val="auto"/>
              </w:rPr>
            </w:pPr>
          </w:p>
        </w:tc>
      </w:tr>
      <w:tr>
        <w:trPr>
          <w:trHeight w:val="95"/>
        </w:trPr>
        <w:tc>
          <w:tcPr>
            <w:tcW w:w="3080" w:type="dxa"/>
            <w:vAlign w:val="bottom"/>
            <w:tcBorders>
              <w:left w:val="single" w:sz="8" w:color="auto"/>
              <w:right w:val="single" w:sz="8" w:color="auto"/>
            </w:tcBorders>
          </w:tcPr>
          <w:p>
            <w:pPr>
              <w:spacing w:after="0"/>
              <w:rPr>
                <w:sz w:val="8"/>
                <w:szCs w:val="8"/>
                <w:color w:val="auto"/>
              </w:rPr>
            </w:pPr>
          </w:p>
        </w:tc>
        <w:tc>
          <w:tcPr>
            <w:tcW w:w="62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080" w:type="dxa"/>
            <w:vAlign w:val="bottom"/>
            <w:tcBorders>
              <w:left w:val="single" w:sz="8" w:color="auto"/>
              <w:bottom w:val="single" w:sz="8" w:color="auto"/>
              <w:right w:val="single" w:sz="8" w:color="auto"/>
            </w:tcBorders>
          </w:tcPr>
          <w:p>
            <w:pPr>
              <w:spacing w:after="0"/>
              <w:rPr>
                <w:sz w:val="24"/>
                <w:szCs w:val="24"/>
                <w:color w:val="auto"/>
              </w:rPr>
            </w:pPr>
          </w:p>
        </w:tc>
        <w:tc>
          <w:tcPr>
            <w:tcW w:w="6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080" w:type="dxa"/>
            <w:vAlign w:val="bottom"/>
            <w:tcBorders>
              <w:left w:val="single" w:sz="8" w:color="auto"/>
              <w:right w:val="single" w:sz="8" w:color="auto"/>
            </w:tcBorders>
          </w:tcPr>
          <w:p>
            <w:pPr>
              <w:ind w:left="60"/>
              <w:spacing w:after="0" w:line="139" w:lineRule="exact"/>
              <w:rPr>
                <w:sz w:val="20"/>
                <w:szCs w:val="20"/>
                <w:color w:val="auto"/>
              </w:rPr>
            </w:pPr>
            <w:r>
              <w:rPr>
                <w:rFonts w:ascii="Arial" w:cs="Arial" w:eastAsia="Arial" w:hAnsi="Arial"/>
                <w:sz w:val="14"/>
                <w:szCs w:val="14"/>
                <w:color w:val="auto"/>
              </w:rPr>
              <w:t>ADAPTIR Therapeutic Candidates</w:t>
            </w:r>
          </w:p>
        </w:tc>
        <w:tc>
          <w:tcPr>
            <w:tcW w:w="624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4"/>
                <w:szCs w:val="14"/>
                <w:color w:val="auto"/>
                <w:w w:val="94"/>
              </w:rPr>
              <w:t>Other candidates that are focused on immuno-oncology and based on the ADAPTIR platform technology</w:t>
            </w:r>
          </w:p>
        </w:tc>
        <w:tc>
          <w:tcPr>
            <w:tcW w:w="0" w:type="dxa"/>
            <w:vAlign w:val="bottom"/>
          </w:tcPr>
          <w:p>
            <w:pPr>
              <w:spacing w:after="0"/>
              <w:rPr>
                <w:sz w:val="1"/>
                <w:szCs w:val="1"/>
                <w:color w:val="auto"/>
              </w:rPr>
            </w:pPr>
          </w:p>
        </w:tc>
      </w:tr>
      <w:tr>
        <w:trPr>
          <w:trHeight w:val="179"/>
        </w:trPr>
        <w:tc>
          <w:tcPr>
            <w:tcW w:w="3080" w:type="dxa"/>
            <w:vAlign w:val="bottom"/>
            <w:tcBorders>
              <w:left w:val="single" w:sz="8" w:color="auto"/>
              <w:right w:val="single" w:sz="8" w:color="auto"/>
            </w:tcBorders>
          </w:tcPr>
          <w:p>
            <w:pPr>
              <w:spacing w:after="0"/>
              <w:rPr>
                <w:sz w:val="15"/>
                <w:szCs w:val="15"/>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are in different stages of pre-clinical development</w:t>
            </w:r>
          </w:p>
        </w:tc>
        <w:tc>
          <w:tcPr>
            <w:tcW w:w="0" w:type="dxa"/>
            <w:vAlign w:val="bottom"/>
          </w:tcPr>
          <w:p>
            <w:pPr>
              <w:spacing w:after="0"/>
              <w:rPr>
                <w:sz w:val="1"/>
                <w:szCs w:val="1"/>
                <w:color w:val="auto"/>
              </w:rPr>
            </w:pPr>
          </w:p>
        </w:tc>
      </w:tr>
      <w:tr>
        <w:trPr>
          <w:trHeight w:val="158"/>
        </w:trPr>
        <w:tc>
          <w:tcPr>
            <w:tcW w:w="3080" w:type="dxa"/>
            <w:vAlign w:val="bottom"/>
            <w:tcBorders>
              <w:left w:val="single" w:sz="8" w:color="auto"/>
              <w:bottom w:val="single" w:sz="8" w:color="auto"/>
              <w:right w:val="single" w:sz="8" w:color="auto"/>
            </w:tcBorders>
          </w:tcPr>
          <w:p>
            <w:pPr>
              <w:spacing w:after="0"/>
              <w:rPr>
                <w:sz w:val="13"/>
                <w:szCs w:val="13"/>
                <w:color w:val="auto"/>
              </w:rPr>
            </w:pPr>
          </w:p>
        </w:tc>
        <w:tc>
          <w:tcPr>
            <w:tcW w:w="6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40"/>
        <w:spacing w:after="0"/>
        <w:rPr>
          <w:sz w:val="20"/>
          <w:szCs w:val="20"/>
          <w:color w:val="auto"/>
        </w:rPr>
      </w:pPr>
      <w:r>
        <w:rPr>
          <w:rFonts w:ascii="Arial" w:cs="Arial" w:eastAsia="Arial" w:hAnsi="Arial"/>
          <w:sz w:val="13"/>
          <w:szCs w:val="13"/>
          <w:b w:val="1"/>
          <w:bCs w:val="1"/>
          <w:u w:val="single" w:color="auto"/>
          <w:color w:val="auto"/>
        </w:rPr>
        <w:t>IXINITY</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[Schedule 8.2(a)]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13"/>
          <w:szCs w:val="13"/>
          <w:b w:val="1"/>
          <w:bCs w:val="1"/>
          <w:color w:val="auto"/>
        </w:rPr>
        <w:t>Country</w:t>
      </w:r>
    </w:p>
    <w:p>
      <w:pPr>
        <w:ind w:left="140"/>
        <w:spacing w:after="0" w:line="214" w:lineRule="auto"/>
        <w:rPr>
          <w:sz w:val="20"/>
          <w:szCs w:val="20"/>
          <w:color w:val="auto"/>
        </w:rPr>
      </w:pPr>
      <w:r>
        <w:rPr>
          <w:rFonts w:ascii="Arial" w:cs="Arial" w:eastAsia="Arial" w:hAnsi="Arial"/>
          <w:sz w:val="13"/>
          <w:szCs w:val="13"/>
          <w:b w:val="1"/>
          <w:bCs w:val="1"/>
          <w:color w:val="auto"/>
        </w:rPr>
        <w:t>Distributor</w:t>
      </w:r>
    </w:p>
    <w:p>
      <w:pPr>
        <w:spacing w:after="0" w:line="230" w:lineRule="auto"/>
        <w:rPr>
          <w:sz w:val="20"/>
          <w:szCs w:val="20"/>
          <w:color w:val="auto"/>
        </w:rPr>
      </w:pPr>
      <w:r>
        <w:rPr>
          <w:rFonts w:ascii="Arial" w:cs="Arial" w:eastAsia="Arial" w:hAnsi="Arial"/>
          <w:sz w:val="13"/>
          <w:szCs w:val="13"/>
          <w:b w:val="1"/>
          <w:bCs w:val="1"/>
          <w:color w:val="auto"/>
        </w:rPr>
        <w:t>License Holder</w:t>
      </w:r>
    </w:p>
    <w:p>
      <w:pPr>
        <w:ind w:left="100"/>
        <w:spacing w:after="0"/>
        <w:rPr>
          <w:sz w:val="20"/>
          <w:szCs w:val="20"/>
          <w:color w:val="auto"/>
        </w:rPr>
      </w:pPr>
      <w:r>
        <w:rPr>
          <w:rFonts w:ascii="Arial" w:cs="Arial" w:eastAsia="Arial" w:hAnsi="Arial"/>
          <w:sz w:val="13"/>
          <w:szCs w:val="13"/>
          <w:b w:val="1"/>
          <w:bCs w:val="1"/>
          <w:color w:val="auto"/>
        </w:rPr>
        <w:t>Strength (IU)</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Indication (</w:t>
      </w:r>
      <w:r>
        <w:rPr>
          <w:rFonts w:ascii="Arial" w:cs="Arial" w:eastAsia="Arial" w:hAnsi="Arial"/>
          <w:sz w:val="13"/>
          <w:szCs w:val="13"/>
          <w:b w:val="1"/>
          <w:bCs w:val="1"/>
          <w:i w:val="1"/>
          <w:iCs w:val="1"/>
          <w:color w:val="auto"/>
        </w:rPr>
        <w:t>currently proposed</w:t>
      </w:r>
      <w:r>
        <w:rPr>
          <w:rFonts w:ascii="Arial" w:cs="Arial" w:eastAsia="Arial" w:hAnsi="Arial"/>
          <w:sz w:val="13"/>
          <w:szCs w:val="13"/>
          <w:b w:val="1"/>
          <w:bCs w:val="1"/>
          <w:color w:val="auto"/>
        </w:rPr>
        <w:t>)</w:t>
      </w:r>
    </w:p>
    <w:p>
      <w:pPr>
        <w:ind w:left="3640"/>
        <w:spacing w:after="0" w:line="237" w:lineRule="auto"/>
        <w:rPr>
          <w:sz w:val="20"/>
          <w:szCs w:val="20"/>
          <w:color w:val="auto"/>
        </w:rPr>
      </w:pPr>
      <w:r>
        <w:rPr>
          <w:rFonts w:ascii="Arial" w:cs="Arial" w:eastAsia="Arial" w:hAnsi="Arial"/>
          <w:sz w:val="13"/>
          <w:szCs w:val="13"/>
          <w:b w:val="1"/>
          <w:bCs w:val="1"/>
          <w:color w:val="auto"/>
        </w:rPr>
        <w:t>Licensure/ Filing Status (Approved, Launched, Withdrawn, In review, Not</w:t>
      </w:r>
    </w:p>
    <w:p>
      <w:pPr>
        <w:ind w:left="5360"/>
        <w:spacing w:after="0" w:line="214" w:lineRule="auto"/>
        <w:rPr>
          <w:sz w:val="20"/>
          <w:szCs w:val="20"/>
          <w:color w:val="auto"/>
        </w:rPr>
      </w:pPr>
      <w:r>
        <w:rPr>
          <w:rFonts w:ascii="Arial" w:cs="Arial" w:eastAsia="Arial" w:hAnsi="Arial"/>
          <w:sz w:val="13"/>
          <w:szCs w:val="13"/>
          <w:b w:val="1"/>
          <w:bCs w:val="1"/>
          <w:color w:val="auto"/>
        </w:rPr>
        <w:t>submitted)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Original Licensure Approval Date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(yyyy-</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mm-dd</w:t>
      </w:r>
      <w:r>
        <w:rPr>
          <w:rFonts w:ascii="Arial" w:cs="Arial" w:eastAsia="Arial" w:hAnsi="Arial"/>
          <w:sz w:val="13"/>
          <w:szCs w:val="13"/>
          <w:b w:val="1"/>
          <w:bCs w:val="1"/>
          <w:color w:val="auto"/>
        </w:rPr>
        <w: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Licensure Renewal Period</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(yrs)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Most Recent Renewal Date/ Withdrawl Date/ Exp Date</w:t>
      </w:r>
    </w:p>
    <w:p>
      <w:pPr>
        <w:jc w:val="center"/>
        <w:ind w:right="-39"/>
        <w:spacing w:after="0" w:line="229" w:lineRule="auto"/>
        <w:rPr>
          <w:sz w:val="20"/>
          <w:szCs w:val="20"/>
          <w:color w:val="auto"/>
        </w:rPr>
      </w:pPr>
      <w:r>
        <w:rPr>
          <w:rFonts w:ascii="Arial" w:cs="Arial" w:eastAsia="Arial" w:hAnsi="Arial"/>
          <w:sz w:val="13"/>
          <w:szCs w:val="13"/>
          <w:b w:val="1"/>
          <w:bCs w:val="1"/>
          <w:i w:val="1"/>
          <w:iCs w:val="1"/>
          <w:color w:val="auto"/>
        </w:rPr>
        <w:t>(yyyy-mm- dd)</w:t>
      </w:r>
    </w:p>
    <w:p>
      <w:pPr>
        <w:ind w:left="240"/>
        <w:spacing w:after="0" w:line="230" w:lineRule="auto"/>
        <w:rPr>
          <w:sz w:val="20"/>
          <w:szCs w:val="20"/>
          <w:color w:val="auto"/>
        </w:rPr>
      </w:pPr>
      <w:r>
        <w:rPr>
          <w:rFonts w:ascii="Arial" w:cs="Arial" w:eastAsia="Arial" w:hAnsi="Arial"/>
          <w:sz w:val="13"/>
          <w:szCs w:val="13"/>
          <w:b w:val="1"/>
          <w:bCs w:val="1"/>
          <w:color w:val="auto"/>
        </w:rPr>
        <w:t>Registration/ Licence #</w:t>
      </w:r>
    </w:p>
    <w:p>
      <w:pPr>
        <w:jc w:val="center"/>
        <w:ind w:right="-59"/>
        <w:spacing w:after="0"/>
        <w:rPr>
          <w:sz w:val="20"/>
          <w:szCs w:val="20"/>
          <w:color w:val="auto"/>
        </w:rPr>
      </w:pPr>
      <w:r>
        <w:rPr>
          <w:rFonts w:ascii="Arial" w:cs="Arial" w:eastAsia="Arial" w:hAnsi="Arial"/>
          <w:sz w:val="13"/>
          <w:szCs w:val="13"/>
          <w:b w:val="1"/>
          <w:bCs w:val="1"/>
          <w:color w:val="auto"/>
        </w:rPr>
        <w:t>Launch Date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(mm/yyyy)</w:t>
      </w:r>
    </w:p>
    <w:p>
      <w:pPr>
        <w:jc w:val="center"/>
        <w:ind w:right="-59"/>
        <w:spacing w:after="0" w:line="205" w:lineRule="auto"/>
        <w:rPr>
          <w:sz w:val="20"/>
          <w:szCs w:val="20"/>
          <w:color w:val="auto"/>
        </w:rPr>
      </w:pPr>
      <w:r>
        <w:rPr>
          <w:rFonts w:ascii="Arial" w:cs="Arial" w:eastAsia="Arial" w:hAnsi="Arial"/>
          <w:sz w:val="13"/>
          <w:szCs w:val="13"/>
          <w:b w:val="1"/>
          <w:bCs w:val="1"/>
          <w:color w:val="auto"/>
        </w:rPr>
        <w:t>U.S.</w:t>
      </w:r>
    </w:p>
    <w:p>
      <w:pPr>
        <w:spacing w:after="0" w:line="199" w:lineRule="auto"/>
        <w:rPr>
          <w:sz w:val="20"/>
          <w:szCs w:val="20"/>
          <w:color w:val="auto"/>
        </w:rPr>
      </w:pPr>
      <w:r>
        <w:rPr>
          <w:rFonts w:ascii="Arial" w:cs="Arial" w:eastAsia="Arial" w:hAnsi="Arial"/>
          <w:sz w:val="13"/>
          <w:szCs w:val="13"/>
          <w:color w:val="auto"/>
        </w:rPr>
        <w:t>Aptevo</w:t>
      </w:r>
    </w:p>
    <w:p>
      <w:pPr>
        <w:spacing w:after="0" w:line="199" w:lineRule="auto"/>
        <w:rPr>
          <w:sz w:val="20"/>
          <w:szCs w:val="20"/>
          <w:color w:val="auto"/>
        </w:rPr>
      </w:pPr>
      <w:r>
        <w:rPr>
          <w:rFonts w:ascii="Arial" w:cs="Arial" w:eastAsia="Arial" w:hAnsi="Arial"/>
          <w:sz w:val="13"/>
          <w:szCs w:val="13"/>
          <w:color w:val="auto"/>
        </w:rPr>
        <w:t>Aptevo</w:t>
      </w:r>
    </w:p>
    <w:p>
      <w:pPr>
        <w:spacing w:after="0" w:line="215" w:lineRule="auto"/>
        <w:rPr>
          <w:sz w:val="20"/>
          <w:szCs w:val="20"/>
          <w:color w:val="auto"/>
        </w:rPr>
      </w:pPr>
      <w:r>
        <w:rPr>
          <w:rFonts w:ascii="Arial" w:cs="Arial" w:eastAsia="Arial" w:hAnsi="Arial"/>
          <w:sz w:val="13"/>
          <w:szCs w:val="13"/>
          <w:color w:val="auto"/>
        </w:rPr>
        <w:t>500 IU vial*</w:t>
      </w:r>
    </w:p>
    <w:p>
      <w:pPr>
        <w:ind w:right="340"/>
        <w:spacing w:after="0" w:line="237" w:lineRule="auto"/>
        <w:rPr>
          <w:sz w:val="20"/>
          <w:szCs w:val="20"/>
          <w:color w:val="auto"/>
        </w:rPr>
      </w:pPr>
      <w:r>
        <w:rPr>
          <w:rFonts w:ascii="Arial" w:cs="Arial" w:eastAsia="Arial" w:hAnsi="Arial"/>
          <w:sz w:val="13"/>
          <w:szCs w:val="13"/>
          <w:color w:val="auto"/>
        </w:rPr>
        <w:t>IXINITY is a coagulation factor IX (recombinant) indicated in adults and children ≥ 12 years of age with hemophilia B for control and prevention of bleeding episodes, and for perioperative management. IXINITY is not indicated for induction of immune tolerance in patients with hemophilia B.</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Approved</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N/A -</w:t>
      </w:r>
    </w:p>
    <w:p>
      <w:pPr>
        <w:spacing w:after="0" w:line="199" w:lineRule="auto"/>
        <w:rPr>
          <w:sz w:val="20"/>
          <w:szCs w:val="20"/>
          <w:color w:val="auto"/>
        </w:rPr>
      </w:pPr>
      <w:r>
        <w:rPr>
          <w:rFonts w:ascii="Arial" w:cs="Arial" w:eastAsia="Arial" w:hAnsi="Arial"/>
          <w:sz w:val="13"/>
          <w:szCs w:val="13"/>
          <w:color w:val="auto"/>
        </w:rPr>
        <w:t>N/A -</w:t>
      </w:r>
    </w:p>
    <w:p>
      <w:pPr>
        <w:jc w:val="right"/>
        <w:spacing w:after="0" w:line="199" w:lineRule="auto"/>
        <w:rPr>
          <w:sz w:val="20"/>
          <w:szCs w:val="20"/>
          <w:color w:val="auto"/>
        </w:rPr>
      </w:pPr>
      <w:r>
        <w:rPr>
          <w:rFonts w:ascii="Arial" w:cs="Arial" w:eastAsia="Arial" w:hAnsi="Arial"/>
          <w:sz w:val="13"/>
          <w:szCs w:val="13"/>
          <w:color w:val="auto"/>
        </w:rPr>
        <w:t>NDC 70504-0270-1</w:t>
      </w:r>
    </w:p>
    <w:p>
      <w:pPr>
        <w:ind w:left="40"/>
        <w:spacing w:after="0"/>
        <w:rPr>
          <w:sz w:val="20"/>
          <w:szCs w:val="20"/>
          <w:color w:val="auto"/>
        </w:rPr>
      </w:pPr>
      <w:r>
        <w:rPr>
          <w:rFonts w:ascii="Arial" w:cs="Arial" w:eastAsia="Arial" w:hAnsi="Arial"/>
          <w:sz w:val="13"/>
          <w:szCs w:val="13"/>
          <w:color w:val="auto"/>
        </w:rPr>
        <w:t>3/27/2018</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BioTherapeutics</w:t>
      </w:r>
    </w:p>
    <w:p>
      <w:pPr>
        <w:spacing w:after="0"/>
        <w:rPr>
          <w:sz w:val="20"/>
          <w:szCs w:val="20"/>
          <w:color w:val="auto"/>
        </w:rPr>
      </w:pPr>
      <w:r>
        <w:rPr>
          <w:rFonts w:ascii="Arial" w:cs="Arial" w:eastAsia="Arial" w:hAnsi="Arial"/>
          <w:sz w:val="13"/>
          <w:szCs w:val="13"/>
          <w:color w:val="auto"/>
        </w:rPr>
        <w:t>BioTherapeutics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8/30/2016</w:t>
      </w:r>
    </w:p>
    <w:p>
      <w:pPr>
        <w:spacing w:after="0" w:line="183" w:lineRule="auto"/>
        <w:rPr>
          <w:sz w:val="20"/>
          <w:szCs w:val="20"/>
          <w:color w:val="auto"/>
        </w:rPr>
      </w:pPr>
      <w:r>
        <w:rPr>
          <w:rFonts w:ascii="Arial" w:cs="Arial" w:eastAsia="Arial" w:hAnsi="Arial"/>
          <w:sz w:val="13"/>
          <w:szCs w:val="13"/>
          <w:color w:val="auto"/>
        </w:rPr>
        <w:t>Licensure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Licensure</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LLC</w:t>
      </w:r>
    </w:p>
    <w:p>
      <w:pPr>
        <w:spacing w:after="0"/>
        <w:rPr>
          <w:sz w:val="20"/>
          <w:szCs w:val="20"/>
          <w:color w:val="auto"/>
        </w:rPr>
      </w:pPr>
      <w:r>
        <w:rPr>
          <w:rFonts w:ascii="Arial" w:cs="Arial" w:eastAsia="Arial" w:hAnsi="Arial"/>
          <w:sz w:val="13"/>
          <w:szCs w:val="13"/>
          <w:color w:val="auto"/>
        </w:rPr>
        <w:t>LLC</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(date of transfer</w:t>
      </w:r>
    </w:p>
    <w:p>
      <w:pPr>
        <w:ind w:left="340"/>
        <w:spacing w:after="0" w:line="220" w:lineRule="auto"/>
        <w:rPr>
          <w:sz w:val="20"/>
          <w:szCs w:val="20"/>
          <w:color w:val="auto"/>
        </w:rPr>
      </w:pPr>
      <w:r>
        <w:rPr>
          <w:rFonts w:ascii="Arial" w:cs="Arial" w:eastAsia="Arial" w:hAnsi="Arial"/>
          <w:sz w:val="13"/>
          <w:szCs w:val="13"/>
          <w:color w:val="auto"/>
        </w:rPr>
        <w:t>from</w:t>
      </w:r>
    </w:p>
    <w:p>
      <w:pPr>
        <w:spacing w:after="0"/>
        <w:rPr>
          <w:sz w:val="20"/>
          <w:szCs w:val="20"/>
          <w:color w:val="auto"/>
        </w:rPr>
      </w:pPr>
      <w:r>
        <w:rPr>
          <w:rFonts w:ascii="Arial" w:cs="Arial" w:eastAsia="Arial" w:hAnsi="Arial"/>
          <w:sz w:val="13"/>
          <w:szCs w:val="13"/>
          <w:color w:val="auto"/>
        </w:rPr>
        <w:t>valid indefinitely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valid indefinitely</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1000 IU</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vial*</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70504-0270-1</w:t>
      </w:r>
    </w:p>
    <w:p>
      <w:pPr>
        <w:ind w:left="40"/>
        <w:spacing w:after="0"/>
        <w:rPr>
          <w:sz w:val="20"/>
          <w:szCs w:val="20"/>
          <w:color w:val="auto"/>
        </w:rPr>
      </w:pPr>
      <w:r>
        <w:rPr>
          <w:rFonts w:ascii="Arial" w:cs="Arial" w:eastAsia="Arial" w:hAnsi="Arial"/>
          <w:sz w:val="13"/>
          <w:szCs w:val="13"/>
          <w:color w:val="auto"/>
        </w:rPr>
        <w:t>5/22/2017</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3"/>
          <w:szCs w:val="13"/>
          <w:color w:val="auto"/>
        </w:rPr>
        <w:t>Cangene)</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color w:val="auto"/>
        </w:rPr>
        <w:t>1500 IU</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70504-0270-1</w:t>
      </w:r>
    </w:p>
    <w:p>
      <w:pPr>
        <w:ind w:left="40"/>
        <w:spacing w:after="0"/>
        <w:rPr>
          <w:sz w:val="20"/>
          <w:szCs w:val="20"/>
          <w:color w:val="auto"/>
        </w:rPr>
      </w:pPr>
      <w:r>
        <w:rPr>
          <w:rFonts w:ascii="Arial" w:cs="Arial" w:eastAsia="Arial" w:hAnsi="Arial"/>
          <w:sz w:val="13"/>
          <w:szCs w:val="13"/>
          <w:color w:val="auto"/>
        </w:rPr>
        <w:t>5/16/2017</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vial*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500 IU</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70504-0282-5</w:t>
      </w:r>
    </w:p>
    <w:p>
      <w:pPr>
        <w:ind w:left="40"/>
        <w:spacing w:after="0"/>
        <w:rPr>
          <w:sz w:val="20"/>
          <w:szCs w:val="20"/>
          <w:color w:val="auto"/>
        </w:rPr>
      </w:pPr>
      <w:r>
        <w:rPr>
          <w:rFonts w:ascii="Arial" w:cs="Arial" w:eastAsia="Arial" w:hAnsi="Arial"/>
          <w:sz w:val="13"/>
          <w:szCs w:val="13"/>
          <w:color w:val="auto"/>
        </w:rPr>
        <w:t>3/26/2018</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1000 IU</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70504-0283-5</w:t>
      </w:r>
    </w:p>
    <w:p>
      <w:pPr>
        <w:ind w:left="40"/>
        <w:spacing w:after="0"/>
        <w:rPr>
          <w:sz w:val="20"/>
          <w:szCs w:val="20"/>
          <w:color w:val="auto"/>
        </w:rPr>
      </w:pPr>
      <w:r>
        <w:rPr>
          <w:rFonts w:ascii="Arial" w:cs="Arial" w:eastAsia="Arial" w:hAnsi="Arial"/>
          <w:sz w:val="13"/>
          <w:szCs w:val="13"/>
          <w:color w:val="auto"/>
        </w:rPr>
        <w:t>5/22/2017</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1500 IU</w:t>
      </w:r>
    </w:p>
    <w:p>
      <w:pPr>
        <w:spacing w:after="0" w:line="362" w:lineRule="exact"/>
        <w:rPr>
          <w:sz w:val="20"/>
          <w:szCs w:val="20"/>
          <w:color w:val="auto"/>
        </w:rPr>
      </w:pPr>
    </w:p>
    <w:p>
      <w:pPr>
        <w:ind w:left="10260"/>
        <w:spacing w:after="0"/>
        <w:rPr>
          <w:sz w:val="20"/>
          <w:szCs w:val="20"/>
          <w:color w:val="auto"/>
        </w:rPr>
      </w:pPr>
      <w:r>
        <w:rPr>
          <w:rFonts w:ascii="Arial" w:cs="Arial" w:eastAsia="Arial" w:hAnsi="Arial"/>
          <w:sz w:val="12"/>
          <w:szCs w:val="12"/>
          <w:color w:val="auto"/>
        </w:rPr>
        <w:t>NDC 70504-0284-</w:t>
      </w:r>
    </w:p>
    <w:p>
      <w:pPr>
        <w:ind w:left="40"/>
        <w:spacing w:after="0"/>
        <w:rPr>
          <w:sz w:val="20"/>
          <w:szCs w:val="20"/>
          <w:color w:val="auto"/>
        </w:rPr>
      </w:pPr>
      <w:r>
        <w:rPr>
          <w:rFonts w:ascii="Arial" w:cs="Arial" w:eastAsia="Arial" w:hAnsi="Arial"/>
          <w:sz w:val="13"/>
          <w:szCs w:val="13"/>
          <w:color w:val="auto"/>
        </w:rPr>
        <w:t>5/16/2017</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ectPr>
          <w:pgSz w:w="11900" w:h="16838" w:orient="portrait"/>
          <w:cols w:equalWidth="0" w:num="1">
            <w:col w:w="11280"/>
          </w:cols>
          <w:pgMar w:left="300" w:top="116" w:right="319" w:bottom="0" w:gutter="0" w:footer="0" w:header="0"/>
        </w:sectPr>
      </w:pPr>
    </w:p>
    <w:bookmarkStart w:id="261" w:name="page262"/>
    <w:bookmarkEnd w:id="261"/>
    <w:p>
      <w:pPr>
        <w:spacing w:after="0"/>
        <w:rPr>
          <w:sz w:val="20"/>
          <w:szCs w:val="20"/>
          <w:color w:val="auto"/>
        </w:rPr>
      </w:pPr>
      <w:r>
        <w:rPr>
          <w:rFonts w:ascii="Arial" w:cs="Arial" w:eastAsia="Arial" w:hAnsi="Arial"/>
          <w:sz w:val="13"/>
          <w:szCs w:val="13"/>
          <w:color w:val="auto"/>
        </w:rPr>
        <w:t>1000 IU -</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70504-0285-6</w:t>
      </w:r>
    </w:p>
    <w:p>
      <w:pPr>
        <w:ind w:left="40"/>
        <w:spacing w:after="0"/>
        <w:rPr>
          <w:sz w:val="20"/>
          <w:szCs w:val="20"/>
          <w:color w:val="auto"/>
        </w:rPr>
      </w:pPr>
      <w:r>
        <w:rPr>
          <w:rFonts w:ascii="Arial" w:cs="Arial" w:eastAsia="Arial" w:hAnsi="Arial"/>
          <w:sz w:val="13"/>
          <w:szCs w:val="13"/>
          <w:color w:val="auto"/>
        </w:rPr>
        <w:t>N/A</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x2 carton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1500 - x2</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70504-0286-6</w:t>
      </w:r>
    </w:p>
    <w:p>
      <w:pPr>
        <w:ind w:left="40"/>
        <w:spacing w:after="0"/>
        <w:rPr>
          <w:sz w:val="20"/>
          <w:szCs w:val="20"/>
          <w:color w:val="auto"/>
        </w:rPr>
      </w:pPr>
      <w:r>
        <w:rPr>
          <w:rFonts w:ascii="Arial" w:cs="Arial" w:eastAsia="Arial" w:hAnsi="Arial"/>
          <w:sz w:val="13"/>
          <w:szCs w:val="13"/>
          <w:color w:val="auto"/>
        </w:rPr>
        <w:t>N/A</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5 mL</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NDC 70504-0280-1</w:t>
      </w:r>
    </w:p>
    <w:p>
      <w:pPr>
        <w:ind w:left="40"/>
        <w:spacing w:after="0"/>
        <w:rPr>
          <w:sz w:val="20"/>
          <w:szCs w:val="20"/>
          <w:color w:val="auto"/>
        </w:rPr>
      </w:pPr>
      <w:r>
        <w:rPr>
          <w:rFonts w:ascii="Arial" w:cs="Arial" w:eastAsia="Arial" w:hAnsi="Arial"/>
          <w:sz w:val="13"/>
          <w:szCs w:val="13"/>
          <w:color w:val="auto"/>
        </w:rPr>
        <w:t>5/16/2017</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Sterile, WFI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prefilled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mL syringe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250 IU vial</w:t>
      </w:r>
    </w:p>
    <w:p>
      <w:pPr>
        <w:spacing w:after="0" w:line="343"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NDC 70504-0275-1</w:t>
      </w:r>
    </w:p>
    <w:p>
      <w:pPr>
        <w:spacing w:after="0"/>
        <w:rPr>
          <w:sz w:val="20"/>
          <w:szCs w:val="20"/>
          <w:color w:val="auto"/>
        </w:rPr>
      </w:pPr>
      <w:r>
        <w:rPr>
          <w:rFonts w:ascii="Arial" w:cs="Arial" w:eastAsia="Arial" w:hAnsi="Arial"/>
          <w:sz w:val="13"/>
          <w:szCs w:val="13"/>
          <w:color w:val="auto"/>
        </w:rPr>
        <w:t>N/A</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2000 IU vial</w:t>
      </w:r>
    </w:p>
    <w:p>
      <w:pPr>
        <w:spacing w:after="0" w:line="200"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NDC 70504-0276-1</w:t>
      </w:r>
    </w:p>
    <w:p>
      <w:pPr>
        <w:spacing w:after="0"/>
        <w:rPr>
          <w:sz w:val="20"/>
          <w:szCs w:val="20"/>
          <w:color w:val="auto"/>
        </w:rPr>
      </w:pPr>
      <w:r>
        <w:rPr>
          <w:rFonts w:ascii="Arial" w:cs="Arial" w:eastAsia="Arial" w:hAnsi="Arial"/>
          <w:sz w:val="13"/>
          <w:szCs w:val="13"/>
          <w:color w:val="auto"/>
        </w:rPr>
        <w:t>N/A</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3000 IU vial</w:t>
      </w:r>
    </w:p>
    <w:p>
      <w:pPr>
        <w:spacing w:after="0" w:line="200"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NDC 70504-0277-1</w:t>
      </w:r>
    </w:p>
    <w:p>
      <w:pPr>
        <w:spacing w:after="0"/>
        <w:rPr>
          <w:sz w:val="20"/>
          <w:szCs w:val="20"/>
          <w:color w:val="auto"/>
        </w:rPr>
      </w:pPr>
      <w:r>
        <w:rPr>
          <w:rFonts w:ascii="Arial" w:cs="Arial" w:eastAsia="Arial" w:hAnsi="Arial"/>
          <w:sz w:val="13"/>
          <w:szCs w:val="13"/>
          <w:color w:val="auto"/>
        </w:rPr>
        <w:t>N/A</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250 IU</w:t>
      </w:r>
    </w:p>
    <w:p>
      <w:pPr>
        <w:spacing w:after="0" w:line="181"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NDC 70504-0287-5</w:t>
      </w:r>
    </w:p>
    <w:p>
      <w:pPr>
        <w:spacing w:after="0"/>
        <w:rPr>
          <w:sz w:val="20"/>
          <w:szCs w:val="20"/>
          <w:color w:val="auto"/>
        </w:rPr>
      </w:pPr>
      <w:r>
        <w:rPr>
          <w:rFonts w:ascii="Arial" w:cs="Arial" w:eastAsia="Arial" w:hAnsi="Arial"/>
          <w:sz w:val="13"/>
          <w:szCs w:val="13"/>
          <w:color w:val="auto"/>
        </w:rPr>
        <w:t>N/A</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2000 IU</w:t>
      </w:r>
    </w:p>
    <w:p>
      <w:pPr>
        <w:spacing w:after="0" w:line="181" w:lineRule="exact"/>
        <w:rPr>
          <w:sz w:val="20"/>
          <w:szCs w:val="20"/>
          <w:color w:val="auto"/>
        </w:rPr>
      </w:pPr>
    </w:p>
    <w:p>
      <w:pPr>
        <w:ind w:left="10200"/>
        <w:spacing w:after="0"/>
        <w:rPr>
          <w:sz w:val="20"/>
          <w:szCs w:val="20"/>
          <w:color w:val="auto"/>
        </w:rPr>
      </w:pPr>
      <w:r>
        <w:rPr>
          <w:rFonts w:ascii="Arial" w:cs="Arial" w:eastAsia="Arial" w:hAnsi="Arial"/>
          <w:sz w:val="12"/>
          <w:szCs w:val="12"/>
          <w:color w:val="auto"/>
        </w:rPr>
        <w:t>NDC 70504-0288-5</w:t>
      </w:r>
    </w:p>
    <w:p>
      <w:pPr>
        <w:spacing w:after="0"/>
        <w:rPr>
          <w:sz w:val="20"/>
          <w:szCs w:val="20"/>
          <w:color w:val="auto"/>
        </w:rPr>
      </w:pPr>
      <w:r>
        <w:rPr>
          <w:rFonts w:ascii="Arial" w:cs="Arial" w:eastAsia="Arial" w:hAnsi="Arial"/>
          <w:sz w:val="13"/>
          <w:szCs w:val="13"/>
          <w:color w:val="auto"/>
        </w:rPr>
        <w:t>N/A</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carton</w:t>
      </w:r>
    </w:p>
    <w:p>
      <w:pPr>
        <w:sectPr>
          <w:pgSz w:w="11900" w:h="16838" w:orient="portrait"/>
          <w:cols w:equalWidth="0" w:num="1">
            <w:col w:w="11280"/>
          </w:cols>
          <w:pgMar w:left="300" w:top="723" w:right="319" w:bottom="98" w:gutter="0" w:footer="0" w:header="0"/>
        </w:sectPr>
      </w:pPr>
    </w:p>
    <w:bookmarkStart w:id="262" w:name="page263"/>
    <w:bookmarkEnd w:id="2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r>
        <w:rPr>
          <w:rFonts w:ascii="Arial" w:cs="Arial" w:eastAsia="Arial" w:hAnsi="Arial"/>
          <w:sz w:val="12"/>
          <w:szCs w:val="12"/>
          <w:color w:val="auto"/>
        </w:rPr>
        <w:t>[Schedule 8.2(a)]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320040</wp:posOffset>
            </wp:positionV>
            <wp:extent cx="732409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996" w:right="1440" w:bottom="1440" w:gutter="0" w:footer="0" w:header="0"/>
        </w:sectPr>
      </w:pPr>
    </w:p>
    <w:bookmarkStart w:id="265" w:name="page266"/>
    <w:bookmarkEnd w:id="265"/>
    <w:p>
      <w:pPr>
        <w:ind w:left="80"/>
        <w:spacing w:after="0"/>
        <w:rPr>
          <w:sz w:val="20"/>
          <w:szCs w:val="20"/>
          <w:color w:val="auto"/>
        </w:rPr>
      </w:pPr>
      <w:r>
        <w:rPr>
          <w:rFonts w:ascii="Arial" w:cs="Arial" w:eastAsia="Arial" w:hAnsi="Arial"/>
          <w:sz w:val="13"/>
          <w:szCs w:val="13"/>
          <w:color w:val="auto"/>
        </w:rPr>
        <w:t>3000 IU</w:t>
      </w:r>
    </w:p>
    <w:p>
      <w:pPr>
        <w:ind w:left="80"/>
        <w:spacing w:after="0"/>
        <w:rPr>
          <w:sz w:val="20"/>
          <w:szCs w:val="20"/>
          <w:color w:val="auto"/>
        </w:rPr>
      </w:pPr>
      <w:r>
        <w:rPr>
          <w:rFonts w:ascii="Arial" w:cs="Arial" w:eastAsia="Arial" w:hAnsi="Arial"/>
          <w:sz w:val="13"/>
          <w:szCs w:val="13"/>
          <w:color w:val="auto"/>
        </w:rPr>
        <w:t>carton</w:t>
      </w: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3"/>
          <w:szCs w:val="13"/>
          <w:color w:val="auto"/>
        </w:rPr>
        <w:t>NDC 70504-0289-5</w:t>
      </w:r>
    </w:p>
    <w:p>
      <w:pPr>
        <w:ind w:left="80"/>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Only active strengths currently being manufactured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[Schedule 8.2(a)]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305435</wp:posOffset>
            </wp:positionV>
            <wp:extent cx="732409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39"/>
          </w:cols>
          <w:pgMar w:left="220" w:top="1357" w:right="1440" w:bottom="1440" w:gutter="0" w:footer="0" w:header="0"/>
        </w:sectPr>
      </w:pPr>
    </w:p>
    <w:bookmarkStart w:id="266" w:name="page267"/>
    <w:bookmarkEnd w:id="266"/>
    <w:p>
      <w:pPr>
        <w:ind w:left="940"/>
        <w:spacing w:after="0"/>
        <w:rPr>
          <w:sz w:val="20"/>
          <w:szCs w:val="20"/>
          <w:color w:val="auto"/>
        </w:rPr>
      </w:pPr>
      <w:r>
        <w:rPr>
          <w:rFonts w:ascii="Arial" w:cs="Arial" w:eastAsia="Arial" w:hAnsi="Arial"/>
          <w:sz w:val="14"/>
          <w:szCs w:val="14"/>
          <w:b w:val="1"/>
          <w:bCs w:val="1"/>
          <w:color w:val="auto"/>
        </w:rPr>
        <w:t>Schedule 8.2(b) – Exceptions to Healthcare Representations and Warranties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019"/>
        <w:spacing w:after="0"/>
        <w:rPr>
          <w:sz w:val="20"/>
          <w:szCs w:val="20"/>
          <w:color w:val="auto"/>
        </w:rPr>
      </w:pPr>
      <w:r>
        <w:rPr>
          <w:rFonts w:ascii="Arial" w:cs="Arial" w:eastAsia="Arial" w:hAnsi="Arial"/>
          <w:sz w:val="14"/>
          <w:szCs w:val="14"/>
          <w:color w:val="auto"/>
        </w:rPr>
        <w:t>[Schedule 8.2(b)]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281305</wp:posOffset>
            </wp:positionV>
            <wp:extent cx="732409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099"/>
          </w:cols>
          <w:pgMar w:left="360" w:top="159" w:right="1440" w:bottom="1440" w:gutter="0" w:footer="0" w:header="0"/>
        </w:sectPr>
      </w:pPr>
    </w:p>
    <w:bookmarkStart w:id="267" w:name="page268"/>
    <w:bookmarkEnd w:id="267"/>
    <w:p>
      <w:pPr>
        <w:ind w:left="4200"/>
        <w:spacing w:after="0"/>
        <w:rPr>
          <w:sz w:val="20"/>
          <w:szCs w:val="20"/>
          <w:color w:val="auto"/>
        </w:rPr>
      </w:pPr>
      <w:r>
        <w:rPr>
          <w:rFonts w:ascii="Arial" w:cs="Arial" w:eastAsia="Arial" w:hAnsi="Arial"/>
          <w:sz w:val="14"/>
          <w:szCs w:val="14"/>
          <w:b w:val="1"/>
          <w:bCs w:val="1"/>
          <w:color w:val="auto"/>
        </w:rPr>
        <w:t>Schedule 9.1 – Collateral</w:t>
      </w:r>
    </w:p>
    <w:p>
      <w:pPr>
        <w:spacing w:after="0" w:line="158" w:lineRule="exact"/>
        <w:rPr>
          <w:sz w:val="20"/>
          <w:szCs w:val="20"/>
          <w:color w:val="auto"/>
        </w:rPr>
      </w:pPr>
    </w:p>
    <w:p>
      <w:pPr>
        <w:ind w:right="20" w:firstLine="841"/>
        <w:spacing w:after="0" w:line="268" w:lineRule="auto"/>
        <w:rPr>
          <w:sz w:val="20"/>
          <w:szCs w:val="20"/>
          <w:color w:val="auto"/>
        </w:rPr>
      </w:pPr>
      <w:r>
        <w:rPr>
          <w:rFonts w:ascii="Arial" w:cs="Arial" w:eastAsia="Arial" w:hAnsi="Arial"/>
          <w:sz w:val="14"/>
          <w:szCs w:val="14"/>
          <w:color w:val="auto"/>
        </w:rPr>
        <w:t>The Collateral consists of all of Borrower’s assets (other than Excluded Property), including without limitation, all of Borrower’s right, title and interest in and to the following, whether now owned or hereafter created, acquired or arising:</w:t>
      </w:r>
    </w:p>
    <w:p>
      <w:pPr>
        <w:spacing w:after="0" w:line="118" w:lineRule="exact"/>
        <w:rPr>
          <w:sz w:val="20"/>
          <w:szCs w:val="20"/>
          <w:color w:val="auto"/>
        </w:rPr>
      </w:pPr>
    </w:p>
    <w:p>
      <w:pPr>
        <w:jc w:val="both"/>
        <w:ind w:left="1500" w:hanging="641"/>
        <w:spacing w:after="0" w:line="276" w:lineRule="auto"/>
        <w:tabs>
          <w:tab w:leader="none" w:pos="150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all goods, Accounts (including health-care insurance receivables),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14" w:lineRule="exact"/>
        <w:rPr>
          <w:rFonts w:ascii="Arial" w:cs="Arial" w:eastAsia="Arial" w:hAnsi="Arial"/>
          <w:sz w:val="13"/>
          <w:szCs w:val="13"/>
          <w:color w:val="auto"/>
        </w:rPr>
      </w:pPr>
    </w:p>
    <w:p>
      <w:pPr>
        <w:ind w:left="1500" w:hanging="641"/>
        <w:spacing w:after="0"/>
        <w:tabs>
          <w:tab w:leader="none" w:pos="1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all of Borrowers’ books and records relating to any of the foregoing; and</w:t>
      </w:r>
    </w:p>
    <w:p>
      <w:pPr>
        <w:spacing w:after="0" w:line="154" w:lineRule="exact"/>
        <w:rPr>
          <w:rFonts w:ascii="Arial" w:cs="Arial" w:eastAsia="Arial" w:hAnsi="Arial"/>
          <w:sz w:val="14"/>
          <w:szCs w:val="14"/>
          <w:color w:val="auto"/>
        </w:rPr>
      </w:pPr>
    </w:p>
    <w:p>
      <w:pPr>
        <w:ind w:left="1500" w:right="40" w:hanging="641"/>
        <w:spacing w:after="0" w:line="268" w:lineRule="auto"/>
        <w:tabs>
          <w:tab w:leader="none" w:pos="15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any and all claims, rights and interests in any of the above and all substitutions for, additions, attachments, accessories, accessions and improvements to and replacements, products, proceeds and insurance proceeds of any or all of the foregoing.</w:t>
      </w:r>
    </w:p>
    <w:p>
      <w:pPr>
        <w:spacing w:after="0" w:line="118" w:lineRule="exact"/>
        <w:rPr>
          <w:sz w:val="20"/>
          <w:szCs w:val="20"/>
          <w:color w:val="auto"/>
        </w:rPr>
      </w:pPr>
    </w:p>
    <w:p>
      <w:pPr>
        <w:ind w:right="20" w:firstLine="840"/>
        <w:spacing w:after="0" w:line="268" w:lineRule="auto"/>
        <w:rPr>
          <w:sz w:val="20"/>
          <w:szCs w:val="20"/>
          <w:color w:val="auto"/>
        </w:rPr>
      </w:pPr>
      <w:r>
        <w:rPr>
          <w:rFonts w:ascii="Arial" w:cs="Arial" w:eastAsia="Arial" w:hAnsi="Arial"/>
          <w:sz w:val="14"/>
          <w:szCs w:val="14"/>
          <w:color w:val="auto"/>
        </w:rPr>
        <w:t>Pursuant to the terms of a certain negative pledge arrangement with Agent and Lenders, Borrower has agreed not to encumber any of its Intellectual Property without Agent’s and Lenders’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341630</wp:posOffset>
            </wp:positionV>
            <wp:extent cx="732409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1220"/>
          </w:cols>
          <w:pgMar w:left="360" w:top="161" w:right="319" w:bottom="1440" w:gutter="0" w:footer="0" w:header="0"/>
        </w:sectPr>
      </w:pPr>
    </w:p>
    <w:bookmarkStart w:id="268" w:name="page269"/>
    <w:bookmarkEnd w:id="268"/>
    <w:tbl>
      <w:tblPr>
        <w:tblLayout w:type="fixed"/>
        <w:tblInd w:w="850" w:type="dxa"/>
        <w:tblCellMar>
          <w:top w:w="0" w:type="dxa"/>
          <w:left w:w="0" w:type="dxa"/>
          <w:bottom w:w="0" w:type="dxa"/>
          <w:right w:w="0" w:type="dxa"/>
        </w:tblCellMar>
      </w:tblPr>
      <w:tr>
        <w:trPr>
          <w:trHeight w:val="198"/>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5"/>
                <w:szCs w:val="15"/>
                <w:b w:val="1"/>
                <w:bCs w:val="1"/>
                <w:color w:val="auto"/>
                <w:w w:val="98"/>
              </w:rPr>
              <w:t>Schedule 9.2 – Location of Collateral</w:t>
            </w:r>
          </w:p>
        </w:tc>
      </w:tr>
      <w:tr>
        <w:trPr>
          <w:trHeight w:val="145"/>
        </w:trPr>
        <w:tc>
          <w:tcPr>
            <w:tcW w:w="156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tcPr>
          <w:p>
            <w:pPr>
              <w:spacing w:after="0"/>
              <w:rPr>
                <w:sz w:val="12"/>
                <w:szCs w:val="12"/>
                <w:color w:val="auto"/>
              </w:rPr>
            </w:pPr>
          </w:p>
        </w:tc>
      </w:tr>
      <w:tr>
        <w:trPr>
          <w:trHeight w:val="204"/>
        </w:trPr>
        <w:tc>
          <w:tcPr>
            <w:tcW w:w="1560" w:type="dxa"/>
            <w:vAlign w:val="bottom"/>
            <w:tcBorders>
              <w:left w:val="single" w:sz="8" w:color="auto"/>
              <w:right w:val="single" w:sz="8" w:color="auto"/>
            </w:tcBorders>
            <w:shd w:val="clear" w:color="auto" w:fill="FFC000"/>
          </w:tcPr>
          <w:p>
            <w:pPr>
              <w:ind w:left="800"/>
              <w:spacing w:after="0"/>
              <w:rPr>
                <w:sz w:val="20"/>
                <w:szCs w:val="20"/>
                <w:color w:val="auto"/>
              </w:rPr>
            </w:pPr>
            <w:r>
              <w:rPr>
                <w:rFonts w:ascii="Arial" w:cs="Arial" w:eastAsia="Arial" w:hAnsi="Arial"/>
                <w:sz w:val="14"/>
                <w:szCs w:val="14"/>
                <w:color w:val="auto"/>
              </w:rPr>
              <w:t>Borrower</w:t>
            </w:r>
          </w:p>
        </w:tc>
        <w:tc>
          <w:tcPr>
            <w:tcW w:w="2100" w:type="dxa"/>
            <w:vAlign w:val="bottom"/>
            <w:tcBorders>
              <w:right w:val="single" w:sz="8" w:color="auto"/>
            </w:tcBorders>
            <w:shd w:val="clear" w:color="auto" w:fill="FFC000"/>
          </w:tcPr>
          <w:p>
            <w:pPr>
              <w:ind w:left="380"/>
              <w:spacing w:after="0"/>
              <w:rPr>
                <w:sz w:val="20"/>
                <w:szCs w:val="20"/>
                <w:color w:val="auto"/>
              </w:rPr>
            </w:pPr>
            <w:r>
              <w:rPr>
                <w:rFonts w:ascii="Arial" w:cs="Arial" w:eastAsia="Arial" w:hAnsi="Arial"/>
                <w:sz w:val="14"/>
                <w:szCs w:val="14"/>
                <w:color w:val="auto"/>
              </w:rPr>
              <w:t>Chief Executive Office</w:t>
            </w:r>
          </w:p>
        </w:tc>
        <w:tc>
          <w:tcPr>
            <w:tcW w:w="2640" w:type="dxa"/>
            <w:vAlign w:val="bottom"/>
            <w:tcBorders>
              <w:right w:val="single" w:sz="8" w:color="auto"/>
            </w:tcBorders>
            <w:shd w:val="clear" w:color="auto" w:fill="FFC000"/>
          </w:tcPr>
          <w:p>
            <w:pPr>
              <w:ind w:left="180"/>
              <w:spacing w:after="0"/>
              <w:rPr>
                <w:sz w:val="20"/>
                <w:szCs w:val="20"/>
                <w:color w:val="auto"/>
              </w:rPr>
            </w:pPr>
            <w:r>
              <w:rPr>
                <w:rFonts w:ascii="Arial" w:cs="Arial" w:eastAsia="Arial" w:hAnsi="Arial"/>
                <w:sz w:val="15"/>
                <w:szCs w:val="15"/>
                <w:color w:val="auto"/>
              </w:rPr>
              <w:t>Location of Books/Records and/or</w:t>
            </w:r>
          </w:p>
        </w:tc>
      </w:tr>
      <w:tr>
        <w:trPr>
          <w:trHeight w:val="239"/>
        </w:trPr>
        <w:tc>
          <w:tcPr>
            <w:tcW w:w="1560" w:type="dxa"/>
            <w:vAlign w:val="bottom"/>
            <w:tcBorders>
              <w:left w:val="single" w:sz="8" w:color="auto"/>
              <w:bottom w:val="single" w:sz="8" w:color="FFC000"/>
              <w:right w:val="single" w:sz="8" w:color="auto"/>
            </w:tcBorders>
            <w:shd w:val="clear" w:color="auto" w:fill="FFC000"/>
          </w:tcPr>
          <w:p>
            <w:pPr>
              <w:spacing w:after="0"/>
              <w:rPr>
                <w:sz w:val="20"/>
                <w:szCs w:val="20"/>
                <w:color w:val="auto"/>
              </w:rPr>
            </w:pPr>
          </w:p>
        </w:tc>
        <w:tc>
          <w:tcPr>
            <w:tcW w:w="2100" w:type="dxa"/>
            <w:vAlign w:val="bottom"/>
            <w:tcBorders>
              <w:bottom w:val="single" w:sz="8" w:color="FFC000"/>
              <w:right w:val="single" w:sz="8" w:color="auto"/>
            </w:tcBorders>
            <w:shd w:val="clear" w:color="auto" w:fill="FFC000"/>
          </w:tcPr>
          <w:p>
            <w:pPr>
              <w:spacing w:after="0"/>
              <w:rPr>
                <w:sz w:val="20"/>
                <w:szCs w:val="20"/>
                <w:color w:val="auto"/>
              </w:rPr>
            </w:pPr>
          </w:p>
        </w:tc>
        <w:tc>
          <w:tcPr>
            <w:tcW w:w="2640" w:type="dxa"/>
            <w:vAlign w:val="bottom"/>
            <w:tcBorders>
              <w:bottom w:val="single" w:sz="8" w:color="FFC000"/>
              <w:right w:val="single" w:sz="8" w:color="auto"/>
            </w:tcBorders>
            <w:shd w:val="clear" w:color="auto" w:fill="FFC000"/>
          </w:tcPr>
          <w:p>
            <w:pPr>
              <w:ind w:left="520"/>
              <w:spacing w:after="0"/>
              <w:rPr>
                <w:sz w:val="20"/>
                <w:szCs w:val="20"/>
                <w:color w:val="auto"/>
              </w:rPr>
            </w:pPr>
            <w:r>
              <w:rPr>
                <w:rFonts w:ascii="Arial" w:cs="Arial" w:eastAsia="Arial" w:hAnsi="Arial"/>
                <w:sz w:val="15"/>
                <w:szCs w:val="15"/>
                <w:color w:val="auto"/>
              </w:rPr>
              <w:t>Collateral</w:t>
            </w:r>
          </w:p>
        </w:tc>
      </w:tr>
      <w:tr>
        <w:trPr>
          <w:trHeight w:val="168"/>
        </w:trPr>
        <w:tc>
          <w:tcPr>
            <w:tcW w:w="15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5"/>
              </w:rPr>
              <w:t>Aptevo Therapeutics Inc</w:t>
            </w:r>
          </w:p>
        </w:tc>
        <w:tc>
          <w:tcPr>
            <w:tcW w:w="2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w w:val="95"/>
              </w:rPr>
              <w:t>2401 4</w:t>
            </w:r>
            <w:r>
              <w:rPr>
                <w:rFonts w:ascii="Arial" w:cs="Arial" w:eastAsia="Arial" w:hAnsi="Arial"/>
                <w:sz w:val="11"/>
                <w:szCs w:val="11"/>
                <w:color w:val="auto"/>
                <w:w w:val="95"/>
              </w:rPr>
              <w:t>th</w:t>
            </w:r>
            <w:r>
              <w:rPr>
                <w:rFonts w:ascii="Arial" w:cs="Arial" w:eastAsia="Arial" w:hAnsi="Arial"/>
                <w:sz w:val="14"/>
                <w:szCs w:val="14"/>
                <w:color w:val="auto"/>
                <w:w w:val="95"/>
              </w:rPr>
              <w:t xml:space="preserve"> Ave, Suite 1050, Seattle,</w:t>
            </w:r>
          </w:p>
        </w:tc>
        <w:tc>
          <w:tcPr>
            <w:tcW w:w="26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2401 4</w:t>
            </w:r>
            <w:r>
              <w:rPr>
                <w:rFonts w:ascii="Arial" w:cs="Arial" w:eastAsia="Arial" w:hAnsi="Arial"/>
                <w:sz w:val="11"/>
                <w:szCs w:val="11"/>
                <w:color w:val="auto"/>
              </w:rPr>
              <w:t>th</w:t>
            </w:r>
            <w:r>
              <w:rPr>
                <w:rFonts w:ascii="Arial" w:cs="Arial" w:eastAsia="Arial" w:hAnsi="Arial"/>
                <w:sz w:val="14"/>
                <w:szCs w:val="14"/>
                <w:color w:val="auto"/>
              </w:rPr>
              <w:t xml:space="preserve"> Ave, Suite 1050, Seattle,</w:t>
            </w:r>
          </w:p>
        </w:tc>
      </w:tr>
      <w:tr>
        <w:trPr>
          <w:trHeight w:val="179"/>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WA 98121</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WA 98121 (Leased)</w:t>
            </w:r>
          </w:p>
        </w:tc>
      </w:tr>
      <w:tr>
        <w:trPr>
          <w:trHeight w:val="53"/>
        </w:trPr>
        <w:tc>
          <w:tcPr>
            <w:tcW w:w="1560" w:type="dxa"/>
            <w:vAlign w:val="bottom"/>
            <w:tcBorders>
              <w:left w:val="single" w:sz="8" w:color="auto"/>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r>
      <w:tr>
        <w:trPr>
          <w:trHeight w:val="152"/>
        </w:trPr>
        <w:tc>
          <w:tcPr>
            <w:tcW w:w="1560" w:type="dxa"/>
            <w:vAlign w:val="bottom"/>
            <w:tcBorders>
              <w:left w:val="single" w:sz="8" w:color="auto"/>
              <w:right w:val="single" w:sz="8" w:color="auto"/>
            </w:tcBorders>
          </w:tcPr>
          <w:p>
            <w:pPr>
              <w:ind w:left="80"/>
              <w:spacing w:after="0" w:line="152" w:lineRule="exact"/>
              <w:rPr>
                <w:sz w:val="20"/>
                <w:szCs w:val="20"/>
                <w:color w:val="auto"/>
              </w:rPr>
            </w:pPr>
            <w:r>
              <w:rPr>
                <w:rFonts w:ascii="Arial" w:cs="Arial" w:eastAsia="Arial" w:hAnsi="Arial"/>
                <w:sz w:val="14"/>
                <w:szCs w:val="14"/>
                <w:color w:val="auto"/>
              </w:rPr>
              <w:t>Aptevo Research and</w:t>
            </w:r>
          </w:p>
        </w:tc>
        <w:tc>
          <w:tcPr>
            <w:tcW w:w="210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4"/>
                <w:szCs w:val="14"/>
                <w:color w:val="auto"/>
                <w:w w:val="95"/>
              </w:rPr>
              <w:t>2401 4</w:t>
            </w:r>
            <w:r>
              <w:rPr>
                <w:rFonts w:ascii="Arial" w:cs="Arial" w:eastAsia="Arial" w:hAnsi="Arial"/>
                <w:sz w:val="11"/>
                <w:szCs w:val="11"/>
                <w:color w:val="auto"/>
                <w:w w:val="95"/>
              </w:rPr>
              <w:t>th</w:t>
            </w:r>
            <w:r>
              <w:rPr>
                <w:rFonts w:ascii="Arial" w:cs="Arial" w:eastAsia="Arial" w:hAnsi="Arial"/>
                <w:sz w:val="14"/>
                <w:szCs w:val="14"/>
                <w:color w:val="auto"/>
                <w:w w:val="95"/>
              </w:rPr>
              <w:t xml:space="preserve"> Ave, Suite 1050, Seattle,</w:t>
            </w:r>
          </w:p>
        </w:tc>
        <w:tc>
          <w:tcPr>
            <w:tcW w:w="2640" w:type="dxa"/>
            <w:vAlign w:val="bottom"/>
            <w:tcBorders>
              <w:right w:val="single" w:sz="8" w:color="auto"/>
            </w:tcBorders>
          </w:tcPr>
          <w:p>
            <w:pPr>
              <w:ind w:left="60"/>
              <w:spacing w:after="0" w:line="152" w:lineRule="exact"/>
              <w:rPr>
                <w:sz w:val="20"/>
                <w:szCs w:val="20"/>
                <w:color w:val="auto"/>
              </w:rPr>
            </w:pPr>
            <w:r>
              <w:rPr>
                <w:rFonts w:ascii="Arial" w:cs="Arial" w:eastAsia="Arial" w:hAnsi="Arial"/>
                <w:sz w:val="14"/>
                <w:szCs w:val="14"/>
                <w:color w:val="auto"/>
              </w:rPr>
              <w:t>2401 4</w:t>
            </w:r>
            <w:r>
              <w:rPr>
                <w:rFonts w:ascii="Arial" w:cs="Arial" w:eastAsia="Arial" w:hAnsi="Arial"/>
                <w:sz w:val="11"/>
                <w:szCs w:val="11"/>
                <w:color w:val="auto"/>
              </w:rPr>
              <w:t>th</w:t>
            </w:r>
            <w:r>
              <w:rPr>
                <w:rFonts w:ascii="Arial" w:cs="Arial" w:eastAsia="Arial" w:hAnsi="Arial"/>
                <w:sz w:val="14"/>
                <w:szCs w:val="14"/>
                <w:color w:val="auto"/>
              </w:rPr>
              <w:t xml:space="preserve"> Ave, Suite 1050, Seattle,</w:t>
            </w:r>
          </w:p>
        </w:tc>
      </w:tr>
      <w:tr>
        <w:trPr>
          <w:trHeight w:val="195"/>
        </w:trPr>
        <w:tc>
          <w:tcPr>
            <w:tcW w:w="15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Development LLC</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WA 98121</w:t>
            </w: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WA 98121 (Leased)</w:t>
            </w:r>
          </w:p>
        </w:tc>
      </w:tr>
      <w:tr>
        <w:trPr>
          <w:trHeight w:val="53"/>
        </w:trPr>
        <w:tc>
          <w:tcPr>
            <w:tcW w:w="1560" w:type="dxa"/>
            <w:vAlign w:val="bottom"/>
            <w:tcBorders>
              <w:left w:val="single" w:sz="8" w:color="auto"/>
              <w:right w:val="single" w:sz="8" w:color="auto"/>
            </w:tcBorders>
          </w:tcPr>
          <w:p>
            <w:pPr>
              <w:spacing w:after="0"/>
              <w:rPr>
                <w:sz w:val="4"/>
                <w:szCs w:val="4"/>
                <w:color w:val="auto"/>
              </w:rPr>
            </w:pPr>
          </w:p>
        </w:tc>
        <w:tc>
          <w:tcPr>
            <w:tcW w:w="2100" w:type="dxa"/>
            <w:vAlign w:val="bottom"/>
            <w:tcBorders>
              <w:right w:val="single" w:sz="8" w:color="auto"/>
            </w:tcBorders>
          </w:tcPr>
          <w:p>
            <w:pPr>
              <w:spacing w:after="0"/>
              <w:rPr>
                <w:sz w:val="4"/>
                <w:szCs w:val="4"/>
                <w:color w:val="auto"/>
              </w:rPr>
            </w:pPr>
          </w:p>
        </w:tc>
        <w:tc>
          <w:tcPr>
            <w:tcW w:w="2640" w:type="dxa"/>
            <w:vAlign w:val="bottom"/>
            <w:tcBorders>
              <w:bottom w:val="single" w:sz="8" w:color="auto"/>
              <w:right w:val="single" w:sz="8" w:color="auto"/>
            </w:tcBorders>
          </w:tcPr>
          <w:p>
            <w:pPr>
              <w:spacing w:after="0"/>
              <w:rPr>
                <w:sz w:val="4"/>
                <w:szCs w:val="4"/>
                <w:color w:val="auto"/>
              </w:rPr>
            </w:pPr>
          </w:p>
        </w:tc>
      </w:tr>
      <w:tr>
        <w:trPr>
          <w:trHeight w:val="177"/>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Fretz Road, Souderton, PA 18964 (Third</w:t>
            </w:r>
          </w:p>
        </w:tc>
      </w:tr>
      <w:tr>
        <w:trPr>
          <w:trHeight w:val="179"/>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Party Location)</w:t>
            </w:r>
          </w:p>
        </w:tc>
      </w:tr>
      <w:tr>
        <w:trPr>
          <w:trHeight w:val="44"/>
        </w:trPr>
        <w:tc>
          <w:tcPr>
            <w:tcW w:w="1560" w:type="dxa"/>
            <w:vAlign w:val="bottom"/>
            <w:tcBorders>
              <w:left w:val="single" w:sz="8" w:color="auto"/>
              <w:right w:val="single" w:sz="8" w:color="auto"/>
            </w:tcBorders>
          </w:tcPr>
          <w:p>
            <w:pPr>
              <w:spacing w:after="0"/>
              <w:rPr>
                <w:sz w:val="3"/>
                <w:szCs w:val="3"/>
                <w:color w:val="auto"/>
              </w:rPr>
            </w:pPr>
          </w:p>
        </w:tc>
        <w:tc>
          <w:tcPr>
            <w:tcW w:w="2100" w:type="dxa"/>
            <w:vAlign w:val="bottom"/>
            <w:tcBorders>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r>
      <w:tr>
        <w:trPr>
          <w:trHeight w:val="177"/>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18 Reid Way, Melbourne Airport, Victoria</w:t>
            </w:r>
          </w:p>
        </w:tc>
      </w:tr>
      <w:tr>
        <w:trPr>
          <w:trHeight w:val="179"/>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3045 (Third Party Location)</w:t>
            </w:r>
          </w:p>
        </w:tc>
      </w:tr>
      <w:tr>
        <w:trPr>
          <w:trHeight w:val="206"/>
        </w:trPr>
        <w:tc>
          <w:tcPr>
            <w:tcW w:w="156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spacing w:after="0"/>
              <w:rPr>
                <w:sz w:val="17"/>
                <w:szCs w:val="17"/>
                <w:color w:val="auto"/>
              </w:rPr>
            </w:pPr>
          </w:p>
        </w:tc>
      </w:tr>
      <w:tr>
        <w:trPr>
          <w:trHeight w:val="168"/>
        </w:trPr>
        <w:tc>
          <w:tcPr>
            <w:tcW w:w="1560" w:type="dxa"/>
            <w:vAlign w:val="bottom"/>
            <w:tcBorders>
              <w:left w:val="single" w:sz="8" w:color="auto"/>
              <w:right w:val="single" w:sz="8" w:color="auto"/>
            </w:tcBorders>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Catalent Pharma Solutions</w:t>
            </w:r>
          </w:p>
        </w:tc>
      </w:tr>
      <w:tr>
        <w:trPr>
          <w:trHeight w:val="277"/>
        </w:trPr>
        <w:tc>
          <w:tcPr>
            <w:tcW w:w="1560" w:type="dxa"/>
            <w:vAlign w:val="bottom"/>
            <w:tcBorders>
              <w:left w:val="single" w:sz="8" w:color="auto"/>
              <w:right w:val="single" w:sz="8" w:color="auto"/>
            </w:tcBorders>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10245 Hickman Mills Drive, Kansas City,</w:t>
            </w:r>
          </w:p>
        </w:tc>
      </w:tr>
      <w:tr>
        <w:trPr>
          <w:trHeight w:val="179"/>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MO 64137</w:t>
            </w:r>
          </w:p>
        </w:tc>
      </w:tr>
      <w:tr>
        <w:trPr>
          <w:trHeight w:val="168"/>
        </w:trPr>
        <w:tc>
          <w:tcPr>
            <w:tcW w:w="1560" w:type="dxa"/>
            <w:vAlign w:val="bottom"/>
            <w:tcBorders>
              <w:left w:val="single" w:sz="8" w:color="auto"/>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r>
      <w:tr>
        <w:trPr>
          <w:trHeight w:val="194"/>
        </w:trPr>
        <w:tc>
          <w:tcPr>
            <w:tcW w:w="156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BioReliance</w:t>
            </w:r>
          </w:p>
        </w:tc>
      </w:tr>
      <w:tr>
        <w:trPr>
          <w:trHeight w:val="220"/>
        </w:trPr>
        <w:tc>
          <w:tcPr>
            <w:tcW w:w="156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14920 Broschart Road</w:t>
            </w:r>
          </w:p>
        </w:tc>
      </w:tr>
      <w:tr>
        <w:trPr>
          <w:trHeight w:val="199"/>
        </w:trPr>
        <w:tc>
          <w:tcPr>
            <w:tcW w:w="156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tcBorders>
              <w:bottom w:val="single" w:sz="8" w:color="auto"/>
              <w:right w:val="single" w:sz="8" w:color="auto"/>
            </w:tcBorders>
          </w:tcPr>
          <w:p>
            <w:pPr>
              <w:spacing w:after="0"/>
              <w:rPr>
                <w:sz w:val="17"/>
                <w:szCs w:val="17"/>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Rockville, MD 20850</w:t>
            </w:r>
          </w:p>
        </w:tc>
      </w:tr>
      <w:tr>
        <w:trPr>
          <w:trHeight w:val="185"/>
        </w:trPr>
        <w:tc>
          <w:tcPr>
            <w:tcW w:w="156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SciSafe</w:t>
            </w:r>
          </w:p>
        </w:tc>
      </w:tr>
      <w:tr>
        <w:trPr>
          <w:trHeight w:val="179"/>
        </w:trPr>
        <w:tc>
          <w:tcPr>
            <w:tcW w:w="1560" w:type="dxa"/>
            <w:vAlign w:val="bottom"/>
            <w:tcBorders>
              <w:left w:val="single" w:sz="8" w:color="auto"/>
              <w:right w:val="single" w:sz="8" w:color="auto"/>
            </w:tcBorders>
          </w:tcPr>
          <w:p>
            <w:pPr>
              <w:spacing w:after="0"/>
              <w:rPr>
                <w:sz w:val="15"/>
                <w:szCs w:val="15"/>
                <w:color w:val="auto"/>
              </w:rPr>
            </w:pPr>
          </w:p>
        </w:tc>
        <w:tc>
          <w:tcPr>
            <w:tcW w:w="210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7 Corporate Drive, Suite 4 Cranbury, NJ</w:t>
            </w:r>
          </w:p>
        </w:tc>
      </w:tr>
      <w:tr>
        <w:trPr>
          <w:trHeight w:val="263"/>
        </w:trPr>
        <w:tc>
          <w:tcPr>
            <w:tcW w:w="1560" w:type="dxa"/>
            <w:vAlign w:val="bottom"/>
            <w:tcBorders>
              <w:left w:val="single" w:sz="8" w:color="auto"/>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spacing w:after="0"/>
              <w:rPr>
                <w:sz w:val="22"/>
                <w:szCs w:val="22"/>
                <w:color w:val="auto"/>
              </w:rPr>
            </w:pPr>
          </w:p>
        </w:tc>
        <w:tc>
          <w:tcPr>
            <w:tcW w:w="2640" w:type="dxa"/>
            <w:vAlign w:val="bottom"/>
            <w:tcBorders>
              <w:bottom w:val="single" w:sz="8" w:color="auto"/>
              <w:right w:val="single" w:sz="8" w:color="auto"/>
            </w:tcBorders>
          </w:tcPr>
          <w:p>
            <w:pPr>
              <w:spacing w:after="0"/>
              <w:rPr>
                <w:sz w:val="22"/>
                <w:szCs w:val="22"/>
                <w:color w:val="auto"/>
              </w:rPr>
            </w:pPr>
          </w:p>
        </w:tc>
      </w:tr>
      <w:tr>
        <w:trPr>
          <w:trHeight w:val="194"/>
        </w:trPr>
        <w:tc>
          <w:tcPr>
            <w:tcW w:w="1560" w:type="dxa"/>
            <w:vAlign w:val="bottom"/>
            <w:tcBorders>
              <w:left w:val="single" w:sz="8" w:color="auto"/>
              <w:right w:val="single" w:sz="8" w:color="auto"/>
            </w:tcBorders>
          </w:tcPr>
          <w:p>
            <w:pPr>
              <w:spacing w:after="0"/>
              <w:rPr>
                <w:sz w:val="16"/>
                <w:szCs w:val="16"/>
                <w:color w:val="auto"/>
              </w:rPr>
            </w:pPr>
          </w:p>
        </w:tc>
        <w:tc>
          <w:tcPr>
            <w:tcW w:w="210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BioStorage</w:t>
            </w:r>
          </w:p>
        </w:tc>
      </w:tr>
      <w:tr>
        <w:trPr>
          <w:trHeight w:val="220"/>
        </w:trPr>
        <w:tc>
          <w:tcPr>
            <w:tcW w:w="1560" w:type="dxa"/>
            <w:vAlign w:val="bottom"/>
            <w:tcBorders>
              <w:left w:val="single" w:sz="8" w:color="auto"/>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2910 Fortune Circle West, Suite E</w:t>
            </w:r>
          </w:p>
        </w:tc>
      </w:tr>
      <w:tr>
        <w:trPr>
          <w:trHeight w:val="210"/>
        </w:trPr>
        <w:tc>
          <w:tcPr>
            <w:tcW w:w="1560" w:type="dxa"/>
            <w:vAlign w:val="bottom"/>
            <w:tcBorders>
              <w:left w:val="single" w:sz="8" w:color="auto"/>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Indianapolis, IN 46241</w:t>
            </w:r>
          </w:p>
        </w:tc>
      </w:tr>
      <w:tr>
        <w:trPr>
          <w:trHeight w:val="149"/>
        </w:trPr>
        <w:tc>
          <w:tcPr>
            <w:tcW w:w="1560" w:type="dxa"/>
            <w:vAlign w:val="bottom"/>
            <w:tcBorders>
              <w:left w:val="single" w:sz="8" w:color="auto"/>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spacing w:after="0"/>
              <w:rPr>
                <w:sz w:val="12"/>
                <w:szCs w:val="12"/>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[Schedule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284" w:right="1440" w:bottom="1440" w:gutter="0" w:footer="0" w:header="0"/>
        </w:sectPr>
      </w:pPr>
    </w:p>
    <w:bookmarkStart w:id="269" w:name="page270"/>
    <w:bookmarkEnd w:id="269"/>
    <w:tbl>
      <w:tblPr>
        <w:tblLayout w:type="fixed"/>
        <w:tblInd w:w="850" w:type="dxa"/>
        <w:tblCellMar>
          <w:top w:w="0" w:type="dxa"/>
          <w:left w:w="0" w:type="dxa"/>
          <w:bottom w:w="0" w:type="dxa"/>
          <w:right w:w="0" w:type="dxa"/>
        </w:tblCellMar>
      </w:tblPr>
      <w:tr>
        <w:trPr>
          <w:trHeight w:val="214"/>
        </w:trPr>
        <w:tc>
          <w:tcPr>
            <w:tcW w:w="2120" w:type="dxa"/>
            <w:vAlign w:val="bottom"/>
            <w:tcBorders>
              <w:top w:val="single" w:sz="8" w:color="auto"/>
              <w:left w:val="single" w:sz="8" w:color="auto"/>
              <w:right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spacing w:after="0"/>
              <w:rPr>
                <w:sz w:val="18"/>
                <w:szCs w:val="18"/>
                <w:color w:val="auto"/>
              </w:rPr>
            </w:pPr>
          </w:p>
        </w:tc>
        <w:tc>
          <w:tcPr>
            <w:tcW w:w="21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Charles River</w:t>
            </w:r>
          </w:p>
        </w:tc>
      </w:tr>
      <w:tr>
        <w:trPr>
          <w:trHeight w:val="200"/>
        </w:trPr>
        <w:tc>
          <w:tcPr>
            <w:tcW w:w="212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358 Technology Drive</w:t>
            </w:r>
          </w:p>
        </w:tc>
      </w:tr>
      <w:tr>
        <w:trPr>
          <w:trHeight w:val="200"/>
        </w:trPr>
        <w:tc>
          <w:tcPr>
            <w:tcW w:w="2120" w:type="dxa"/>
            <w:vAlign w:val="bottom"/>
            <w:tcBorders>
              <w:left w:val="single" w:sz="8" w:color="auto"/>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Malvern, PA 17601</w:t>
            </w:r>
          </w:p>
        </w:tc>
      </w:tr>
      <w:tr>
        <w:trPr>
          <w:trHeight w:val="25"/>
        </w:trPr>
        <w:tc>
          <w:tcPr>
            <w:tcW w:w="212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177"/>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Eurofins</w:t>
            </w:r>
          </w:p>
        </w:tc>
      </w:tr>
      <w:tr>
        <w:trPr>
          <w:trHeight w:val="162"/>
        </w:trPr>
        <w:tc>
          <w:tcPr>
            <w:tcW w:w="21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2425 New Holland Pike</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Lancaster, PA 17601</w:t>
            </w:r>
          </w:p>
        </w:tc>
      </w:tr>
      <w:tr>
        <w:trPr>
          <w:trHeight w:val="101"/>
        </w:trPr>
        <w:tc>
          <w:tcPr>
            <w:tcW w:w="212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r>
      <w:tr>
        <w:trPr>
          <w:trHeight w:val="177"/>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KBI Biopharma 1101 Hamlin</w:t>
            </w:r>
          </w:p>
        </w:tc>
      </w:tr>
      <w:tr>
        <w:trPr>
          <w:trHeight w:val="153"/>
        </w:trPr>
        <w:tc>
          <w:tcPr>
            <w:tcW w:w="2120" w:type="dxa"/>
            <w:vAlign w:val="bottom"/>
            <w:tcBorders>
              <w:left w:val="single" w:sz="8" w:color="auto"/>
              <w:right w:val="single" w:sz="8" w:color="auto"/>
            </w:tcBorders>
          </w:tcPr>
          <w:p>
            <w:pPr>
              <w:spacing w:after="0"/>
              <w:rPr>
                <w:sz w:val="13"/>
                <w:szCs w:val="13"/>
                <w:color w:val="auto"/>
              </w:rPr>
            </w:pPr>
          </w:p>
        </w:tc>
        <w:tc>
          <w:tcPr>
            <w:tcW w:w="208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tcPr>
          <w:p>
            <w:pPr>
              <w:ind w:left="60"/>
              <w:spacing w:after="0" w:line="153" w:lineRule="exact"/>
              <w:rPr>
                <w:sz w:val="20"/>
                <w:szCs w:val="20"/>
                <w:color w:val="auto"/>
              </w:rPr>
            </w:pPr>
            <w:r>
              <w:rPr>
                <w:rFonts w:ascii="Arial" w:cs="Arial" w:eastAsia="Arial" w:hAnsi="Arial"/>
                <w:sz w:val="14"/>
                <w:szCs w:val="14"/>
                <w:color w:val="auto"/>
              </w:rPr>
              <w:t>Road</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Durham, NC 27709</w:t>
            </w:r>
          </w:p>
        </w:tc>
      </w:tr>
      <w:tr>
        <w:trPr>
          <w:trHeight w:val="111"/>
        </w:trPr>
        <w:tc>
          <w:tcPr>
            <w:tcW w:w="2120" w:type="dxa"/>
            <w:vAlign w:val="bottom"/>
            <w:tcBorders>
              <w:left w:val="single" w:sz="8" w:color="auto"/>
              <w:bottom w:val="single" w:sz="8" w:color="auto"/>
              <w:right w:val="single" w:sz="8" w:color="auto"/>
            </w:tcBorders>
          </w:tcPr>
          <w:p>
            <w:pPr>
              <w:spacing w:after="0"/>
              <w:rPr>
                <w:sz w:val="9"/>
                <w:szCs w:val="9"/>
                <w:color w:val="auto"/>
              </w:rPr>
            </w:pPr>
          </w:p>
        </w:tc>
        <w:tc>
          <w:tcPr>
            <w:tcW w:w="2080" w:type="dxa"/>
            <w:vAlign w:val="bottom"/>
            <w:tcBorders>
              <w:bottom w:val="single" w:sz="8" w:color="auto"/>
              <w:right w:val="single" w:sz="8" w:color="auto"/>
            </w:tcBorders>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r>
      <w:tr>
        <w:trPr>
          <w:trHeight w:val="177"/>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Fisher BioServices 14665</w:t>
            </w:r>
          </w:p>
        </w:tc>
      </w:tr>
      <w:tr>
        <w:trPr>
          <w:trHeight w:val="162"/>
        </w:trPr>
        <w:tc>
          <w:tcPr>
            <w:tcW w:w="21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Rothgeb Drive</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Rockville, MD 20850</w:t>
            </w:r>
          </w:p>
        </w:tc>
      </w:tr>
      <w:tr>
        <w:trPr>
          <w:trHeight w:val="101"/>
        </w:trPr>
        <w:tc>
          <w:tcPr>
            <w:tcW w:w="2120" w:type="dxa"/>
            <w:vAlign w:val="bottom"/>
            <w:tcBorders>
              <w:left w:val="single" w:sz="8" w:color="auto"/>
              <w:bottom w:val="single" w:sz="8" w:color="auto"/>
              <w:right w:val="single" w:sz="8" w:color="auto"/>
            </w:tcBorders>
          </w:tcPr>
          <w:p>
            <w:pPr>
              <w:spacing w:after="0"/>
              <w:rPr>
                <w:sz w:val="8"/>
                <w:szCs w:val="8"/>
                <w:color w:val="auto"/>
              </w:rPr>
            </w:pPr>
          </w:p>
        </w:tc>
        <w:tc>
          <w:tcPr>
            <w:tcW w:w="208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r>
      <w:tr>
        <w:trPr>
          <w:trHeight w:val="194"/>
        </w:trPr>
        <w:tc>
          <w:tcPr>
            <w:tcW w:w="212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Kryosphere</w:t>
            </w:r>
          </w:p>
        </w:tc>
      </w:tr>
      <w:tr>
        <w:trPr>
          <w:trHeight w:val="184"/>
        </w:trPr>
        <w:tc>
          <w:tcPr>
            <w:tcW w:w="212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14001 Weeston Parkway,</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Suite 106</w:t>
            </w:r>
          </w:p>
        </w:tc>
      </w:tr>
      <w:tr>
        <w:trPr>
          <w:trHeight w:val="208"/>
        </w:trPr>
        <w:tc>
          <w:tcPr>
            <w:tcW w:w="2120" w:type="dxa"/>
            <w:vAlign w:val="bottom"/>
            <w:tcBorders>
              <w:left w:val="single" w:sz="8" w:color="auto"/>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Cary, NC 27513</w:t>
            </w:r>
          </w:p>
        </w:tc>
      </w:tr>
      <w:tr>
        <w:trPr>
          <w:trHeight w:val="176"/>
        </w:trPr>
        <w:tc>
          <w:tcPr>
            <w:tcW w:w="21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Aptevo BioTherapeutics LLC</w:t>
            </w: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4"/>
              </w:rPr>
              <w:t>2401 4</w:t>
            </w:r>
            <w:r>
              <w:rPr>
                <w:rFonts w:ascii="Arial" w:cs="Arial" w:eastAsia="Arial" w:hAnsi="Arial"/>
                <w:sz w:val="11"/>
                <w:szCs w:val="11"/>
                <w:color w:val="auto"/>
                <w:w w:val="94"/>
              </w:rPr>
              <w:t>th</w:t>
            </w:r>
            <w:r>
              <w:rPr>
                <w:rFonts w:ascii="Arial" w:cs="Arial" w:eastAsia="Arial" w:hAnsi="Arial"/>
                <w:sz w:val="14"/>
                <w:szCs w:val="14"/>
                <w:color w:val="auto"/>
                <w:w w:val="94"/>
              </w:rPr>
              <w:t xml:space="preserve"> Ave, Suite 1050, Seattle,</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920 Cassatt RD Suite 100,</w:t>
            </w:r>
          </w:p>
        </w:tc>
      </w:tr>
      <w:tr>
        <w:trPr>
          <w:trHeight w:val="188"/>
        </w:trPr>
        <w:tc>
          <w:tcPr>
            <w:tcW w:w="212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WA 98121</w:t>
            </w: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Berwyn PA 19312 (Leased)</w:t>
            </w:r>
          </w:p>
        </w:tc>
      </w:tr>
      <w:tr>
        <w:trPr>
          <w:trHeight w:val="44"/>
        </w:trPr>
        <w:tc>
          <w:tcPr>
            <w:tcW w:w="2120" w:type="dxa"/>
            <w:vAlign w:val="bottom"/>
            <w:tcBorders>
              <w:left w:val="single" w:sz="8" w:color="auto"/>
              <w:right w:val="single" w:sz="8" w:color="auto"/>
            </w:tcBorders>
          </w:tcPr>
          <w:p>
            <w:pPr>
              <w:spacing w:after="0"/>
              <w:rPr>
                <w:sz w:val="3"/>
                <w:szCs w:val="3"/>
                <w:color w:val="auto"/>
              </w:rPr>
            </w:pPr>
          </w:p>
        </w:tc>
        <w:tc>
          <w:tcPr>
            <w:tcW w:w="2080" w:type="dxa"/>
            <w:vAlign w:val="bottom"/>
            <w:tcBorders>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177"/>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Camden Industrial Park Facility,</w:t>
            </w:r>
          </w:p>
        </w:tc>
      </w:tr>
      <w:tr>
        <w:trPr>
          <w:trHeight w:val="162"/>
        </w:trPr>
        <w:tc>
          <w:tcPr>
            <w:tcW w:w="21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9"/>
              </w:rPr>
              <w:t>1111 S. Paca St., Baltimore, MD</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(Leased)</w:t>
            </w:r>
          </w:p>
        </w:tc>
      </w:tr>
      <w:tr>
        <w:trPr>
          <w:trHeight w:val="44"/>
        </w:trPr>
        <w:tc>
          <w:tcPr>
            <w:tcW w:w="2120" w:type="dxa"/>
            <w:vAlign w:val="bottom"/>
            <w:tcBorders>
              <w:left w:val="single" w:sz="8" w:color="auto"/>
              <w:right w:val="single" w:sz="8" w:color="auto"/>
            </w:tcBorders>
          </w:tcPr>
          <w:p>
            <w:pPr>
              <w:spacing w:after="0"/>
              <w:rPr>
                <w:sz w:val="3"/>
                <w:szCs w:val="3"/>
                <w:color w:val="auto"/>
              </w:rPr>
            </w:pPr>
          </w:p>
        </w:tc>
        <w:tc>
          <w:tcPr>
            <w:tcW w:w="2080" w:type="dxa"/>
            <w:vAlign w:val="bottom"/>
            <w:tcBorders>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194"/>
        </w:trPr>
        <w:tc>
          <w:tcPr>
            <w:tcW w:w="212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400 Professional Dr, Suite 400</w:t>
            </w:r>
          </w:p>
        </w:tc>
      </w:tr>
      <w:tr>
        <w:trPr>
          <w:trHeight w:val="184"/>
        </w:trPr>
        <w:tc>
          <w:tcPr>
            <w:tcW w:w="2120" w:type="dxa"/>
            <w:vAlign w:val="bottom"/>
            <w:tcBorders>
              <w:left w:val="single" w:sz="8" w:color="auto"/>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Gaithersburg, MD 20879 (Third</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Party Location)</w:t>
            </w:r>
          </w:p>
        </w:tc>
      </w:tr>
      <w:tr>
        <w:trPr>
          <w:trHeight w:val="63"/>
        </w:trPr>
        <w:tc>
          <w:tcPr>
            <w:tcW w:w="2120" w:type="dxa"/>
            <w:vAlign w:val="bottom"/>
            <w:tcBorders>
              <w:left w:val="single" w:sz="8" w:color="auto"/>
              <w:right w:val="single" w:sz="8" w:color="auto"/>
            </w:tcBorders>
          </w:tcPr>
          <w:p>
            <w:pPr>
              <w:spacing w:after="0"/>
              <w:rPr>
                <w:sz w:val="5"/>
                <w:szCs w:val="5"/>
                <w:color w:val="auto"/>
              </w:rPr>
            </w:pPr>
          </w:p>
        </w:tc>
        <w:tc>
          <w:tcPr>
            <w:tcW w:w="2080" w:type="dxa"/>
            <w:vAlign w:val="bottom"/>
            <w:tcBorders>
              <w:right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r>
      <w:tr>
        <w:trPr>
          <w:trHeight w:val="177"/>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155 Innovation Dr. Winnipeg,</w:t>
            </w:r>
          </w:p>
        </w:tc>
      </w:tr>
      <w:tr>
        <w:trPr>
          <w:trHeight w:val="162"/>
        </w:trPr>
        <w:tc>
          <w:tcPr>
            <w:tcW w:w="2120" w:type="dxa"/>
            <w:vAlign w:val="bottom"/>
            <w:tcBorders>
              <w:left w:val="single" w:sz="8" w:color="auto"/>
              <w:right w:val="single" w:sz="8" w:color="auto"/>
            </w:tcBorders>
          </w:tcPr>
          <w:p>
            <w:pPr>
              <w:spacing w:after="0"/>
              <w:rPr>
                <w:sz w:val="14"/>
                <w:szCs w:val="14"/>
                <w:color w:val="auto"/>
              </w:rPr>
            </w:pPr>
          </w:p>
        </w:tc>
        <w:tc>
          <w:tcPr>
            <w:tcW w:w="2080" w:type="dxa"/>
            <w:vAlign w:val="bottom"/>
            <w:tcBorders>
              <w:right w:val="single" w:sz="8" w:color="auto"/>
            </w:tcBorders>
          </w:tcPr>
          <w:p>
            <w:pPr>
              <w:spacing w:after="0"/>
              <w:rPr>
                <w:sz w:val="14"/>
                <w:szCs w:val="14"/>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MB, CA</w:t>
            </w:r>
          </w:p>
        </w:tc>
      </w:tr>
      <w:tr>
        <w:trPr>
          <w:trHeight w:val="179"/>
        </w:trPr>
        <w:tc>
          <w:tcPr>
            <w:tcW w:w="2120" w:type="dxa"/>
            <w:vAlign w:val="bottom"/>
            <w:tcBorders>
              <w:left w:val="single" w:sz="8" w:color="auto"/>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R3T 5Y3 (Third Party Location)</w:t>
            </w:r>
          </w:p>
        </w:tc>
      </w:tr>
      <w:tr>
        <w:trPr>
          <w:trHeight w:val="44"/>
        </w:trPr>
        <w:tc>
          <w:tcPr>
            <w:tcW w:w="2120" w:type="dxa"/>
            <w:vAlign w:val="bottom"/>
            <w:tcBorders>
              <w:left w:val="single" w:sz="8" w:color="auto"/>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[Schedule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305435</wp:posOffset>
            </wp:positionV>
            <wp:extent cx="732409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24090" cy="3746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70" w:name="page271"/>
    <w:bookmarkEnd w:id="270"/>
    <w:p>
      <w:pPr>
        <w:ind w:left="51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688975</wp:posOffset>
            </wp:positionH>
            <wp:positionV relativeFrom="page">
              <wp:posOffset>210185</wp:posOffset>
            </wp:positionV>
            <wp:extent cx="3994785" cy="18370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994785" cy="1837055"/>
                    </a:xfrm>
                    <a:prstGeom prst="rect">
                      <a:avLst/>
                    </a:prstGeom>
                    <a:noFill/>
                  </pic:spPr>
                </pic:pic>
              </a:graphicData>
            </a:graphic>
          </wp:anchor>
        </w:drawing>
        <w:t>AGC Biologics (CMC ICOS</w:t>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Biologicals)</w:t>
      </w:r>
    </w:p>
    <w:p>
      <w:pPr>
        <w:spacing w:after="0" w:line="37"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22021 20</w:t>
      </w:r>
      <w:r>
        <w:rPr>
          <w:rFonts w:ascii="Arial" w:cs="Arial" w:eastAsia="Arial" w:hAnsi="Arial"/>
          <w:sz w:val="11"/>
          <w:szCs w:val="11"/>
          <w:color w:val="auto"/>
        </w:rPr>
        <w:t>th</w:t>
      </w:r>
      <w:r>
        <w:rPr>
          <w:rFonts w:ascii="Arial" w:cs="Arial" w:eastAsia="Arial" w:hAnsi="Arial"/>
          <w:sz w:val="14"/>
          <w:szCs w:val="14"/>
          <w:color w:val="auto"/>
        </w:rPr>
        <w:t xml:space="preserve"> Ave. SE</w:t>
      </w:r>
    </w:p>
    <w:p>
      <w:pPr>
        <w:spacing w:after="0" w:line="49"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Bothell, WA 98021</w:t>
      </w:r>
    </w:p>
    <w:p>
      <w:pPr>
        <w:spacing w:after="0" w:line="49"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Patheon</w:t>
      </w:r>
    </w:p>
    <w:p>
      <w:pPr>
        <w:spacing w:after="0" w:line="39"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Italia S.p.A.2 Trav. S.X. Via</w:t>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Morolense, 5 03013 Ferentino</w:t>
      </w:r>
    </w:p>
    <w:p>
      <w:pPr>
        <w:spacing w:after="0" w:line="287"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A+ Secure Packaging 339</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Mason Road</w:t>
      </w:r>
    </w:p>
    <w:p>
      <w:pPr>
        <w:ind w:left="5100"/>
        <w:spacing w:after="0"/>
        <w:rPr>
          <w:sz w:val="20"/>
          <w:szCs w:val="20"/>
          <w:color w:val="auto"/>
        </w:rPr>
      </w:pPr>
      <w:r>
        <w:rPr>
          <w:rFonts w:ascii="Arial" w:cs="Arial" w:eastAsia="Arial" w:hAnsi="Arial"/>
          <w:sz w:val="14"/>
          <w:szCs w:val="14"/>
          <w:color w:val="auto"/>
        </w:rPr>
        <w:t>La Vergne, TN 37086</w:t>
      </w:r>
    </w:p>
    <w:p>
      <w:pPr>
        <w:spacing w:after="0" w:line="152"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Cardinal Health 105, Inc.</w:t>
      </w:r>
    </w:p>
    <w:p>
      <w:pPr>
        <w:spacing w:after="0" w:line="13"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501 Mason Road, Suite 200 La</w:t>
      </w:r>
    </w:p>
    <w:p>
      <w:pPr>
        <w:spacing w:after="0" w:line="24"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Vergne, TN 37086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[Schedule 9.2]</w:t>
      </w:r>
    </w:p>
    <w:p>
      <w:pPr>
        <w:sectPr>
          <w:pgSz w:w="11900" w:h="16838" w:orient="portrait"/>
          <w:cols w:equalWidth="0" w:num="1">
            <w:col w:w="10219"/>
          </w:cols>
          <w:pgMar w:left="240" w:top="366"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3"/>
          <w:szCs w:val="13"/>
          <w:b w:val="1"/>
          <w:bCs w:val="1"/>
          <w:color w:val="auto"/>
        </w:rPr>
        <w:t>Exhibit 31.1</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CERTIFICATION PURSUANT TO</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3"/>
          <w:szCs w:val="13"/>
          <w:color w:val="auto"/>
        </w:rPr>
        <w:t>I, Marvin White, certify that:</w:t>
      </w:r>
    </w:p>
    <w:p>
      <w:pPr>
        <w:spacing w:after="0" w:line="156" w:lineRule="exact"/>
        <w:rPr>
          <w:sz w:val="20"/>
          <w:szCs w:val="20"/>
          <w:color w:val="auto"/>
        </w:rPr>
      </w:pPr>
    </w:p>
    <w:p>
      <w:pPr>
        <w:ind w:left="524" w:hanging="524"/>
        <w:spacing w:after="0"/>
        <w:tabs>
          <w:tab w:leader="none" w:pos="524" w:val="left"/>
        </w:tabs>
        <w:numPr>
          <w:ilvl w:val="0"/>
          <w:numId w:val="94"/>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Aptevo Therapeutics Inc.;</w:t>
      </w:r>
    </w:p>
    <w:p>
      <w:pPr>
        <w:spacing w:after="0" w:line="156" w:lineRule="exact"/>
        <w:rPr>
          <w:rFonts w:ascii="Arial" w:cs="Arial" w:eastAsia="Arial" w:hAnsi="Arial"/>
          <w:sz w:val="13"/>
          <w:szCs w:val="13"/>
          <w:color w:val="auto"/>
        </w:rPr>
      </w:pPr>
    </w:p>
    <w:p>
      <w:pPr>
        <w:ind w:left="524" w:right="260" w:hanging="524"/>
        <w:spacing w:after="0" w:line="264" w:lineRule="auto"/>
        <w:tabs>
          <w:tab w:leader="none" w:pos="524"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524" w:right="340" w:hanging="524"/>
        <w:spacing w:after="0" w:line="264" w:lineRule="auto"/>
        <w:tabs>
          <w:tab w:leader="none" w:pos="524"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3"/>
          <w:szCs w:val="13"/>
          <w:color w:val="auto"/>
        </w:rPr>
      </w:pPr>
    </w:p>
    <w:p>
      <w:pPr>
        <w:ind w:left="524" w:right="160" w:hanging="524"/>
        <w:spacing w:after="0" w:line="264" w:lineRule="auto"/>
        <w:tabs>
          <w:tab w:leader="none" w:pos="524"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3"/>
          <w:szCs w:val="13"/>
          <w:color w:val="auto"/>
        </w:rPr>
      </w:pPr>
    </w:p>
    <w:p>
      <w:pPr>
        <w:ind w:left="1024" w:right="280" w:hanging="508"/>
        <w:spacing w:after="0" w:line="306" w:lineRule="auto"/>
        <w:tabs>
          <w:tab w:leader="none" w:pos="1024"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2"/>
          <w:szCs w:val="12"/>
          <w:color w:val="auto"/>
        </w:rPr>
      </w:pPr>
    </w:p>
    <w:p>
      <w:pPr>
        <w:ind w:left="1024" w:right="500" w:hanging="508"/>
        <w:spacing w:after="0" w:line="306" w:lineRule="auto"/>
        <w:tabs>
          <w:tab w:leader="none" w:pos="1024" w:val="left"/>
        </w:tabs>
        <w:numPr>
          <w:ilvl w:val="1"/>
          <w:numId w:val="9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2"/>
          <w:szCs w:val="12"/>
          <w:color w:val="auto"/>
        </w:rPr>
      </w:pPr>
    </w:p>
    <w:p>
      <w:pPr>
        <w:ind w:left="1024" w:right="80" w:hanging="508"/>
        <w:spacing w:after="0" w:line="264" w:lineRule="auto"/>
        <w:tabs>
          <w:tab w:leader="none" w:pos="1024" w:val="left"/>
        </w:tabs>
        <w:numPr>
          <w:ilvl w:val="1"/>
          <w:numId w:val="9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1024" w:right="140" w:hanging="508"/>
        <w:spacing w:after="0" w:line="264" w:lineRule="auto"/>
        <w:tabs>
          <w:tab w:leader="none" w:pos="1024" w:val="left"/>
        </w:tabs>
        <w:numPr>
          <w:ilvl w:val="1"/>
          <w:numId w:val="9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3"/>
          <w:szCs w:val="13"/>
          <w:color w:val="auto"/>
        </w:rPr>
      </w:pPr>
    </w:p>
    <w:p>
      <w:pPr>
        <w:ind w:left="524" w:right="180" w:hanging="524"/>
        <w:spacing w:after="0" w:line="264" w:lineRule="auto"/>
        <w:tabs>
          <w:tab w:leader="none" w:pos="524"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3"/>
          <w:szCs w:val="13"/>
          <w:color w:val="auto"/>
        </w:rPr>
      </w:pPr>
    </w:p>
    <w:p>
      <w:pPr>
        <w:ind w:left="1024" w:right="220" w:hanging="508"/>
        <w:spacing w:after="0" w:line="264" w:lineRule="auto"/>
        <w:tabs>
          <w:tab w:leader="none" w:pos="1024" w:val="left"/>
        </w:tabs>
        <w:numPr>
          <w:ilvl w:val="1"/>
          <w:numId w:val="9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3"/>
          <w:szCs w:val="13"/>
          <w:color w:val="auto"/>
        </w:rPr>
      </w:pPr>
    </w:p>
    <w:p>
      <w:pPr>
        <w:ind w:left="1024" w:hanging="508"/>
        <w:spacing w:after="0"/>
        <w:tabs>
          <w:tab w:leader="none" w:pos="1024" w:val="left"/>
        </w:tabs>
        <w:numPr>
          <w:ilvl w:val="1"/>
          <w:numId w:val="9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4"/>
        <w:spacing w:after="0"/>
        <w:tabs>
          <w:tab w:leader="none" w:pos="5723" w:val="left"/>
          <w:tab w:leader="none" w:pos="8323" w:val="left"/>
        </w:tabs>
        <w:rPr>
          <w:sz w:val="20"/>
          <w:szCs w:val="20"/>
          <w:color w:val="auto"/>
        </w:rPr>
      </w:pPr>
      <w:r>
        <w:rPr>
          <w:rFonts w:ascii="Arial" w:cs="Arial" w:eastAsia="Arial" w:hAnsi="Arial"/>
          <w:sz w:val="13"/>
          <w:szCs w:val="13"/>
          <w:color w:val="auto"/>
        </w:rPr>
        <w:t>Date: November 14,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7620</wp:posOffset>
            </wp:positionV>
            <wp:extent cx="341884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jc w:val="center"/>
        <w:ind w:left="6100"/>
        <w:spacing w:after="0"/>
        <w:rPr>
          <w:sz w:val="20"/>
          <w:szCs w:val="20"/>
          <w:color w:val="auto"/>
        </w:rPr>
      </w:pPr>
      <w:r>
        <w:rPr>
          <w:rFonts w:ascii="Arial" w:cs="Arial" w:eastAsia="Arial" w:hAnsi="Arial"/>
          <w:sz w:val="13"/>
          <w:szCs w:val="13"/>
          <w:b w:val="1"/>
          <w:bCs w:val="1"/>
          <w:color w:val="auto"/>
        </w:rPr>
        <w:t>Marvin White</w:t>
      </w:r>
    </w:p>
    <w:p>
      <w:pPr>
        <w:spacing w:after="0" w:line="16" w:lineRule="exact"/>
        <w:rPr>
          <w:sz w:val="20"/>
          <w:szCs w:val="20"/>
          <w:color w:val="auto"/>
        </w:rPr>
      </w:pPr>
    </w:p>
    <w:p>
      <w:pPr>
        <w:jc w:val="center"/>
        <w:ind w:left="6100"/>
        <w:spacing w:after="0"/>
        <w:rPr>
          <w:sz w:val="20"/>
          <w:szCs w:val="20"/>
          <w:color w:val="auto"/>
        </w:rPr>
      </w:pPr>
      <w:r>
        <w:rPr>
          <w:rFonts w:ascii="Arial" w:cs="Arial" w:eastAsia="Arial" w:hAnsi="Arial"/>
          <w:sz w:val="13"/>
          <w:szCs w:val="13"/>
          <w:b w:val="1"/>
          <w:bCs w:val="1"/>
          <w:color w:val="auto"/>
        </w:rPr>
        <w:t>President and Chief Executive Officer</w:t>
      </w:r>
    </w:p>
    <w:p>
      <w:pPr>
        <w:sectPr>
          <w:pgSz w:w="11900" w:h="16838" w:orient="portrait"/>
          <w:cols w:equalWidth="0" w:num="1">
            <w:col w:w="11484"/>
          </w:cols>
          <w:pgMar w:left="216" w:top="279" w:right="1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3"/>
          <w:szCs w:val="13"/>
          <w:b w:val="1"/>
          <w:bCs w:val="1"/>
          <w:color w:val="auto"/>
        </w:rPr>
        <w:t>Exhibit 31.2</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CERTIFICATION PURSUANT TO</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3"/>
          <w:szCs w:val="13"/>
          <w:color w:val="auto"/>
        </w:rPr>
        <w:t>I, Jeff Lamothe, certify that:</w:t>
      </w:r>
    </w:p>
    <w:p>
      <w:pPr>
        <w:spacing w:after="0" w:line="156" w:lineRule="exact"/>
        <w:rPr>
          <w:sz w:val="20"/>
          <w:szCs w:val="20"/>
          <w:color w:val="auto"/>
        </w:rPr>
      </w:pPr>
    </w:p>
    <w:p>
      <w:pPr>
        <w:ind w:left="524" w:hanging="524"/>
        <w:spacing w:after="0"/>
        <w:tabs>
          <w:tab w:leader="none" w:pos="524" w:val="left"/>
        </w:tabs>
        <w:numPr>
          <w:ilvl w:val="0"/>
          <w:numId w:val="95"/>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Aptevo Therapeutics Inc.;</w:t>
      </w:r>
    </w:p>
    <w:p>
      <w:pPr>
        <w:spacing w:after="0" w:line="156" w:lineRule="exact"/>
        <w:rPr>
          <w:rFonts w:ascii="Arial" w:cs="Arial" w:eastAsia="Arial" w:hAnsi="Arial"/>
          <w:sz w:val="13"/>
          <w:szCs w:val="13"/>
          <w:color w:val="auto"/>
        </w:rPr>
      </w:pPr>
    </w:p>
    <w:p>
      <w:pPr>
        <w:ind w:left="524" w:right="260" w:hanging="524"/>
        <w:spacing w:after="0" w:line="264" w:lineRule="auto"/>
        <w:tabs>
          <w:tab w:leader="none" w:pos="524" w:val="left"/>
        </w:tabs>
        <w:numPr>
          <w:ilvl w:val="0"/>
          <w:numId w:val="9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3"/>
          <w:szCs w:val="13"/>
          <w:color w:val="auto"/>
        </w:rPr>
      </w:pPr>
    </w:p>
    <w:p>
      <w:pPr>
        <w:ind w:left="524" w:right="340" w:hanging="524"/>
        <w:spacing w:after="0" w:line="264" w:lineRule="auto"/>
        <w:tabs>
          <w:tab w:leader="none" w:pos="524" w:val="left"/>
        </w:tabs>
        <w:numPr>
          <w:ilvl w:val="0"/>
          <w:numId w:val="9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3"/>
          <w:szCs w:val="13"/>
          <w:color w:val="auto"/>
        </w:rPr>
      </w:pPr>
    </w:p>
    <w:p>
      <w:pPr>
        <w:ind w:left="484" w:right="200" w:hanging="484"/>
        <w:spacing w:after="0" w:line="264" w:lineRule="auto"/>
        <w:tabs>
          <w:tab w:leader="none" w:pos="484"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3"/>
          <w:szCs w:val="13"/>
          <w:color w:val="auto"/>
        </w:rPr>
      </w:pPr>
    </w:p>
    <w:p>
      <w:pPr>
        <w:ind w:left="1024" w:right="280" w:hanging="508"/>
        <w:spacing w:after="0" w:line="306" w:lineRule="auto"/>
        <w:tabs>
          <w:tab w:leader="none" w:pos="1024"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2"/>
          <w:szCs w:val="12"/>
          <w:color w:val="auto"/>
        </w:rPr>
      </w:pPr>
    </w:p>
    <w:p>
      <w:pPr>
        <w:ind w:left="1024" w:right="500" w:hanging="508"/>
        <w:spacing w:after="0" w:line="306" w:lineRule="auto"/>
        <w:tabs>
          <w:tab w:leader="none" w:pos="1024"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2"/>
          <w:szCs w:val="12"/>
          <w:color w:val="auto"/>
        </w:rPr>
      </w:pPr>
    </w:p>
    <w:p>
      <w:pPr>
        <w:ind w:left="1024" w:right="80" w:hanging="508"/>
        <w:spacing w:after="0" w:line="264" w:lineRule="auto"/>
        <w:tabs>
          <w:tab w:leader="none" w:pos="1024" w:val="left"/>
        </w:tabs>
        <w:numPr>
          <w:ilvl w:val="1"/>
          <w:numId w:val="9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3"/>
          <w:szCs w:val="13"/>
          <w:color w:val="auto"/>
        </w:rPr>
      </w:pPr>
    </w:p>
    <w:p>
      <w:pPr>
        <w:ind w:left="1024" w:right="140" w:hanging="508"/>
        <w:spacing w:after="0" w:line="264" w:lineRule="auto"/>
        <w:tabs>
          <w:tab w:leader="none" w:pos="1024" w:val="left"/>
        </w:tabs>
        <w:numPr>
          <w:ilvl w:val="1"/>
          <w:numId w:val="9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3"/>
          <w:szCs w:val="13"/>
          <w:color w:val="auto"/>
        </w:rPr>
      </w:pPr>
    </w:p>
    <w:p>
      <w:pPr>
        <w:ind w:left="524" w:right="180" w:hanging="524"/>
        <w:spacing w:after="0" w:line="264" w:lineRule="auto"/>
        <w:tabs>
          <w:tab w:leader="none" w:pos="524"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3"/>
          <w:szCs w:val="13"/>
          <w:color w:val="auto"/>
        </w:rPr>
      </w:pPr>
    </w:p>
    <w:p>
      <w:pPr>
        <w:ind w:left="1024" w:right="220" w:hanging="508"/>
        <w:spacing w:after="0" w:line="264" w:lineRule="auto"/>
        <w:tabs>
          <w:tab w:leader="none" w:pos="1024" w:val="left"/>
        </w:tabs>
        <w:numPr>
          <w:ilvl w:val="1"/>
          <w:numId w:val="9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3"/>
          <w:szCs w:val="13"/>
          <w:color w:val="auto"/>
        </w:rPr>
      </w:pPr>
    </w:p>
    <w:p>
      <w:pPr>
        <w:ind w:left="1024" w:hanging="508"/>
        <w:spacing w:after="0"/>
        <w:tabs>
          <w:tab w:leader="none" w:pos="1024" w:val="left"/>
        </w:tabs>
        <w:numPr>
          <w:ilvl w:val="1"/>
          <w:numId w:val="9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4"/>
        <w:spacing w:after="0"/>
        <w:tabs>
          <w:tab w:leader="none" w:pos="5723" w:val="left"/>
          <w:tab w:leader="none" w:pos="8343" w:val="left"/>
        </w:tabs>
        <w:rPr>
          <w:sz w:val="20"/>
          <w:szCs w:val="20"/>
          <w:color w:val="auto"/>
        </w:rPr>
      </w:pPr>
      <w:r>
        <w:rPr>
          <w:rFonts w:ascii="Arial" w:cs="Arial" w:eastAsia="Arial" w:hAnsi="Arial"/>
          <w:sz w:val="13"/>
          <w:szCs w:val="13"/>
          <w:color w:val="auto"/>
        </w:rPr>
        <w:t>Date: November 14,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7620</wp:posOffset>
            </wp:positionV>
            <wp:extent cx="341884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18840" cy="6350"/>
                    </a:xfrm>
                    <a:prstGeom prst="rect">
                      <a:avLst/>
                    </a:prstGeom>
                    <a:noFill/>
                  </pic:spPr>
                </pic:pic>
              </a:graphicData>
            </a:graphic>
          </wp:anchor>
        </w:drawing>
      </w:r>
    </w:p>
    <w:p>
      <w:pPr>
        <w:ind w:left="8424"/>
        <w:spacing w:after="0"/>
        <w:rPr>
          <w:sz w:val="20"/>
          <w:szCs w:val="20"/>
          <w:color w:val="auto"/>
        </w:rPr>
      </w:pPr>
      <w:r>
        <w:rPr>
          <w:rFonts w:ascii="Arial" w:cs="Arial" w:eastAsia="Arial" w:hAnsi="Arial"/>
          <w:sz w:val="13"/>
          <w:szCs w:val="13"/>
          <w:b w:val="1"/>
          <w:bCs w:val="1"/>
          <w:color w:val="auto"/>
        </w:rPr>
        <w:t>Jeff Lamothe</w:t>
      </w:r>
    </w:p>
    <w:p>
      <w:pPr>
        <w:spacing w:after="0" w:line="16" w:lineRule="exact"/>
        <w:rPr>
          <w:sz w:val="20"/>
          <w:szCs w:val="20"/>
          <w:color w:val="auto"/>
        </w:rPr>
      </w:pPr>
    </w:p>
    <w:p>
      <w:pPr>
        <w:ind w:left="7404"/>
        <w:spacing w:after="0"/>
        <w:rPr>
          <w:sz w:val="20"/>
          <w:szCs w:val="20"/>
          <w:color w:val="auto"/>
        </w:rPr>
      </w:pPr>
      <w:r>
        <w:rPr>
          <w:rFonts w:ascii="Arial" w:cs="Arial" w:eastAsia="Arial" w:hAnsi="Arial"/>
          <w:sz w:val="13"/>
          <w:szCs w:val="13"/>
          <w:b w:val="1"/>
          <w:bCs w:val="1"/>
          <w:color w:val="auto"/>
        </w:rPr>
        <w:t>Senior Vice President, Chief Financial Officer, and</w:t>
      </w:r>
    </w:p>
    <w:p>
      <w:pPr>
        <w:spacing w:after="0" w:line="13" w:lineRule="exact"/>
        <w:rPr>
          <w:sz w:val="20"/>
          <w:szCs w:val="20"/>
          <w:color w:val="auto"/>
        </w:rPr>
      </w:pPr>
    </w:p>
    <w:p>
      <w:pPr>
        <w:ind w:left="8504"/>
        <w:spacing w:after="0"/>
        <w:rPr>
          <w:sz w:val="20"/>
          <w:szCs w:val="20"/>
          <w:color w:val="auto"/>
        </w:rPr>
      </w:pPr>
      <w:r>
        <w:rPr>
          <w:rFonts w:ascii="Arial" w:cs="Arial" w:eastAsia="Arial" w:hAnsi="Arial"/>
          <w:sz w:val="13"/>
          <w:szCs w:val="13"/>
          <w:b w:val="1"/>
          <w:bCs w:val="1"/>
          <w:color w:val="auto"/>
        </w:rPr>
        <w:t>Treasurer</w:t>
      </w:r>
    </w:p>
    <w:p>
      <w:pPr>
        <w:sectPr>
          <w:pgSz w:w="11900" w:h="16838" w:orient="portrait"/>
          <w:cols w:equalWidth="0" w:num="1">
            <w:col w:w="11484"/>
          </w:cols>
          <w:pgMar w:left="216" w:top="127" w:right="1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3"/>
          <w:szCs w:val="13"/>
          <w:b w:val="1"/>
          <w:bCs w:val="1"/>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13a-14(b) OF THE SECURITIES EXCHANGE ACT OF 1934, AS AMENDED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7" w:lineRule="exact"/>
        <w:rPr>
          <w:sz w:val="20"/>
          <w:szCs w:val="20"/>
          <w:color w:val="auto"/>
        </w:rPr>
      </w:pPr>
    </w:p>
    <w:p>
      <w:pPr>
        <w:ind w:right="40" w:firstLine="521"/>
        <w:spacing w:after="0" w:line="264" w:lineRule="auto"/>
        <w:rPr>
          <w:sz w:val="20"/>
          <w:szCs w:val="20"/>
          <w:color w:val="auto"/>
        </w:rPr>
      </w:pPr>
      <w:r>
        <w:rPr>
          <w:rFonts w:ascii="Arial" w:cs="Arial" w:eastAsia="Arial" w:hAnsi="Arial"/>
          <w:sz w:val="13"/>
          <w:szCs w:val="13"/>
          <w:color w:val="auto"/>
        </w:rPr>
        <w:t>In connection with the Annual Report of Aptevo Therapeutics Inc. on Form 10-Q for the period ending September 30, 2018 as filed with the Securities and Exchange Commission on the date hereof (the “Report”), I certify, pursuant to 18 U.S.C. § 1350, as adopted pursuant to § 906 of the Sarbanes-Oxley Act of 2002, that:</w:t>
      </w:r>
    </w:p>
    <w:p>
      <w:pPr>
        <w:spacing w:after="0" w:line="53" w:lineRule="exact"/>
        <w:rPr>
          <w:sz w:val="20"/>
          <w:szCs w:val="20"/>
          <w:color w:val="auto"/>
        </w:rPr>
      </w:pPr>
    </w:p>
    <w:p>
      <w:pPr>
        <w:ind w:left="1020" w:hanging="508"/>
        <w:spacing w:after="0"/>
        <w:tabs>
          <w:tab w:leader="none" w:pos="10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6" w:lineRule="exact"/>
        <w:rPr>
          <w:sz w:val="20"/>
          <w:szCs w:val="20"/>
          <w:color w:val="auto"/>
        </w:rPr>
      </w:pPr>
    </w:p>
    <w:p>
      <w:pPr>
        <w:spacing w:after="0"/>
        <w:tabs>
          <w:tab w:leader="none" w:pos="6860" w:val="left"/>
          <w:tab w:leader="none" w:pos="8840" w:val="left"/>
        </w:tabs>
        <w:rPr>
          <w:sz w:val="20"/>
          <w:szCs w:val="20"/>
          <w:color w:val="auto"/>
        </w:rPr>
      </w:pPr>
      <w:r>
        <w:rPr>
          <w:rFonts w:ascii="Arial" w:cs="Arial" w:eastAsia="Arial" w:hAnsi="Arial"/>
          <w:sz w:val="13"/>
          <w:szCs w:val="13"/>
          <w:color w:val="auto"/>
        </w:rPr>
        <w:t>Date: November 14,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Marvin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7620</wp:posOffset>
            </wp:positionV>
            <wp:extent cx="276415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764155" cy="635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3"/>
          <w:szCs w:val="13"/>
          <w:b w:val="1"/>
          <w:bCs w:val="1"/>
          <w:color w:val="auto"/>
        </w:rPr>
        <w:t>Marvin White</w:t>
      </w:r>
    </w:p>
    <w:p>
      <w:pPr>
        <w:spacing w:after="0" w:line="16" w:lineRule="exact"/>
        <w:rPr>
          <w:sz w:val="20"/>
          <w:szCs w:val="20"/>
          <w:color w:val="auto"/>
        </w:rPr>
      </w:pPr>
    </w:p>
    <w:p>
      <w:pPr>
        <w:jc w:val="center"/>
        <w:ind w:left="7120"/>
        <w:spacing w:after="0"/>
        <w:rPr>
          <w:sz w:val="20"/>
          <w:szCs w:val="20"/>
          <w:color w:val="auto"/>
        </w:rPr>
      </w:pPr>
      <w:r>
        <w:rPr>
          <w:rFonts w:ascii="Arial" w:cs="Arial" w:eastAsia="Arial" w:hAnsi="Arial"/>
          <w:sz w:val="13"/>
          <w:szCs w:val="13"/>
          <w:b w:val="1"/>
          <w:bCs w:val="1"/>
          <w:color w:val="auto"/>
        </w:rPr>
        <w:t>President and Chief Executive Officer</w:t>
      </w:r>
    </w:p>
    <w:p>
      <w:pPr>
        <w:spacing w:after="0" w:line="310" w:lineRule="exact"/>
        <w:rPr>
          <w:sz w:val="20"/>
          <w:szCs w:val="20"/>
          <w:color w:val="auto"/>
        </w:rPr>
      </w:pPr>
    </w:p>
    <w:p>
      <w:pPr>
        <w:jc w:val="both"/>
        <w:ind w:right="20"/>
        <w:spacing w:after="0" w:line="356" w:lineRule="auto"/>
        <w:rPr>
          <w:sz w:val="20"/>
          <w:szCs w:val="20"/>
          <w:color w:val="auto"/>
        </w:rPr>
      </w:pPr>
      <w:r>
        <w:rPr>
          <w:rFonts w:ascii="Arial" w:cs="Arial" w:eastAsia="Arial" w:hAnsi="Arial"/>
          <w:sz w:val="11"/>
          <w:szCs w:val="11"/>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sectPr>
          <w:pgSz w:w="11900" w:h="16838" w:orient="portrait"/>
          <w:cols w:equalWidth="0" w:num="1">
            <w:col w:w="11480"/>
          </w:cols>
          <w:pgMar w:left="220" w:top="127" w:right="1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3"/>
          <w:szCs w:val="13"/>
          <w:b w:val="1"/>
          <w:bCs w:val="1"/>
          <w:color w:val="auto"/>
        </w:rPr>
        <w:t>Exhibit 32.2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13a-14(b) OF THE SECURITIES EXCHANGE ACT OF 1934, AS AMENDED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7" w:lineRule="exact"/>
        <w:rPr>
          <w:sz w:val="20"/>
          <w:szCs w:val="20"/>
          <w:color w:val="auto"/>
        </w:rPr>
      </w:pPr>
    </w:p>
    <w:p>
      <w:pPr>
        <w:ind w:right="340" w:firstLine="521"/>
        <w:spacing w:after="0" w:line="264" w:lineRule="auto"/>
        <w:rPr>
          <w:sz w:val="20"/>
          <w:szCs w:val="20"/>
          <w:color w:val="auto"/>
        </w:rPr>
      </w:pPr>
      <w:r>
        <w:rPr>
          <w:rFonts w:ascii="Arial" w:cs="Arial" w:eastAsia="Arial" w:hAnsi="Arial"/>
          <w:sz w:val="13"/>
          <w:szCs w:val="13"/>
          <w:color w:val="auto"/>
        </w:rPr>
        <w:t>In connection with the Annual Report of Aptevo Inc. on Form 10-Q for the period ending September 30, 2018 as filed with the Securities and Exchange Commission on the date hereof (the “Report”), I certify, pursuant to 18 U.S.C. § 1350, as adopted pursuant to § 906 of the Sarbanes-Oxley Act of 2002, that:</w:t>
      </w:r>
    </w:p>
    <w:p>
      <w:pPr>
        <w:spacing w:after="0" w:line="53" w:lineRule="exact"/>
        <w:rPr>
          <w:sz w:val="20"/>
          <w:szCs w:val="20"/>
          <w:color w:val="auto"/>
        </w:rPr>
      </w:pPr>
    </w:p>
    <w:p>
      <w:pPr>
        <w:ind w:left="1020" w:hanging="508"/>
        <w:spacing w:after="0"/>
        <w:tabs>
          <w:tab w:leader="none" w:pos="10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79" w:lineRule="exact"/>
        <w:rPr>
          <w:rFonts w:ascii="Arial" w:cs="Arial" w:eastAsia="Arial" w:hAnsi="Arial"/>
          <w:sz w:val="13"/>
          <w:szCs w:val="13"/>
          <w:color w:val="auto"/>
        </w:rPr>
      </w:pPr>
    </w:p>
    <w:p>
      <w:pPr>
        <w:ind w:left="1020" w:hanging="508"/>
        <w:spacing w:after="0"/>
        <w:tabs>
          <w:tab w:leader="none" w:pos="102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6" w:lineRule="exact"/>
        <w:rPr>
          <w:sz w:val="20"/>
          <w:szCs w:val="20"/>
          <w:color w:val="auto"/>
        </w:rPr>
      </w:pPr>
    </w:p>
    <w:p>
      <w:pPr>
        <w:spacing w:after="0"/>
        <w:tabs>
          <w:tab w:leader="none" w:pos="6860" w:val="left"/>
          <w:tab w:leader="none" w:pos="8860" w:val="left"/>
        </w:tabs>
        <w:rPr>
          <w:sz w:val="20"/>
          <w:szCs w:val="20"/>
          <w:color w:val="auto"/>
        </w:rPr>
      </w:pPr>
      <w:r>
        <w:rPr>
          <w:rFonts w:ascii="Arial" w:cs="Arial" w:eastAsia="Arial" w:hAnsi="Arial"/>
          <w:sz w:val="13"/>
          <w:szCs w:val="13"/>
          <w:color w:val="auto"/>
        </w:rPr>
        <w:t>Date: November 14, 2018</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Jeff Lamothe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7620</wp:posOffset>
            </wp:positionV>
            <wp:extent cx="276415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64155" cy="6350"/>
                    </a:xfrm>
                    <a:prstGeom prst="rect">
                      <a:avLst/>
                    </a:prstGeom>
                    <a:noFill/>
                  </pic:spPr>
                </pic:pic>
              </a:graphicData>
            </a:graphic>
          </wp:anchor>
        </w:drawing>
      </w:r>
    </w:p>
    <w:p>
      <w:pPr>
        <w:ind w:left="8920"/>
        <w:spacing w:after="0"/>
        <w:rPr>
          <w:sz w:val="20"/>
          <w:szCs w:val="20"/>
          <w:color w:val="auto"/>
        </w:rPr>
      </w:pPr>
      <w:r>
        <w:rPr>
          <w:rFonts w:ascii="Arial" w:cs="Arial" w:eastAsia="Arial" w:hAnsi="Arial"/>
          <w:sz w:val="13"/>
          <w:szCs w:val="13"/>
          <w:b w:val="1"/>
          <w:bCs w:val="1"/>
          <w:color w:val="auto"/>
        </w:rPr>
        <w:t>Jeff Lamothe</w:t>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3"/>
          <w:szCs w:val="13"/>
          <w:b w:val="1"/>
          <w:bCs w:val="1"/>
          <w:color w:val="auto"/>
        </w:rPr>
        <w:t>Senior Vice President, Chief Financial Officer,</w:t>
      </w:r>
    </w:p>
    <w:p>
      <w:pPr>
        <w:spacing w:after="0" w:line="13" w:lineRule="exact"/>
        <w:rPr>
          <w:sz w:val="20"/>
          <w:szCs w:val="20"/>
          <w:color w:val="auto"/>
        </w:rPr>
      </w:pPr>
    </w:p>
    <w:p>
      <w:pPr>
        <w:ind w:left="8900"/>
        <w:spacing w:after="0"/>
        <w:rPr>
          <w:sz w:val="20"/>
          <w:szCs w:val="20"/>
          <w:color w:val="auto"/>
        </w:rPr>
      </w:pPr>
      <w:r>
        <w:rPr>
          <w:rFonts w:ascii="Arial" w:cs="Arial" w:eastAsia="Arial" w:hAnsi="Arial"/>
          <w:sz w:val="13"/>
          <w:szCs w:val="13"/>
          <w:b w:val="1"/>
          <w:bCs w:val="1"/>
          <w:color w:val="auto"/>
        </w:rPr>
        <w:t>and Treasurer</w:t>
      </w:r>
    </w:p>
    <w:p>
      <w:pPr>
        <w:spacing w:after="0" w:line="300" w:lineRule="exact"/>
        <w:rPr>
          <w:sz w:val="20"/>
          <w:szCs w:val="20"/>
          <w:color w:val="auto"/>
        </w:rPr>
      </w:pPr>
    </w:p>
    <w:p>
      <w:pPr>
        <w:jc w:val="both"/>
        <w:ind w:right="20"/>
        <w:spacing w:after="0" w:line="356" w:lineRule="auto"/>
        <w:rPr>
          <w:sz w:val="20"/>
          <w:szCs w:val="20"/>
          <w:color w:val="auto"/>
        </w:rPr>
      </w:pPr>
      <w:r>
        <w:rPr>
          <w:rFonts w:ascii="Arial" w:cs="Arial" w:eastAsia="Arial" w:hAnsi="Arial"/>
          <w:sz w:val="11"/>
          <w:szCs w:val="11"/>
          <w:color w:val="auto"/>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lowerRoman"/>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lowerLetter"/>
      <w:start w:val="5"/>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1)"/>
      <w:numFmt w:val="decimal"/>
      <w:start w:val="5"/>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2"/>
    </w:lvl>
  </w:abstractNum>
  <w:abstractNum w:abstractNumId="27">
    <w:nsid w:val="7E0C57B1"/>
    <w:multiLevelType w:val="hybridMultilevel"/>
    <w:lvl w:ilvl="0">
      <w:lvlJc w:val="left"/>
      <w:lvlText w:val="(%1)"/>
      <w:numFmt w:val="lowerLetter"/>
      <w:start w:val="3"/>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Roman"/>
      <w:start w:val="2"/>
    </w:lvl>
  </w:abstractNum>
  <w:abstractNum w:abstractNumId="30">
    <w:nsid w:val="310C50B3"/>
    <w:multiLevelType w:val="hybridMultilevel"/>
    <w:lvl w:ilvl="0">
      <w:lvlJc w:val="left"/>
      <w:lvlText w:val="(%1)"/>
      <w:numFmt w:val="lowerRoman"/>
      <w:start w:val="4"/>
    </w:lvl>
  </w:abstractNum>
  <w:abstractNum w:abstractNumId="31">
    <w:nsid w:val="5FF87E05"/>
    <w:multiLevelType w:val="hybridMultilevel"/>
    <w:lvl w:ilvl="0">
      <w:lvlJc w:val="left"/>
      <w:lvlText w:val="%1"/>
      <w:numFmt w:val="decimal"/>
      <w:start w:val="1"/>
    </w:lvl>
    <w:lvl w:ilvl="1">
      <w:lvlJc w:val="left"/>
      <w:lvlText w:val="(%2)"/>
      <w:numFmt w:val="lowerLetter"/>
      <w:start w:val="7"/>
    </w:lvl>
  </w:abstractNum>
  <w:abstractNum w:abstractNumId="32">
    <w:nsid w:val="2F305DEF"/>
    <w:multiLevelType w:val="hybridMultilevel"/>
    <w:lvl w:ilvl="0">
      <w:lvlJc w:val="left"/>
      <w:lvlText w:val="(%1)"/>
      <w:numFmt w:val="decimal"/>
      <w:start w:val="90"/>
    </w:lvl>
    <w:lvl w:ilvl="1">
      <w:lvlJc w:val="left"/>
      <w:lvlText w:val="%2"/>
      <w:numFmt w:val="lowerLetter"/>
      <w:start w:val="1"/>
    </w:lvl>
  </w:abstractNum>
  <w:abstractNum w:abstractNumId="33">
    <w:nsid w:val="25A70BF7"/>
    <w:multiLevelType w:val="hybridMultilevel"/>
    <w:lvl w:ilvl="0">
      <w:lvlJc w:val="left"/>
      <w:lvlText w:val="(%1)"/>
      <w:numFmt w:val="lowerLetter"/>
      <w:start w:val="12"/>
    </w:lvl>
  </w:abstractNum>
  <w:abstractNum w:abstractNumId="34">
    <w:nsid w:val="1DBABF00"/>
    <w:multiLevelType w:val="hybridMultilevel"/>
    <w:lvl w:ilvl="0">
      <w:lvlJc w:val="left"/>
      <w:lvlText w:val="(%1)"/>
      <w:numFmt w:val="lowerLetter"/>
      <w:start w:val="2"/>
    </w:lvl>
  </w:abstractNum>
  <w:abstractNum w:abstractNumId="35">
    <w:nsid w:val="4AD084E9"/>
    <w:multiLevelType w:val="hybridMultilevel"/>
    <w:lvl w:ilvl="0">
      <w:lvlJc w:val="left"/>
      <w:lvlText w:val="(%1)"/>
      <w:numFmt w:val="lowerLetter"/>
      <w:start w:val="14"/>
    </w:lvl>
  </w:abstractNum>
  <w:abstractNum w:abstractNumId="36">
    <w:nsid w:val="1F48EAA1"/>
    <w:multiLevelType w:val="hybridMultilevel"/>
    <w:lvl w:ilvl="0">
      <w:lvlJc w:val="left"/>
      <w:lvlText w:val="(%1)"/>
      <w:numFmt w:val="lowerLetter"/>
      <w:start w:val="6"/>
    </w:lvl>
  </w:abstractNum>
  <w:abstractNum w:abstractNumId="37">
    <w:nsid w:val="1381823A"/>
    <w:multiLevelType w:val="hybridMultilevel"/>
    <w:lvl w:ilvl="0">
      <w:lvlJc w:val="left"/>
      <w:lvlText w:val="(%1)"/>
      <w:numFmt w:val="lowerRoman"/>
      <w:start w:val="2"/>
    </w:lvl>
  </w:abstractNum>
  <w:abstractNum w:abstractNumId="38">
    <w:nsid w:val="5DB70AE5"/>
    <w:multiLevelType w:val="hybridMultilevel"/>
    <w:lvl w:ilvl="0">
      <w:lvlJc w:val="left"/>
      <w:lvlText w:val="(%1)"/>
      <w:numFmt w:val="lowerRoman"/>
      <w:start w:val="2"/>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lowerLetter"/>
      <w:start w:val="1"/>
    </w:lvl>
  </w:abstractNum>
  <w:abstractNum w:abstractNumId="41">
    <w:nsid w:val="15014ACB"/>
    <w:multiLevelType w:val="hybridMultilevel"/>
    <w:lvl w:ilvl="0">
      <w:lvlJc w:val="left"/>
      <w:lvlText w:val="(%1)"/>
      <w:numFmt w:val="lowerLetter"/>
      <w:start w:val="4"/>
    </w:lvl>
  </w:abstractNum>
  <w:abstractNum w:abstractNumId="42">
    <w:nsid w:val="5F5E7FD0"/>
    <w:multiLevelType w:val="hybridMultilevel"/>
    <w:lvl w:ilvl="0">
      <w:lvlJc w:val="left"/>
      <w:lvlText w:val="(%1)"/>
      <w:numFmt w:val="lowerLetter"/>
      <w:start w:val="2"/>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Roman"/>
      <w:start w:val="2"/>
    </w:lvl>
  </w:abstractNum>
  <w:abstractNum w:abstractNumId="45">
    <w:nsid w:val="6B94764"/>
    <w:multiLevelType w:val="hybridMultilevel"/>
    <w:lvl w:ilvl="0">
      <w:lvlJc w:val="left"/>
      <w:lvlText w:val="(%1)"/>
      <w:numFmt w:val="lowerRoman"/>
      <w:start w:val="1"/>
    </w:lvl>
  </w:abstractNum>
  <w:abstractNum w:abstractNumId="46">
    <w:nsid w:val="42C296BD"/>
    <w:multiLevelType w:val="hybridMultilevel"/>
    <w:lvl w:ilvl="0">
      <w:lvlJc w:val="left"/>
      <w:lvlText w:val="(%1)"/>
      <w:numFmt w:val="lowerLetter"/>
      <w:start w:val="3"/>
    </w:lvl>
  </w:abstractNum>
  <w:abstractNum w:abstractNumId="47">
    <w:nsid w:val="168E121F"/>
    <w:multiLevelType w:val="hybridMultilevel"/>
    <w:lvl w:ilvl="0">
      <w:lvlJc w:val="left"/>
      <w:lvlText w:val="(%1)"/>
      <w:numFmt w:val="lowerLetter"/>
      <w:start w:val="2"/>
    </w:lvl>
  </w:abstractNum>
  <w:abstractNum w:abstractNumId="48">
    <w:nsid w:val="1EBA5D23"/>
    <w:multiLevelType w:val="hybridMultilevel"/>
    <w:lvl w:ilvl="0">
      <w:lvlJc w:val="left"/>
      <w:lvlText w:val="(%1)"/>
      <w:numFmt w:val="lowerRoman"/>
      <w:start w:val="3"/>
    </w:lvl>
  </w:abstractNum>
  <w:abstractNum w:abstractNumId="49">
    <w:nsid w:val="661E3F1E"/>
    <w:multiLevelType w:val="hybridMultilevel"/>
    <w:lvl w:ilvl="0">
      <w:lvlJc w:val="left"/>
      <w:lvlText w:val="(%1)"/>
      <w:numFmt w:val="decimal"/>
      <w:start w:val="3"/>
    </w:lvl>
  </w:abstractNum>
  <w:abstractNum w:abstractNumId="50">
    <w:nsid w:val="5DC79EA8"/>
    <w:multiLevelType w:val="hybridMultilevel"/>
    <w:lvl w:ilvl="0">
      <w:lvlJc w:val="left"/>
      <w:lvlText w:val="(%1)"/>
      <w:numFmt w:val="lowerLetter"/>
      <w:start w:val="4"/>
    </w:lvl>
  </w:abstractNum>
  <w:abstractNum w:abstractNumId="51">
    <w:nsid w:val="540A471C"/>
    <w:multiLevelType w:val="hybridMultilevel"/>
    <w:lvl w:ilvl="0">
      <w:lvlJc w:val="left"/>
      <w:lvlText w:val="(%1)"/>
      <w:numFmt w:val="lowerLetter"/>
      <w:start w:val="26"/>
    </w:lvl>
  </w:abstractNum>
  <w:abstractNum w:abstractNumId="52">
    <w:nsid w:val="7BD3EE7B"/>
    <w:multiLevelType w:val="hybridMultilevel"/>
    <w:lvl w:ilvl="0">
      <w:lvlJc w:val="left"/>
      <w:lvlText w:val="(%1)"/>
      <w:numFmt w:val="lowerLetter"/>
      <w:start w:val="35"/>
    </w:lvl>
    <w:lvl w:ilvl="1">
      <w:lvlJc w:val="left"/>
      <w:lvlText w:val="(%2)"/>
      <w:numFmt w:val="lowerLetter"/>
      <w:start w:val="7"/>
    </w:lvl>
  </w:abstractNum>
  <w:abstractNum w:abstractNumId="53">
    <w:nsid w:val="51D9C564"/>
    <w:multiLevelType w:val="hybridMultilevel"/>
    <w:lvl w:ilvl="0">
      <w:lvlJc w:val="left"/>
      <w:lvlText w:val="(%1)"/>
      <w:numFmt w:val="lowerRoman"/>
      <w:start w:val="1"/>
    </w:lvl>
  </w:abstractNum>
  <w:abstractNum w:abstractNumId="54">
    <w:nsid w:val="613EFDC5"/>
    <w:multiLevelType w:val="hybridMultilevel"/>
    <w:lvl w:ilvl="0">
      <w:lvlJc w:val="left"/>
      <w:lvlText w:val="(%1)"/>
      <w:numFmt w:val="lowerRoman"/>
      <w:start w:val="2"/>
    </w:lvl>
  </w:abstractNum>
  <w:abstractNum w:abstractNumId="55">
    <w:nsid w:val="BF72B14"/>
    <w:multiLevelType w:val="hybridMultilevel"/>
    <w:lvl w:ilvl="0">
      <w:lvlJc w:val="left"/>
      <w:lvlText w:val="(%1)"/>
      <w:numFmt w:val="lowerRoman"/>
      <w:start w:val="2"/>
    </w:lvl>
  </w:abstractNum>
  <w:abstractNum w:abstractNumId="56">
    <w:nsid w:val="11447B73"/>
    <w:multiLevelType w:val="hybridMultilevel"/>
    <w:lvl w:ilvl="0">
      <w:lvlJc w:val="left"/>
      <w:lvlText w:val="(%1)"/>
      <w:numFmt w:val="lowerLetter"/>
      <w:start w:val="11"/>
    </w:lvl>
  </w:abstractNum>
  <w:abstractNum w:abstractNumId="57">
    <w:nsid w:val="42963E5A"/>
    <w:multiLevelType w:val="hybridMultilevel"/>
    <w:lvl w:ilvl="0">
      <w:lvlJc w:val="left"/>
      <w:lvlText w:val="(%1)"/>
      <w:numFmt w:val="lowerRoman"/>
      <w:start w:val="3"/>
    </w:lvl>
  </w:abstractNum>
  <w:abstractNum w:abstractNumId="58">
    <w:nsid w:val="A0382C5"/>
    <w:multiLevelType w:val="hybridMultilevel"/>
    <w:lvl w:ilvl="0">
      <w:lvlJc w:val="left"/>
      <w:lvlText w:val="(%1)"/>
      <w:numFmt w:val="lowerRoman"/>
      <w:start w:val="1"/>
    </w:lvl>
  </w:abstractNum>
  <w:abstractNum w:abstractNumId="59">
    <w:nsid w:val="8F2B15E"/>
    <w:multiLevelType w:val="hybridMultilevel"/>
    <w:lvl w:ilvl="0">
      <w:lvlJc w:val="left"/>
      <w:lvlText w:val="(%1)"/>
      <w:numFmt w:val="lowerRoman"/>
      <w:start w:val="2"/>
    </w:lvl>
  </w:abstractNum>
  <w:abstractNum w:abstractNumId="60">
    <w:nsid w:val="1A32234B"/>
    <w:multiLevelType w:val="hybridMultilevel"/>
    <w:lvl w:ilvl="0">
      <w:lvlJc w:val="left"/>
      <w:lvlText w:val="(%1)"/>
      <w:numFmt w:val="upperLetter"/>
      <w:start w:val="1"/>
    </w:lvl>
  </w:abstractNum>
  <w:abstractNum w:abstractNumId="61">
    <w:nsid w:val="3B0FD379"/>
    <w:multiLevelType w:val="hybridMultilevel"/>
    <w:lvl w:ilvl="0">
      <w:lvlJc w:val="left"/>
      <w:lvlText w:val="(%1)"/>
      <w:numFmt w:val="upperLetter"/>
      <w:start w:val="5"/>
    </w:lvl>
  </w:abstractNum>
  <w:abstractNum w:abstractNumId="62">
    <w:nsid w:val="68EB2F63"/>
    <w:multiLevelType w:val="hybridMultilevel"/>
    <w:lvl w:ilvl="0">
      <w:lvlJc w:val="left"/>
      <w:lvlText w:val="(%1)"/>
      <w:numFmt w:val="upperLetter"/>
      <w:start w:val="2"/>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3"/>
    </w:lvl>
  </w:abstractNum>
  <w:abstractNum w:abstractNumId="65">
    <w:nsid w:val="6A5EE64"/>
    <w:multiLevelType w:val="hybridMultilevel"/>
    <w:lvl w:ilvl="0">
      <w:lvlJc w:val="left"/>
      <w:lvlText w:val="(%1)"/>
      <w:numFmt w:val="lowerLetter"/>
      <w:start w:val="4"/>
    </w:lvl>
  </w:abstractNum>
  <w:abstractNum w:abstractNumId="66">
    <w:nsid w:val="14330624"/>
    <w:multiLevelType w:val="hybridMultilevel"/>
    <w:lvl w:ilvl="0">
      <w:lvlJc w:val="left"/>
      <w:lvlText w:val="(%1)"/>
      <w:numFmt w:val="lowerLetter"/>
      <w:start w:val="2"/>
    </w:lvl>
  </w:abstractNum>
  <w:abstractNum w:abstractNumId="67">
    <w:nsid w:val="7FFFCA11"/>
    <w:multiLevelType w:val="hybridMultilevel"/>
    <w:lvl w:ilvl="0">
      <w:lvlJc w:val="left"/>
      <w:lvlText w:val="(%1)"/>
      <w:numFmt w:val="lowerRoman"/>
      <w:start w:val="3"/>
    </w:lvl>
    <w:lvl w:ilvl="1">
      <w:lvlJc w:val="left"/>
      <w:lvlText w:val="(%2)"/>
      <w:numFmt w:val="upperLetter"/>
      <w:start w:val="1"/>
    </w:lvl>
  </w:abstractNum>
  <w:abstractNum w:abstractNumId="68">
    <w:nsid w:val="1A27709E"/>
    <w:multiLevelType w:val="hybridMultilevel"/>
    <w:lvl w:ilvl="0">
      <w:lvlJc w:val="left"/>
      <w:lvlText w:val="%1"/>
      <w:numFmt w:val="lowerRoman"/>
      <w:start w:val="1"/>
    </w:lvl>
    <w:lvl w:ilvl="1">
      <w:lvlJc w:val="left"/>
      <w:lvlText w:val="(%2)"/>
      <w:numFmt w:val="upperLetter"/>
      <w:start w:val="3"/>
    </w:lvl>
  </w:abstractNum>
  <w:abstractNum w:abstractNumId="69">
    <w:nsid w:val="71EA1109"/>
    <w:multiLevelType w:val="hybridMultilevel"/>
    <w:lvl w:ilvl="0">
      <w:lvlJc w:val="left"/>
      <w:lvlText w:val="(%1)"/>
      <w:numFmt w:val="lowerRoman"/>
      <w:start w:val="2"/>
    </w:lvl>
    <w:lvl w:ilvl="1">
      <w:lvlJc w:val="left"/>
      <w:lvlText w:val="%2"/>
      <w:numFmt w:val="upperLetter"/>
      <w:start w:val="1"/>
    </w:lvl>
  </w:abstractNum>
  <w:abstractNum w:abstractNumId="70">
    <w:nsid w:val="100F59DC"/>
    <w:multiLevelType w:val="hybridMultilevel"/>
    <w:lvl w:ilvl="0">
      <w:lvlJc w:val="left"/>
      <w:lvlText w:val="(%1)"/>
      <w:numFmt w:val="lowerRoman"/>
      <w:start w:val="3"/>
    </w:lvl>
  </w:abstractNum>
  <w:abstractNum w:abstractNumId="71">
    <w:nsid w:val="7FB7E0AA"/>
    <w:multiLevelType w:val="hybridMultilevel"/>
    <w:lvl w:ilvl="0">
      <w:lvlJc w:val="left"/>
      <w:lvlText w:val="%1."/>
      <w:numFmt w:val="upperLetter"/>
      <w:start w:val="35"/>
    </w:lvl>
  </w:abstractNum>
  <w:abstractNum w:abstractNumId="72">
    <w:nsid w:val="6EB5BD4"/>
    <w:multiLevelType w:val="hybridMultilevel"/>
    <w:lvl w:ilvl="0">
      <w:lvlJc w:val="left"/>
      <w:lvlText w:val="%1."/>
      <w:numFmt w:val="upperLetter"/>
      <w:start w:val="6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1)"/>
      <w:numFmt w:val="lowerRoman"/>
      <w:start w:val="1"/>
    </w:lvl>
  </w:abstractNum>
  <w:abstractNum w:abstractNumId="75">
    <w:nsid w:val="885E1B"/>
    <w:multiLevelType w:val="hybridMultilevel"/>
    <w:lvl w:ilvl="0">
      <w:lvlJc w:val="left"/>
      <w:lvlText w:val="%1."/>
      <w:numFmt w:val="upperLetter"/>
      <w:start w:val="1"/>
    </w:lvl>
  </w:abstractNum>
  <w:abstractNum w:abstractNumId="76">
    <w:nsid w:val="76272110"/>
    <w:multiLevelType w:val="hybridMultilevel"/>
    <w:lvl w:ilvl="0">
      <w:lvlJc w:val="left"/>
      <w:lvlText w:val="%1."/>
      <w:numFmt w:val="upperLetter"/>
      <w:start w:val="2"/>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16"/>
    </w:lvl>
  </w:abstractNum>
  <w:abstractNum w:abstractNumId="80">
    <w:nsid w:val="3222E7CD"/>
    <w:multiLevelType w:val="hybridMultilevel"/>
    <w:lvl w:ilvl="0">
      <w:lvlJc w:val="left"/>
      <w:lvlText w:val="%1."/>
      <w:numFmt w:val="upperLetter"/>
      <w:start w:val="1"/>
    </w:lvl>
  </w:abstractNum>
  <w:abstractNum w:abstractNumId="81">
    <w:nsid w:val="74DE0EE3"/>
    <w:multiLevelType w:val="hybridMultilevel"/>
    <w:lvl w:ilvl="0">
      <w:lvlJc w:val="left"/>
      <w:lvlText w:val="%1."/>
      <w:numFmt w:val="upperLetter"/>
      <w:start w:val="2"/>
    </w:lvl>
  </w:abstractNum>
  <w:abstractNum w:abstractNumId="82">
    <w:nsid w:val="68EBC550"/>
    <w:multiLevelType w:val="hybridMultilevel"/>
    <w:lvl w:ilvl="0">
      <w:lvlJc w:val="left"/>
      <w:lvlText w:val="%1."/>
      <w:numFmt w:val="upperLetter"/>
      <w:start w:val="3"/>
    </w:lvl>
  </w:abstractNum>
  <w:abstractNum w:abstractNumId="83">
    <w:nsid w:val="2DF6D648"/>
    <w:multiLevelType w:val="hybridMultilevel"/>
    <w:lvl w:ilvl="0">
      <w:lvlJc w:val="left"/>
      <w:lvlText w:val="%1."/>
      <w:numFmt w:val="upperLetter"/>
      <w:start w:val="4"/>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2"/>
    </w:lvl>
  </w:abstractNum>
  <w:abstractNum w:abstractNumId="86">
    <w:nsid w:val="39EE015C"/>
    <w:multiLevelType w:val="hybridMultilevel"/>
    <w:lvl w:ilvl="0">
      <w:lvlJc w:val="left"/>
      <w:lvlText w:val="%1."/>
      <w:numFmt w:val="decimal"/>
      <w:start w:val="3"/>
    </w:lvl>
  </w:abstractNum>
  <w:abstractNum w:abstractNumId="87">
    <w:nsid w:val="57FC4FBB"/>
    <w:multiLevelType w:val="hybridMultilevel"/>
    <w:lvl w:ilvl="0">
      <w:lvlJc w:val="left"/>
      <w:lvlText w:val="%1."/>
      <w:numFmt w:val="decimal"/>
      <w:start w:val="4"/>
    </w:lvl>
  </w:abstractNum>
  <w:abstractNum w:abstractNumId="88">
    <w:nsid w:val="CC1016F"/>
    <w:multiLevelType w:val="hybridMultilevel"/>
    <w:lvl w:ilvl="0">
      <w:lvlJc w:val="left"/>
      <w:lvlText w:val="%1."/>
      <w:numFmt w:val="decimal"/>
      <w:start w:val="5"/>
    </w:lvl>
  </w:abstractNum>
  <w:abstractNum w:abstractNumId="89">
    <w:nsid w:val="43F18422"/>
    <w:multiLevelType w:val="hybridMultilevel"/>
    <w:lvl w:ilvl="0">
      <w:lvlJc w:val="left"/>
      <w:lvlText w:val="%1."/>
      <w:numFmt w:val="decimal"/>
      <w:start w:val="6"/>
    </w:lvl>
  </w:abstractNum>
  <w:abstractNum w:abstractNumId="90">
    <w:nsid w:val="60EF0119"/>
    <w:multiLevelType w:val="hybridMultilevel"/>
    <w:lvl w:ilvl="0">
      <w:lvlJc w:val="left"/>
      <w:lvlText w:val="%1."/>
      <w:numFmt w:val="decimal"/>
      <w:start w:val="7"/>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2019-12-28T18:02:29Z</dcterms:created>
  <dcterms:modified xsi:type="dcterms:W3CDTF">2019-12-28T18:02:29Z</dcterms:modified>
</cp:coreProperties>
</file>