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Aptevo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03835L702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03835L702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CVI Investments,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83,854.00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83,854.00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83,854.00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9920"/>
          </w:cols>
          <w:pgMar w:left="320" w:top="166" w:right="499" w:bottom="0" w:gutter="0" w:footer="0" w:header="0"/>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respect to Row 6 and Row 8 above, Heights Capital Management, Inc. is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investment manager to CVI Investments, Inc. and as such may exercise voting and dispositive power over the shares reported as beneficially owned by CVI Investments, Inc. herein.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03835L702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Heights Capital Management,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83,854.00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83,854.00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080"/>
          </w:cols>
          <w:pgMar w:left="320" w:top="166" w:right="499" w:bottom="0" w:gutter="0" w:footer="0" w:header="0"/>
          <w:type w:val="continuous"/>
        </w:sectPr>
      </w:pPr>
    </w:p>
    <w:bookmarkStart w:id="2" w:name="page3"/>
    <w:bookmarkEnd w:id="2"/>
    <w:p>
      <w:pPr>
        <w:spacing w:after="0" w:line="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83,854.00</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8.2 %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6"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respect to Row 6 and Row 8 above, Heights Capital Management, Inc. is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investment manager to CVI Investments, Inc. and as such may exercise voting and dispositive power over the shares reported as beneficially owned by CVI Investments, Inc. herein.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Aptevo Therapeutics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2401 4th Avenue, Suite 1050, Seattle, WA 98121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hanging="912"/>
        <w:spacing w:after="0" w:line="244" w:lineRule="auto"/>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statement is filed by the entities listed below, who are collectively referred to herein as "Reporting Persons," with respect to the shares of common stock of Aptevo Therapeutics Inc. (the "Company"), $0.001 par value per share (the "Shares"). (i) CVI Investments, Inc. (ii) Heights Capital Management, Inc.</w:t>
      </w:r>
    </w:p>
    <w:p>
      <w:pPr>
        <w:spacing w:after="0" w:line="11"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60" w:right="120" w:hanging="912"/>
        <w:spacing w:after="0" w:line="256" w:lineRule="auto"/>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address of the principal business office of CVI Investments, Inc. is: P.O. Box 309GT Ugland House South Church Street George Town Grand Cayman KY1-1104 Cayman Islands The address of the principal business office of Heights Capital Management, Inc. is: 101 California Street, Suite 3250 San Francisco, California 94111 Citizenship:</w:t>
      </w:r>
    </w:p>
    <w:p>
      <w:pPr>
        <w:spacing w:after="0" w:line="189" w:lineRule="exact"/>
        <w:rPr>
          <w:rFonts w:ascii="Times New Roman" w:cs="Times New Roman" w:eastAsia="Times New Roman" w:hAnsi="Times New Roman"/>
          <w:sz w:val="22"/>
          <w:szCs w:val="22"/>
          <w:color w:val="auto"/>
        </w:rPr>
      </w:pPr>
    </w:p>
    <w:p>
      <w:pPr>
        <w:ind w:left="960" w:right="300" w:hanging="912"/>
        <w:spacing w:after="0" w:line="185" w:lineRule="auto"/>
        <w:tabs>
          <w:tab w:leader="none" w:pos="96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Citizenship is set forth in Row 4 of the cover page for each Reporting Person hereto and is incorporated herein by reference for each such Reporting Person.</w:t>
      </w:r>
    </w:p>
    <w:p>
      <w:pPr>
        <w:spacing w:after="0" w:line="1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$0.001 par value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03835L702</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600" w:hanging="912"/>
        <w:spacing w:after="0" w:line="185" w:lineRule="auto"/>
        <w:tabs>
          <w:tab w:leader="none" w:pos="96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20" w:lineRule="exact"/>
        <w:rPr>
          <w:sz w:val="20"/>
          <w:szCs w:val="20"/>
          <w:color w:val="auto"/>
        </w:rPr>
      </w:pPr>
    </w:p>
    <w:p>
      <w:pPr>
        <w:ind w:left="40"/>
        <w:spacing w:after="0"/>
        <w:tabs>
          <w:tab w:leader="none" w:pos="946" w:val="left"/>
        </w:tabs>
        <w:rPr>
          <w:sz w:val="20"/>
          <w:szCs w:val="20"/>
          <w:color w:val="auto"/>
        </w:rPr>
      </w:pPr>
      <w:r>
        <w:rPr>
          <w:rFonts w:ascii="Times New Roman" w:cs="Times New Roman" w:eastAsia="Times New Roman" w:hAnsi="Times New Roman"/>
          <w:sz w:val="22"/>
          <w:szCs w:val="22"/>
          <w:color w:val="auto"/>
        </w:rPr>
        <w:t>(k)</w:t>
      </w:r>
      <w:r>
        <w:rPr>
          <w:sz w:val="20"/>
          <w:szCs w:val="20"/>
          <w:color w:val="auto"/>
        </w:rPr>
        <w:tab/>
      </w:r>
      <w:r>
        <w:rPr>
          <w:sz w:val="1"/>
          <w:szCs w:val="1"/>
          <w:color w:val="auto"/>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ectPr>
          <w:pgSz w:w="11900" w:h="16887" w:orient="portrait"/>
          <w:cols w:equalWidth="0" w:num="1">
            <w:col w:w="11100"/>
          </w:cols>
          <w:pgMar w:left="320" w:top="111" w:right="479" w:bottom="0" w:gutter="0" w:footer="0" w:header="0"/>
        </w:sectPr>
      </w:pPr>
    </w:p>
    <w:bookmarkStart w:id="3" w:name="page4"/>
    <w:bookmarkEnd w:id="3"/>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40"/>
        <w:spacing w:after="0" w:line="249" w:lineRule="auto"/>
        <w:rPr>
          <w:sz w:val="20"/>
          <w:szCs w:val="20"/>
          <w:color w:val="auto"/>
        </w:rPr>
      </w:pPr>
      <w:r>
        <w:rPr>
          <w:rFonts w:ascii="Times New Roman" w:cs="Times New Roman" w:eastAsia="Times New Roman" w:hAnsi="Times New Roman"/>
          <w:sz w:val="21"/>
          <w:szCs w:val="21"/>
          <w:color w:val="auto"/>
        </w:rPr>
        <w:t>The information required by this Item 4(a) is set forth in Row 9 of the cover page for each Reporting Person hereto and is incorporated herein by reference for each such Reporting Person. The number of Shares reported as beneficially owned consists of Shares issuable upon the exercise of warrants to purchase Shares (the "Warrants"). The</w:t>
      </w:r>
    </w:p>
    <w:p>
      <w:pPr>
        <w:spacing w:after="0" w:line="1" w:lineRule="exact"/>
        <w:rPr>
          <w:sz w:val="20"/>
          <w:szCs w:val="20"/>
          <w:color w:val="auto"/>
        </w:rPr>
      </w:pPr>
    </w:p>
    <w:p>
      <w:pPr>
        <w:ind w:left="920" w:right="180" w:hanging="912"/>
        <w:spacing w:after="0" w:line="232"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Warrants are not exercisable to the extent that the total number of Shares then beneficially owned by a Reporting Person and its affiliates and any other persons whose beneficial ownership of Shares would be aggregated with such Reporting Person for purposes of Section 13(d) of the Securities Exchange Act of 1934, as amended, would exceed 9.99%. The Company's Quarterly Report on Form 10-Q, filed on November 6, 2025, indicates there were 936,139 Shares outstanding as of November 6, 2025, after giving effect to the Company's 1-for-18 reverse stock split of its issued and outstanding Shares, which became effective on December 30, 2025.</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8.2 %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463"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 is set forth in Row 5 of the cover page for each Reporting Person hereto and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The information required by this Item 4(c)(ii) is set forth in Row 6 of the cover page for each Reporting Person hereto and is incorporated herein by reference for each such Reporting Person. Heights Capital Management, Inc., which serves as the investment manager to CVI Investments, Inc., may be deemed to be the beneficial owner of all Shares owned by CVI Investments, Inc. Each of the Reporting Persons hereby disclaims any beneficial ownership of any such Shares, except for their pecuniary interest therein.</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54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4(c)(iii) is set forth in Row 7 of the cover page for each Reporting Person hereto and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The information required by this Item 4(c)(iv) is set forth in Row 8 of the cover page for each Reporting Person hereto and is incorporated herein by reference for each such Reporting Person. Heights Capital Management, Inc., which serves as the investment manager to CVI Investments, Inc., may be deemed to be the beneficial owner of all Shares owned by CVI Investments, Inc. Each of the Reporting Persons hereby disclaims any beneficial ownership of any such Shares, except for their pecuniary interest therein.</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463"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38" w:orient="portrait"/>
          <w:cols w:equalWidth="0" w:num="1">
            <w:col w:w="11140"/>
          </w:cols>
          <w:pgMar w:left="360" w:top="463" w:right="399" w:bottom="0" w:gutter="0" w:footer="0" w:header="0"/>
          <w:type w:val="continuous"/>
        </w:sectPr>
      </w:pPr>
    </w:p>
    <w:bookmarkStart w:id="4" w:name="page5"/>
    <w:bookmarkEnd w:id="4"/>
    <w:p>
      <w:pPr>
        <w:ind w:left="152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CVI Investments, Inc.</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Sarah Travis</w:t>
      </w:r>
    </w:p>
    <w:p>
      <w:pPr>
        <w:spacing w:after="0" w:line="4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Sarah Travis, Assistant General Counsel and</w:t>
      </w:r>
    </w:p>
    <w:p>
      <w:pPr>
        <w:spacing w:after="0" w:line="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Name/Title: Assistant Secretary of Heights Capital</w:t>
      </w:r>
    </w:p>
    <w:p>
      <w:pPr>
        <w:ind w:left="6780"/>
        <w:spacing w:after="0"/>
        <w:rPr>
          <w:sz w:val="20"/>
          <w:szCs w:val="20"/>
          <w:color w:val="auto"/>
        </w:rPr>
      </w:pPr>
      <w:r>
        <w:rPr>
          <w:rFonts w:ascii="Times New Roman" w:cs="Times New Roman" w:eastAsia="Times New Roman" w:hAnsi="Times New Roman"/>
          <w:sz w:val="22"/>
          <w:szCs w:val="22"/>
          <w:color w:val="auto"/>
        </w:rPr>
        <w:t>Management, Inc.</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02/10/2026</w:t>
      </w:r>
    </w:p>
    <w:p>
      <w:pPr>
        <w:spacing w:after="0" w:line="15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Heights Capital Management, Inc.</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Sarah Travis</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Sarah Travis, Assistant General Counsel and</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Assistant Secretary</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Heights Capital Management, Inc. serves as authorized agent of CVI Investments,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pursuant to a Limited Power of Attorney, a copy of which was previously filed.</w:t>
      </w:r>
    </w:p>
    <w:p>
      <w:pPr>
        <w:spacing w:after="0" w:line="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EXHIBIT INDEX EXHIBIT DESCRIPTION 24 Limited Power of Attorney* 99 Joint Filing Agreement* * Previously filed</w:t>
      </w:r>
    </w:p>
    <w:sectPr>
      <w:pgSz w:w="11900" w:h="16838" w:orient="portrait"/>
      <w:cols w:equalWidth="0" w:num="1">
        <w:col w:w="11180"/>
      </w:cols>
      <w:pgMar w:left="32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9"/>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2026-02-17T14:52:28Z</dcterms:created>
  <dcterms:modified xsi:type="dcterms:W3CDTF">2026-02-17T14:52:28Z</dcterms:modified>
</cp:coreProperties>
</file>