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69850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4"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88" w:lineRule="exact"/>
        <w:rPr>
          <w:sz w:val="24"/>
          <w:szCs w:val="24"/>
          <w:color w:val="auto"/>
        </w:rPr>
      </w:pPr>
    </w:p>
    <w:p>
      <w:pPr>
        <w:ind w:left="3720"/>
        <w:spacing w:after="0"/>
        <w:tabs>
          <w:tab w:leader="none" w:pos="66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3831590</wp:posOffset>
            </wp:positionH>
            <wp:positionV relativeFrom="paragraph">
              <wp:posOffset>-5080</wp:posOffset>
            </wp:positionV>
            <wp:extent cx="9512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001-37746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88265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APTEVO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4" w:lineRule="exact"/>
        <w:rPr>
          <w:sz w:val="24"/>
          <w:szCs w:val="24"/>
          <w:color w:val="auto"/>
        </w:rPr>
      </w:pPr>
    </w:p>
    <w:tbl>
      <w:tblPr>
        <w:tblLayout w:type="fixed"/>
        <w:tblInd w:w="1620" w:type="dxa"/>
        <w:tblCellMar>
          <w:top w:w="0" w:type="dxa"/>
          <w:left w:w="0" w:type="dxa"/>
          <w:bottom w:w="0" w:type="dxa"/>
          <w:right w:w="0" w:type="dxa"/>
        </w:tblCellMar>
      </w:tblPr>
      <w:tr>
        <w:trPr>
          <w:trHeight w:val="214"/>
        </w:trPr>
        <w:tc>
          <w:tcPr>
            <w:tcW w:w="4320" w:type="dxa"/>
            <w:vAlign w:val="bottom"/>
          </w:tcPr>
          <w:p>
            <w:pPr>
              <w:jc w:val="center"/>
              <w:ind w:right="18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81-1567056</w:t>
            </w:r>
          </w:p>
        </w:tc>
      </w:tr>
      <w:tr>
        <w:trPr>
          <w:trHeight w:val="149"/>
        </w:trPr>
        <w:tc>
          <w:tcPr>
            <w:tcW w:w="4320" w:type="dxa"/>
            <w:vAlign w:val="bottom"/>
          </w:tcPr>
          <w:p>
            <w:pPr>
              <w:jc w:val="center"/>
              <w:ind w:right="18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60" w:type="dxa"/>
            <w:vAlign w:val="bottom"/>
          </w:tcPr>
          <w:p>
            <w:pPr>
              <w:jc w:val="center"/>
              <w:ind w:left="18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20" w:type="dxa"/>
            <w:vAlign w:val="bottom"/>
          </w:tcPr>
          <w:p>
            <w:pPr>
              <w:jc w:val="center"/>
              <w:ind w:right="183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60" w:type="dxa"/>
            <w:vAlign w:val="bottom"/>
          </w:tcPr>
          <w:p>
            <w:pPr>
              <w:jc w:val="center"/>
              <w:ind w:left="18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58"/>
        </w:trPr>
        <w:tc>
          <w:tcPr>
            <w:tcW w:w="4320" w:type="dxa"/>
            <w:vAlign w:val="bottom"/>
          </w:tcPr>
          <w:p>
            <w:pPr>
              <w:jc w:val="center"/>
              <w:ind w:right="1839"/>
              <w:spacing w:after="0"/>
              <w:rPr>
                <w:sz w:val="20"/>
                <w:szCs w:val="20"/>
                <w:color w:val="auto"/>
              </w:rPr>
            </w:pPr>
            <w:r>
              <w:rPr>
                <w:rFonts w:ascii="Times New Roman" w:cs="Times New Roman" w:eastAsia="Times New Roman" w:hAnsi="Times New Roman"/>
                <w:sz w:val="18"/>
                <w:szCs w:val="18"/>
                <w:b w:val="1"/>
                <w:bCs w:val="1"/>
                <w:color w:val="auto"/>
                <w:w w:val="99"/>
              </w:rPr>
              <w:t>2401 4</w:t>
            </w:r>
            <w:r>
              <w:rPr>
                <w:rFonts w:ascii="Times New Roman" w:cs="Times New Roman" w:eastAsia="Times New Roman" w:hAnsi="Times New Roman"/>
                <w:sz w:val="15"/>
                <w:szCs w:val="15"/>
                <w:b w:val="1"/>
                <w:bCs w:val="1"/>
                <w:color w:val="auto"/>
                <w:w w:val="99"/>
              </w:rPr>
              <w:t>th</w:t>
            </w:r>
            <w:r>
              <w:rPr>
                <w:rFonts w:ascii="Times New Roman" w:cs="Times New Roman" w:eastAsia="Times New Roman" w:hAnsi="Times New Roman"/>
                <w:sz w:val="18"/>
                <w:szCs w:val="18"/>
                <w:b w:val="1"/>
                <w:bCs w:val="1"/>
                <w:color w:val="auto"/>
                <w:w w:val="99"/>
              </w:rPr>
              <w:t xml:space="preserve"> Avenue, Suite 1050</w:t>
            </w:r>
          </w:p>
        </w:tc>
        <w:tc>
          <w:tcPr>
            <w:tcW w:w="3060" w:type="dxa"/>
            <w:vAlign w:val="bottom"/>
          </w:tcPr>
          <w:p>
            <w:pPr>
              <w:spacing w:after="0"/>
              <w:rPr>
                <w:sz w:val="22"/>
                <w:szCs w:val="22"/>
                <w:color w:val="auto"/>
              </w:rPr>
            </w:pPr>
          </w:p>
        </w:tc>
      </w:tr>
      <w:tr>
        <w:trPr>
          <w:trHeight w:val="214"/>
        </w:trPr>
        <w:tc>
          <w:tcPr>
            <w:tcW w:w="4320" w:type="dxa"/>
            <w:vAlign w:val="bottom"/>
          </w:tcPr>
          <w:p>
            <w:pPr>
              <w:jc w:val="center"/>
              <w:ind w:right="1839"/>
              <w:spacing w:after="0"/>
              <w:rPr>
                <w:sz w:val="20"/>
                <w:szCs w:val="20"/>
                <w:color w:val="auto"/>
              </w:rPr>
            </w:pPr>
            <w:r>
              <w:rPr>
                <w:rFonts w:ascii="Times New Roman" w:cs="Times New Roman" w:eastAsia="Times New Roman" w:hAnsi="Times New Roman"/>
                <w:sz w:val="18"/>
                <w:szCs w:val="18"/>
                <w:b w:val="1"/>
                <w:bCs w:val="1"/>
                <w:color w:val="auto"/>
                <w:w w:val="98"/>
              </w:rPr>
              <w:t>Seattle, Washington</w:t>
            </w:r>
          </w:p>
        </w:tc>
        <w:tc>
          <w:tcPr>
            <w:tcW w:w="30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98121</w:t>
            </w:r>
          </w:p>
        </w:tc>
      </w:tr>
      <w:tr>
        <w:trPr>
          <w:trHeight w:val="190"/>
        </w:trPr>
        <w:tc>
          <w:tcPr>
            <w:tcW w:w="4320" w:type="dxa"/>
            <w:vAlign w:val="bottom"/>
          </w:tcPr>
          <w:p>
            <w:pPr>
              <w:jc w:val="center"/>
              <w:ind w:right="18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60" w:type="dxa"/>
            <w:vAlign w:val="bottom"/>
          </w:tcPr>
          <w:p>
            <w:pPr>
              <w:jc w:val="center"/>
              <w:ind w:left="18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(206) 838-0500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88265</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240"/>
          </w:cols>
          <w:pgMar w:left="320" w:top="713" w:right="339" w:bottom="1440" w:gutter="0" w:footer="0" w:header="0"/>
        </w:sectPr>
      </w:pPr>
    </w:p>
    <w:p>
      <w:pPr>
        <w:spacing w:after="0" w:line="77"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Common Stock, $0.001 par value per share</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Trading Symbols(s)</w:t>
      </w:r>
    </w:p>
    <w:p>
      <w:pPr>
        <w:spacing w:after="0" w:line="43"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APVO</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jc w:val="center"/>
        <w:ind w:right="280"/>
        <w:spacing w:after="0" w:line="268" w:lineRule="auto"/>
        <w:rPr>
          <w:sz w:val="20"/>
          <w:szCs w:val="20"/>
          <w:color w:val="auto"/>
        </w:rPr>
      </w:pPr>
      <w:r>
        <w:rPr>
          <w:rFonts w:ascii="Times New Roman" w:cs="Times New Roman" w:eastAsia="Times New Roman" w:hAnsi="Times New Roman"/>
          <w:sz w:val="18"/>
          <w:szCs w:val="18"/>
          <w:b w:val="1"/>
          <w:bCs w:val="1"/>
          <w:color w:val="auto"/>
        </w:rPr>
        <w:t>Name of Exchange on Which Registered The Nasdaq Stock Market LLC (The Nasdaq Capital Market)</w:t>
      </w:r>
    </w:p>
    <w:p>
      <w:pPr>
        <w:spacing w:after="0" w:line="40" w:lineRule="exact"/>
        <w:rPr>
          <w:sz w:val="24"/>
          <w:szCs w:val="24"/>
          <w:color w:val="auto"/>
        </w:rPr>
      </w:pPr>
    </w:p>
    <w:p>
      <w:pPr>
        <w:sectPr>
          <w:pgSz w:w="11900" w:h="16838" w:orient="portrait"/>
          <w:cols w:equalWidth="0" w:num="3">
            <w:col w:w="4340" w:space="720"/>
            <w:col w:w="2100" w:space="720"/>
            <w:col w:w="3360"/>
          </w:cols>
          <w:pgMar w:left="320" w:top="713" w:right="339" w:bottom="1440" w:gutter="0" w:footer="0" w:header="0"/>
          <w:type w:val="continuous"/>
        </w:sectPr>
      </w:pPr>
    </w:p>
    <w:p>
      <w:pPr>
        <w:jc w:val="both"/>
        <w:ind w:firstLine="51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jc w:val="both"/>
        <w:ind w:firstLine="51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19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532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3" w:lineRule="exact"/>
        <w:rPr>
          <w:sz w:val="24"/>
          <w:szCs w:val="24"/>
          <w:color w:val="auto"/>
        </w:rPr>
      </w:pPr>
    </w:p>
    <w:p>
      <w:pPr>
        <w:ind w:firstLine="51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left="520" w:right="1220"/>
        <w:spacing w:after="0" w:line="27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August 11, 2022, the number of shares of the registrant’s common stock outstanding was 5,090,644.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3"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40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8"/>
              </w:rPr>
              <w:t>FINANCIAL INFORMATION</w:t>
            </w:r>
          </w:p>
        </w:tc>
        <w:tc>
          <w:tcPr>
            <w:tcW w:w="7220" w:type="dxa"/>
            <w:vAlign w:val="bottom"/>
            <w:gridSpan w:val="9"/>
            <w:vMerge w:val="restart"/>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1180" w:type="dxa"/>
            <w:vAlign w:val="bottom"/>
            <w:gridSpan w:val="2"/>
            <w:vMerge w:val="continue"/>
          </w:tcPr>
          <w:p>
            <w:pPr>
              <w:spacing w:after="0"/>
              <w:rPr>
                <w:sz w:val="14"/>
                <w:szCs w:val="14"/>
                <w:color w:val="auto"/>
              </w:rPr>
            </w:pPr>
          </w:p>
        </w:tc>
        <w:tc>
          <w:tcPr>
            <w:tcW w:w="2400" w:type="dxa"/>
            <w:vAlign w:val="bottom"/>
            <w:tcBorders>
              <w:bottom w:val="single" w:sz="8" w:color="0000EE"/>
            </w:tcBorders>
            <w:gridSpan w:val="9"/>
            <w:vMerge w:val="continue"/>
          </w:tcPr>
          <w:p>
            <w:pPr>
              <w:spacing w:after="0"/>
              <w:rPr>
                <w:sz w:val="14"/>
                <w:szCs w:val="14"/>
                <w:color w:val="auto"/>
              </w:rPr>
            </w:pPr>
          </w:p>
        </w:tc>
        <w:tc>
          <w:tcPr>
            <w:tcW w:w="7220" w:type="dxa"/>
            <w:vAlign w:val="bottom"/>
            <w:gridSpan w:val="9"/>
            <w:vMerge w:val="continue"/>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Financial Statements (Unaudited)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Condensed Consolidated Balance Sheets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8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4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Changes in Stockholders’ Equity</w:t>
            </w:r>
          </w:p>
        </w:tc>
        <w:tc>
          <w:tcPr>
            <w:tcW w:w="3980" w:type="dxa"/>
            <w:vAlign w:val="bottom"/>
            <w:gridSpan w:val="2"/>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5240" w:type="dxa"/>
            <w:vAlign w:val="bottom"/>
            <w:gridSpan w:val="3"/>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Controls and Procedures</w:t>
            </w:r>
          </w:p>
        </w:tc>
        <w:tc>
          <w:tcPr>
            <w:tcW w:w="7840" w:type="dxa"/>
            <w:vAlign w:val="bottom"/>
            <w:gridSpan w:val="12"/>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43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62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EE"/>
              </w:rPr>
              <w:t>OTHER INFORMATION</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680" w:type="dxa"/>
            <w:vAlign w:val="bottom"/>
            <w:tcBorders>
              <w:top w:val="single" w:sz="8" w:color="0000EE"/>
            </w:tcBorders>
            <w:gridSpan w:val="2"/>
          </w:tcPr>
          <w:p>
            <w:pPr>
              <w:spacing w:after="0"/>
              <w:rPr>
                <w:sz w:val="18"/>
                <w:szCs w:val="18"/>
                <w:color w:val="auto"/>
              </w:rPr>
            </w:pPr>
          </w:p>
        </w:tc>
        <w:tc>
          <w:tcPr>
            <w:tcW w:w="7600" w:type="dxa"/>
            <w:vAlign w:val="bottom"/>
            <w:gridSpan w:val="11"/>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6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2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6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5280" w:type="dxa"/>
            <w:vAlign w:val="bottom"/>
            <w:gridSpan w:val="4"/>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Mine Safety Disclosures</w:t>
            </w:r>
          </w:p>
        </w:tc>
        <w:tc>
          <w:tcPr>
            <w:tcW w:w="540" w:type="dxa"/>
            <w:vAlign w:val="bottom"/>
            <w:tcBorders>
              <w:top w:val="single" w:sz="8" w:color="0000EE"/>
            </w:tcBorders>
            <w:gridSpan w:val="2"/>
          </w:tcPr>
          <w:p>
            <w:pPr>
              <w:spacing w:after="0"/>
              <w:rPr>
                <w:sz w:val="18"/>
                <w:szCs w:val="18"/>
                <w:color w:val="auto"/>
              </w:rPr>
            </w:pPr>
          </w:p>
        </w:tc>
        <w:tc>
          <w:tcPr>
            <w:tcW w:w="7300" w:type="dxa"/>
            <w:vAlign w:val="bottom"/>
            <w:gridSpan w:val="10"/>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8300" w:type="dxa"/>
            <w:vAlign w:val="bottom"/>
            <w:gridSpan w:val="14"/>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6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Exhibits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4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this Quarterly Report on Form 10-Q, “we,” “our,” “us,” “Aptevo,” and “the Company” refer to Aptevo Therapeutics Inc. and, where appropriate, its consolidated subsidiaries.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unaudited)</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23"/>
        </w:trPr>
        <w:tc>
          <w:tcPr>
            <w:tcW w:w="7760" w:type="dxa"/>
            <w:vAlign w:val="bottom"/>
            <w:tcBorders>
              <w:top w:val="single" w:sz="8" w:color="CFF0FC"/>
            </w:tcBorders>
            <w:shd w:val="clear" w:color="auto" w:fill="CFF0FC"/>
          </w:tcPr>
          <w:p>
            <w:pPr>
              <w:ind w:left="34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29,431</w:t>
            </w:r>
          </w:p>
        </w:tc>
        <w:tc>
          <w:tcPr>
            <w:tcW w:w="28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45,044</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Royalty receivable</w:t>
            </w:r>
          </w:p>
        </w:tc>
        <w:tc>
          <w:tcPr>
            <w:tcW w:w="2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shd w:val="clear" w:color="auto" w:fill="CFF0FC"/>
          </w:tcPr>
          <w:p>
            <w:pPr>
              <w:spacing w:after="0"/>
              <w:rPr>
                <w:sz w:val="19"/>
                <w:szCs w:val="19"/>
                <w:color w:val="auto"/>
              </w:rPr>
            </w:pPr>
          </w:p>
        </w:tc>
      </w:tr>
      <w:tr>
        <w:trPr>
          <w:trHeight w:val="223"/>
        </w:trPr>
        <w:tc>
          <w:tcPr>
            <w:tcW w:w="7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52,570</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FF0FC"/>
          </w:tcPr>
          <w:p>
            <w:pPr>
              <w:spacing w:after="0"/>
              <w:rPr>
                <w:sz w:val="19"/>
                <w:szCs w:val="19"/>
                <w:color w:val="auto"/>
              </w:rPr>
            </w:pPr>
          </w:p>
        </w:tc>
      </w:tr>
      <w:tr>
        <w:trPr>
          <w:trHeight w:val="263"/>
        </w:trPr>
        <w:tc>
          <w:tcPr>
            <w:tcW w:w="77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38,799</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56,601</w:t>
            </w:r>
          </w:p>
        </w:tc>
        <w:tc>
          <w:tcPr>
            <w:tcW w:w="100" w:type="dxa"/>
            <w:vAlign w:val="bottom"/>
            <w:tcBorders>
              <w:bottom w:val="single" w:sz="8" w:color="CFF0FC"/>
            </w:tcBorders>
          </w:tcPr>
          <w:p>
            <w:pPr>
              <w:spacing w:after="0"/>
              <w:rPr>
                <w:sz w:val="22"/>
                <w:szCs w:val="22"/>
                <w:color w:val="auto"/>
              </w:rPr>
            </w:pPr>
          </w:p>
        </w:tc>
      </w:tr>
      <w:tr>
        <w:trPr>
          <w:trHeight w:val="210"/>
        </w:trPr>
        <w:tc>
          <w:tcPr>
            <w:tcW w:w="7760" w:type="dxa"/>
            <w:vAlign w:val="bottom"/>
            <w:shd w:val="clear" w:color="auto" w:fill="CFF0FC"/>
          </w:tcPr>
          <w:p>
            <w:pPr>
              <w:ind w:left="18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28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3,462</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compensation</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Liability related to the sale of royalties, net - short-term</w:t>
            </w:r>
          </w:p>
        </w:tc>
        <w:tc>
          <w:tcPr>
            <w:tcW w:w="2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15,465</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11,667</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100" w:type="dxa"/>
            <w:vAlign w:val="bottom"/>
            <w:shd w:val="clear" w:color="auto" w:fill="CFF0FC"/>
          </w:tcPr>
          <w:p>
            <w:pPr>
              <w:spacing w:after="0"/>
              <w:rPr>
                <w:sz w:val="19"/>
                <w:szCs w:val="19"/>
                <w:color w:val="auto"/>
              </w:rPr>
            </w:pPr>
          </w:p>
        </w:tc>
      </w:tr>
      <w:tr>
        <w:trPr>
          <w:trHeight w:val="223"/>
        </w:trPr>
        <w:tc>
          <w:tcPr>
            <w:tcW w:w="7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34,757</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Liability related to the sale of royalties, net - long-term</w:t>
            </w:r>
          </w:p>
        </w:tc>
        <w:tc>
          <w:tcPr>
            <w:tcW w:w="2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15,580</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Loan payable - long-term</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00" w:type="dxa"/>
            <w:vAlign w:val="bottom"/>
            <w:shd w:val="clear" w:color="auto" w:fill="CFF0FC"/>
          </w:tcPr>
          <w:p>
            <w:pPr>
              <w:spacing w:after="0"/>
              <w:rPr>
                <w:sz w:val="19"/>
                <w:szCs w:val="19"/>
                <w:color w:val="auto"/>
              </w:rPr>
            </w:pPr>
          </w:p>
        </w:tc>
      </w:tr>
      <w:tr>
        <w:trPr>
          <w:trHeight w:val="223"/>
        </w:trPr>
        <w:tc>
          <w:tcPr>
            <w:tcW w:w="77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55,385</w:t>
            </w:r>
          </w:p>
        </w:tc>
        <w:tc>
          <w:tcPr>
            <w:tcW w:w="100" w:type="dxa"/>
            <w:vAlign w:val="bottom"/>
            <w:tcBorders>
              <w:bottom w:val="single" w:sz="8" w:color="CFF0FC"/>
            </w:tcBorders>
          </w:tcPr>
          <w:p>
            <w:pPr>
              <w:spacing w:after="0"/>
              <w:rPr>
                <w:sz w:val="19"/>
                <w:szCs w:val="19"/>
                <w:color w:val="auto"/>
              </w:rPr>
            </w:pPr>
          </w:p>
        </w:tc>
      </w:tr>
      <w:tr>
        <w:trPr>
          <w:trHeight w:val="223"/>
        </w:trPr>
        <w:tc>
          <w:tcPr>
            <w:tcW w:w="7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stock: $0.001 par value; 15,000,000 shares authorized, zero shares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issued or outstanding</w:t>
            </w:r>
          </w:p>
        </w:tc>
        <w:tc>
          <w:tcPr>
            <w:tcW w:w="22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$0.001 par value; 500,000,000 shares authorized; 5,089,852 and</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4,898,143 shares issued and outstanding at June 30, 2022 and</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2021, respectively</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0"/>
                <w:szCs w:val="20"/>
                <w:color w:val="auto"/>
              </w:rPr>
            </w:pPr>
          </w:p>
        </w:tc>
      </w:tr>
      <w:tr>
        <w:trPr>
          <w:trHeight w:val="230"/>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216,750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215,232</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(193,750)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(214,063)</w:t>
            </w:r>
          </w:p>
        </w:tc>
      </w:tr>
      <w:tr>
        <w:trPr>
          <w:trHeight w:val="223"/>
        </w:trPr>
        <w:tc>
          <w:tcPr>
            <w:tcW w:w="77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23,047</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38,799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56,601</w:t>
            </w:r>
          </w:p>
        </w:tc>
        <w:tc>
          <w:tcPr>
            <w:tcW w:w="10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unaudited)</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4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320" w:type="dxa"/>
            <w:vAlign w:val="bottom"/>
          </w:tcPr>
          <w:p>
            <w:pPr>
              <w:spacing w:after="0"/>
              <w:rPr>
                <w:sz w:val="15"/>
                <w:szCs w:val="15"/>
                <w:color w:val="auto"/>
              </w:rPr>
            </w:pPr>
          </w:p>
        </w:tc>
        <w:tc>
          <w:tcPr>
            <w:tcW w:w="306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56"/>
        </w:trPr>
        <w:tc>
          <w:tcPr>
            <w:tcW w:w="436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3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3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3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3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Royalty revenue</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(3,865)</w:t>
            </w: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(4,722)</w:t>
            </w:r>
          </w:p>
        </w:tc>
        <w:tc>
          <w:tcPr>
            <w:tcW w:w="3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(8,731)</w:t>
            </w:r>
          </w:p>
        </w:tc>
        <w:tc>
          <w:tcPr>
            <w:tcW w:w="3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(10,084)</w:t>
            </w:r>
          </w:p>
        </w:tc>
        <w:tc>
          <w:tcPr>
            <w:tcW w:w="0" w:type="dxa"/>
            <w:vAlign w:val="bottom"/>
          </w:tcPr>
          <w:p>
            <w:pPr>
              <w:spacing w:after="0"/>
              <w:rPr>
                <w:sz w:val="1"/>
                <w:szCs w:val="1"/>
                <w:color w:val="auto"/>
              </w:rPr>
            </w:pPr>
          </w:p>
        </w:tc>
      </w:tr>
      <w:tr>
        <w:trPr>
          <w:trHeight w:val="229"/>
        </w:trPr>
        <w:tc>
          <w:tcPr>
            <w:tcW w:w="4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(3,697)</w:t>
            </w:r>
          </w:p>
        </w:tc>
        <w:tc>
          <w:tcPr>
            <w:tcW w:w="3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(4,110)</w:t>
            </w:r>
          </w:p>
        </w:tc>
        <w:tc>
          <w:tcPr>
            <w:tcW w:w="3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(7,556)</w:t>
            </w:r>
          </w:p>
        </w:tc>
        <w:tc>
          <w:tcPr>
            <w:tcW w:w="3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(8,057)</w:t>
            </w: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(7,562)</w:t>
            </w: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(5,722)</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(13,173)</w:t>
            </w: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expense from continuing operations, net</w:t>
            </w:r>
          </w:p>
        </w:tc>
        <w:tc>
          <w:tcPr>
            <w:tcW w:w="2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(1,759)</w:t>
            </w: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(2,342)</w:t>
            </w:r>
          </w:p>
        </w:tc>
        <w:tc>
          <w:tcPr>
            <w:tcW w:w="3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(4,023)</w:t>
            </w:r>
          </w:p>
        </w:tc>
        <w:tc>
          <w:tcPr>
            <w:tcW w:w="3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(3,124)</w:t>
            </w:r>
          </w:p>
        </w:tc>
        <w:tc>
          <w:tcPr>
            <w:tcW w:w="0" w:type="dxa"/>
            <w:vAlign w:val="bottom"/>
          </w:tcPr>
          <w:p>
            <w:pPr>
              <w:spacing w:after="0"/>
              <w:rPr>
                <w:sz w:val="1"/>
                <w:szCs w:val="1"/>
                <w:color w:val="auto"/>
              </w:rPr>
            </w:pPr>
          </w:p>
        </w:tc>
      </w:tr>
      <w:tr>
        <w:trPr>
          <w:trHeight w:val="211"/>
        </w:trPr>
        <w:tc>
          <w:tcPr>
            <w:tcW w:w="4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Gain on extinguishment of liability related to sale of</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royalties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37,182</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37,182</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26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27,861</w:t>
            </w: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(8,064)</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19,986</w:t>
            </w: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(15,734)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28,010</w:t>
            </w:r>
          </w:p>
        </w:tc>
        <w:tc>
          <w:tcPr>
            <w:tcW w:w="24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(7,932)</w:t>
            </w:r>
          </w:p>
        </w:tc>
        <w:tc>
          <w:tcPr>
            <w:tcW w:w="24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20,313</w:t>
            </w:r>
          </w:p>
        </w:tc>
        <w:tc>
          <w:tcPr>
            <w:tcW w:w="24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(15,188)</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(1.75)</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0"/>
        </w:trPr>
        <w:tc>
          <w:tcPr>
            <w:tcW w:w="4360" w:type="dxa"/>
            <w:vAlign w:val="bottom"/>
            <w:tcBorders>
              <w:top w:val="single" w:sz="8" w:color="CFF0FC"/>
              <w:bottom w:val="single" w:sz="8" w:color="CFF0FC"/>
            </w:tcBorders>
            <w:vMerge w:val="restart"/>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FF0FC"/>
            </w:tcBorders>
            <w:vMerge w:val="continue"/>
          </w:tcPr>
          <w:p>
            <w:pPr>
              <w:spacing w:after="0"/>
              <w:rPr>
                <w:sz w:val="21"/>
                <w:szCs w:val="21"/>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4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4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4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used in calculation:</w:t>
            </w: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5,023,321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4,536,517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4,980,625</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4,477,821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5,023,321</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4,536,517</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4,980,970</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4,477,821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60" w:type="dxa"/>
            <w:vAlign w:val="bottom"/>
            <w:tcBorders>
              <w:bottom w:val="single" w:sz="8" w:color="auto"/>
            </w:tcBorders>
            <w:gridSpan w:val="5"/>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5"/>
        </w:trPr>
        <w:tc>
          <w:tcPr>
            <w:tcW w:w="65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65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3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20" w:type="dxa"/>
            <w:vAlign w:val="bottom"/>
            <w:gridSpan w:val="2"/>
          </w:tcPr>
          <w:p>
            <w:pPr>
              <w:jc w:val="right"/>
              <w:ind w:right="74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20,313</w:t>
            </w:r>
          </w:p>
        </w:tc>
        <w:tc>
          <w:tcPr>
            <w:tcW w:w="160" w:type="dxa"/>
            <w:vAlign w:val="bottom"/>
          </w:tcPr>
          <w:p>
            <w:pPr>
              <w:spacing w:after="0"/>
              <w:rPr>
                <w:sz w:val="19"/>
                <w:szCs w:val="19"/>
                <w:color w:val="auto"/>
              </w:rPr>
            </w:pPr>
          </w:p>
        </w:tc>
        <w:tc>
          <w:tcPr>
            <w:tcW w:w="1020" w:type="dxa"/>
            <w:vAlign w:val="bottom"/>
            <w:gridSpan w:val="2"/>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(15,188)</w:t>
            </w:r>
          </w:p>
        </w:tc>
      </w:tr>
      <w:tr>
        <w:trPr>
          <w:trHeight w:val="23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tcPr>
          <w:p>
            <w:pPr>
              <w:spacing w:after="0"/>
              <w:rPr>
                <w:sz w:val="19"/>
                <w:szCs w:val="19"/>
                <w:color w:val="auto"/>
              </w:rPr>
            </w:pPr>
          </w:p>
        </w:tc>
      </w:tr>
      <w:tr>
        <w:trPr>
          <w:trHeight w:val="230"/>
        </w:trPr>
        <w:tc>
          <w:tcPr>
            <w:tcW w:w="6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shd w:val="clear" w:color="auto" w:fill="CFF0FC"/>
          </w:tcPr>
          <w:p>
            <w:pPr>
              <w:spacing w:after="0"/>
              <w:rPr>
                <w:sz w:val="19"/>
                <w:szCs w:val="19"/>
                <w:color w:val="auto"/>
              </w:rPr>
            </w:pPr>
          </w:p>
        </w:tc>
      </w:tr>
      <w:tr>
        <w:trPr>
          <w:trHeight w:val="229"/>
        </w:trPr>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Non-cash interest expense and other</w:t>
            </w:r>
          </w:p>
        </w:tc>
        <w:tc>
          <w:tcPr>
            <w:tcW w:w="1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100" w:type="dxa"/>
            <w:vAlign w:val="bottom"/>
          </w:tcPr>
          <w:p>
            <w:pPr>
              <w:spacing w:after="0"/>
              <w:rPr>
                <w:sz w:val="19"/>
                <w:szCs w:val="19"/>
                <w:color w:val="auto"/>
              </w:rPr>
            </w:pPr>
          </w:p>
        </w:tc>
      </w:tr>
      <w:tr>
        <w:trPr>
          <w:trHeight w:val="229"/>
        </w:trPr>
        <w:tc>
          <w:tcPr>
            <w:tcW w:w="6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Gain on extinguishment of liability related to sale of royalties</w:t>
            </w:r>
          </w:p>
        </w:tc>
        <w:tc>
          <w:tcPr>
            <w:tcW w:w="1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(37,182)</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Royalty receivable</w:t>
            </w:r>
          </w:p>
        </w:tc>
        <w:tc>
          <w:tcPr>
            <w:tcW w:w="1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(741)</w:t>
            </w:r>
          </w:p>
        </w:tc>
      </w:tr>
      <w:tr>
        <w:trPr>
          <w:trHeight w:val="229"/>
        </w:trPr>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00" w:type="dxa"/>
            <w:vAlign w:val="bottom"/>
          </w:tcPr>
          <w:p>
            <w:pPr>
              <w:spacing w:after="0"/>
              <w:rPr>
                <w:sz w:val="19"/>
                <w:szCs w:val="19"/>
                <w:color w:val="auto"/>
              </w:rPr>
            </w:pPr>
          </w:p>
        </w:tc>
      </w:tr>
      <w:tr>
        <w:trPr>
          <w:trHeight w:val="230"/>
        </w:trPr>
        <w:tc>
          <w:tcPr>
            <w:tcW w:w="6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shd w:val="clear" w:color="auto" w:fill="CFF0FC"/>
          </w:tcPr>
          <w:p>
            <w:pPr>
              <w:spacing w:after="0"/>
              <w:rPr>
                <w:sz w:val="19"/>
                <w:szCs w:val="19"/>
                <w:color w:val="auto"/>
              </w:rPr>
            </w:pPr>
          </w:p>
        </w:tc>
      </w:tr>
      <w:tr>
        <w:trPr>
          <w:trHeight w:val="229"/>
        </w:trPr>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 accrued compensation and other liabilities</w:t>
            </w:r>
          </w:p>
        </w:tc>
        <w:tc>
          <w:tcPr>
            <w:tcW w:w="1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(2,245)</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(2,152)</w:t>
            </w:r>
          </w:p>
        </w:tc>
      </w:tr>
      <w:tr>
        <w:trPr>
          <w:trHeight w:val="230"/>
        </w:trPr>
        <w:tc>
          <w:tcPr>
            <w:tcW w:w="6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1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(491)</w:t>
            </w:r>
          </w:p>
        </w:tc>
      </w:tr>
      <w:tr>
        <w:trPr>
          <w:trHeight w:val="223"/>
        </w:trPr>
        <w:tc>
          <w:tcPr>
            <w:tcW w:w="65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320" w:type="dxa"/>
            <w:vAlign w:val="bottom"/>
            <w:tcBorders>
              <w:bottom w:val="single" w:sz="8" w:color="CFF0FC"/>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(12,557)</w:t>
            </w:r>
          </w:p>
        </w:tc>
        <w:tc>
          <w:tcPr>
            <w:tcW w:w="100" w:type="dxa"/>
            <w:vAlign w:val="bottom"/>
            <w:tcBorders>
              <w:bottom w:val="single" w:sz="8" w:color="CFF0FC"/>
            </w:tcBorders>
          </w:tcPr>
          <w:p>
            <w:pPr>
              <w:spacing w:after="0"/>
              <w:rPr>
                <w:sz w:val="19"/>
                <w:szCs w:val="19"/>
                <w:color w:val="auto"/>
              </w:rPr>
            </w:pPr>
          </w:p>
        </w:tc>
      </w:tr>
      <w:tr>
        <w:trPr>
          <w:trHeight w:val="223"/>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(582)</w:t>
            </w:r>
          </w:p>
        </w:tc>
      </w:tr>
      <w:tr>
        <w:trPr>
          <w:trHeight w:val="223"/>
        </w:trPr>
        <w:tc>
          <w:tcPr>
            <w:tcW w:w="65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of long-term debt, including fees</w:t>
            </w:r>
          </w:p>
        </w:tc>
        <w:tc>
          <w:tcPr>
            <w:tcW w:w="1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(11,267)</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(10,550)</w:t>
            </w:r>
          </w:p>
        </w:tc>
      </w:tr>
      <w:tr>
        <w:trPr>
          <w:trHeight w:val="229"/>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Repayments under liability related to sale of royalties</w:t>
            </w:r>
          </w:p>
        </w:tc>
        <w:tc>
          <w:tcPr>
            <w:tcW w:w="1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(6,779)</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(2,421)</w:t>
            </w:r>
          </w:p>
        </w:tc>
      </w:tr>
      <w:tr>
        <w:trPr>
          <w:trHeight w:val="23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sale of royalties</w:t>
            </w:r>
          </w:p>
        </w:tc>
        <w:tc>
          <w:tcPr>
            <w:tcW w:w="1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shd w:val="clear" w:color="auto" w:fill="CFF0FC"/>
          </w:tcPr>
          <w:p>
            <w:pPr>
              <w:spacing w:after="0"/>
              <w:rPr>
                <w:sz w:val="19"/>
                <w:szCs w:val="19"/>
                <w:color w:val="auto"/>
              </w:rPr>
            </w:pPr>
          </w:p>
        </w:tc>
      </w:tr>
      <w:tr>
        <w:trPr>
          <w:trHeight w:val="23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 from sale of royalties</w:t>
            </w:r>
          </w:p>
        </w:tc>
        <w:tc>
          <w:tcPr>
            <w:tcW w:w="1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(1,100)</w:t>
            </w:r>
          </w:p>
        </w:tc>
      </w:tr>
      <w:tr>
        <w:trPr>
          <w:trHeight w:val="229"/>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FF0FC"/>
          </w:tcPr>
          <w:p>
            <w:pPr>
              <w:spacing w:after="0"/>
              <w:rPr>
                <w:sz w:val="19"/>
                <w:szCs w:val="19"/>
                <w:color w:val="auto"/>
              </w:rPr>
            </w:pPr>
          </w:p>
        </w:tc>
      </w:tr>
      <w:tr>
        <w:trPr>
          <w:trHeight w:val="23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Value of equity awards withheld for tax liability</w:t>
            </w:r>
          </w:p>
        </w:tc>
        <w:tc>
          <w:tcPr>
            <w:tcW w:w="1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exercise of warrants</w:t>
            </w:r>
          </w:p>
        </w:tc>
        <w:tc>
          <w:tcPr>
            <w:tcW w:w="1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shd w:val="clear" w:color="auto" w:fill="CFF0FC"/>
          </w:tcPr>
          <w:p>
            <w:pPr>
              <w:spacing w:after="0"/>
              <w:rPr>
                <w:sz w:val="19"/>
                <w:szCs w:val="19"/>
                <w:color w:val="auto"/>
              </w:rPr>
            </w:pPr>
          </w:p>
        </w:tc>
      </w:tr>
      <w:tr>
        <w:trPr>
          <w:trHeight w:val="23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milestones related to sale of royalties</w:t>
            </w:r>
          </w:p>
        </w:tc>
        <w:tc>
          <w:tcPr>
            <w:tcW w:w="1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costs for milestones related to sale of royalties</w:t>
            </w:r>
          </w:p>
        </w:tc>
        <w:tc>
          <w:tcPr>
            <w:tcW w:w="1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132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10,233</w:t>
            </w:r>
          </w:p>
        </w:tc>
        <w:tc>
          <w:tcPr>
            <w:tcW w:w="100" w:type="dxa"/>
            <w:vAlign w:val="bottom"/>
            <w:tcBorders>
              <w:bottom w:val="single" w:sz="8" w:color="CFF0FC"/>
            </w:tcBorders>
          </w:tcPr>
          <w:p>
            <w:pPr>
              <w:spacing w:after="0"/>
              <w:rPr>
                <w:sz w:val="19"/>
                <w:szCs w:val="19"/>
                <w:color w:val="auto"/>
              </w:rPr>
            </w:pPr>
          </w:p>
        </w:tc>
      </w:tr>
      <w:tr>
        <w:trPr>
          <w:trHeight w:val="223"/>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32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32,258</w:t>
            </w:r>
          </w:p>
        </w:tc>
        <w:tc>
          <w:tcPr>
            <w:tcW w:w="100" w:type="dxa"/>
            <w:vAlign w:val="bottom"/>
            <w:shd w:val="clear" w:color="auto" w:fill="CFF0FC"/>
          </w:tcPr>
          <w:p>
            <w:pPr>
              <w:spacing w:after="0"/>
              <w:rPr>
                <w:sz w:val="19"/>
                <w:szCs w:val="19"/>
                <w:color w:val="auto"/>
              </w:rPr>
            </w:pPr>
          </w:p>
        </w:tc>
      </w:tr>
      <w:tr>
        <w:trPr>
          <w:trHeight w:val="223"/>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in cash, cash equivalents, and restricted cash</w:t>
            </w:r>
          </w:p>
        </w:tc>
        <w:tc>
          <w:tcPr>
            <w:tcW w:w="1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0"/>
              </w:rPr>
              <w:t>(16,326)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19,119</w:t>
            </w:r>
          </w:p>
        </w:tc>
        <w:tc>
          <w:tcPr>
            <w:tcW w:w="100" w:type="dxa"/>
            <w:vAlign w:val="bottom"/>
          </w:tcPr>
          <w:p>
            <w:pPr>
              <w:spacing w:after="0"/>
              <w:rPr>
                <w:sz w:val="19"/>
                <w:szCs w:val="19"/>
                <w:color w:val="auto"/>
              </w:rPr>
            </w:pPr>
          </w:p>
        </w:tc>
      </w:tr>
      <w:tr>
        <w:trPr>
          <w:trHeight w:val="23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32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46,303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42,534</w:t>
            </w:r>
          </w:p>
        </w:tc>
        <w:tc>
          <w:tcPr>
            <w:tcW w:w="100" w:type="dxa"/>
            <w:vAlign w:val="bottom"/>
            <w:shd w:val="clear" w:color="auto" w:fill="CFF0FC"/>
          </w:tcPr>
          <w:p>
            <w:pPr>
              <w:spacing w:after="0"/>
              <w:rPr>
                <w:sz w:val="19"/>
                <w:szCs w:val="19"/>
                <w:color w:val="auto"/>
              </w:rPr>
            </w:pPr>
          </w:p>
        </w:tc>
      </w:tr>
      <w:tr>
        <w:trPr>
          <w:trHeight w:val="263"/>
        </w:trPr>
        <w:tc>
          <w:tcPr>
            <w:tcW w:w="65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320" w:type="dxa"/>
            <w:vAlign w:val="bottom"/>
            <w:tcBorders>
              <w:bottom w:val="single" w:sz="8" w:color="CFF0FC"/>
            </w:tcBorders>
          </w:tcPr>
          <w:p>
            <w:pPr>
              <w:spacing w:after="0"/>
              <w:rPr>
                <w:sz w:val="22"/>
                <w:szCs w:val="22"/>
                <w:color w:val="auto"/>
              </w:rPr>
            </w:pPr>
          </w:p>
        </w:tc>
        <w:tc>
          <w:tcPr>
            <w:tcW w:w="900" w:type="dxa"/>
            <w:vAlign w:val="bottom"/>
            <w:tcBorders>
              <w:bottom w:val="single" w:sz="8" w:color="auto"/>
            </w:tcBorders>
          </w:tcPr>
          <w:p>
            <w:pPr>
              <w:jc w:val="right"/>
              <w:ind w:right="74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29,977</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90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61,653</w:t>
            </w:r>
          </w:p>
        </w:tc>
        <w:tc>
          <w:tcPr>
            <w:tcW w:w="100" w:type="dxa"/>
            <w:vAlign w:val="bottom"/>
            <w:tcBorders>
              <w:bottom w:val="single" w:sz="8" w:color="CFF0FC"/>
            </w:tcBorders>
          </w:tcPr>
          <w:p>
            <w:pPr>
              <w:spacing w:after="0"/>
              <w:rPr>
                <w:sz w:val="22"/>
                <w:szCs w:val="22"/>
                <w:color w:val="auto"/>
              </w:rPr>
            </w:pPr>
          </w:p>
        </w:tc>
      </w:tr>
      <w:tr>
        <w:trPr>
          <w:trHeight w:val="210"/>
        </w:trPr>
        <w:tc>
          <w:tcPr>
            <w:tcW w:w="65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bl>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jc w:val="center"/>
        <w:ind w:right="120"/>
        <w:spacing w:after="0" w:line="620" w:lineRule="auto"/>
        <w:rPr>
          <w:sz w:val="20"/>
          <w:szCs w:val="20"/>
          <w:color w:val="auto"/>
        </w:rPr>
      </w:pPr>
      <w:r>
        <w:rPr>
          <w:rFonts w:ascii="Times New Roman" w:cs="Times New Roman" w:eastAsia="Times New Roman" w:hAnsi="Times New Roman"/>
          <w:sz w:val="18"/>
          <w:szCs w:val="18"/>
          <w:color w:val="auto"/>
        </w:rPr>
        <w:t xml:space="preserve">Change in ROU asset and lease liability from lease remeasurement                                 $           4,372   $             — </w:t>
      </w: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-515620</wp:posOffset>
            </wp:positionV>
            <wp:extent cx="20656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 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73"/>
        </w:trPr>
        <w:tc>
          <w:tcPr>
            <w:tcW w:w="3740" w:type="dxa"/>
            <w:vAlign w:val="bottom"/>
          </w:tcPr>
          <w:p>
            <w:pPr>
              <w:spacing w:after="0"/>
              <w:rPr>
                <w:sz w:val="15"/>
                <w:szCs w:val="15"/>
                <w:color w:val="auto"/>
              </w:rPr>
            </w:pPr>
          </w:p>
        </w:tc>
        <w:tc>
          <w:tcPr>
            <w:tcW w:w="2500" w:type="dxa"/>
            <w:vAlign w:val="bottom"/>
            <w:tcBorders>
              <w:bottom w:val="single" w:sz="8" w:color="auto"/>
            </w:tcBorders>
            <w:gridSpan w:val="3"/>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156"/>
        </w:trPr>
        <w:tc>
          <w:tcPr>
            <w:tcW w:w="3740" w:type="dxa"/>
            <w:vAlign w:val="bottom"/>
          </w:tcPr>
          <w:p>
            <w:pPr>
              <w:spacing w:after="0"/>
              <w:rPr>
                <w:sz w:val="13"/>
                <w:szCs w:val="13"/>
                <w:color w:val="auto"/>
              </w:rPr>
            </w:pPr>
          </w:p>
        </w:tc>
        <w:tc>
          <w:tcPr>
            <w:tcW w:w="1260" w:type="dxa"/>
            <w:vAlign w:val="bottom"/>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3"/>
                <w:szCs w:val="13"/>
                <w:color w:val="auto"/>
              </w:rPr>
            </w:pPr>
          </w:p>
        </w:tc>
        <w:tc>
          <w:tcPr>
            <w:tcW w:w="980" w:type="dxa"/>
            <w:vAlign w:val="bottom"/>
          </w:tcPr>
          <w:p>
            <w:pPr>
              <w:jc w:val="right"/>
              <w:ind w:right="19"/>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center"/>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center"/>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3"/>
                <w:szCs w:val="13"/>
                <w:color w:val="auto"/>
              </w:rPr>
            </w:pPr>
          </w:p>
        </w:tc>
        <w:tc>
          <w:tcPr>
            <w:tcW w:w="128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Equity (Deficit)</w:t>
            </w:r>
          </w:p>
        </w:tc>
      </w:tr>
      <w:tr>
        <w:trPr>
          <w:trHeight w:val="223"/>
        </w:trPr>
        <w:tc>
          <w:tcPr>
            <w:tcW w:w="3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4,898,143</w:t>
            </w:r>
          </w:p>
        </w:tc>
        <w:tc>
          <w:tcPr>
            <w:tcW w:w="2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819"/>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215,232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(214,063)</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20" w:type="dxa"/>
            <w:vAlign w:val="bottom"/>
            <w:tcBorders>
              <w:top w:val="single" w:sz="8" w:color="CFF0FC"/>
            </w:tcBorders>
            <w:shd w:val="clear" w:color="auto" w:fill="CFF0FC"/>
          </w:tcPr>
          <w:p>
            <w:pPr>
              <w:spacing w:after="0"/>
              <w:rPr>
                <w:sz w:val="19"/>
                <w:szCs w:val="19"/>
                <w:color w:val="auto"/>
              </w:rPr>
            </w:pPr>
          </w:p>
        </w:tc>
      </w:tr>
      <w:tr>
        <w:trPr>
          <w:trHeight w:val="205"/>
        </w:trPr>
        <w:tc>
          <w:tcPr>
            <w:tcW w:w="37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Common stock issued upon vesting of</w:t>
            </w: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stock units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9,822</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r>
      <w:tr>
        <w:trPr>
          <w:trHeight w:val="211"/>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 shares issued pursuant to</w:t>
            </w: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3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Lincoln Park Purchase Agreement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99,276</w:t>
            </w: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tcPr>
          <w:p>
            <w:pPr>
              <w:spacing w:after="0"/>
              <w:rPr>
                <w:sz w:val="19"/>
                <w:szCs w:val="19"/>
                <w:color w:val="auto"/>
              </w:rPr>
            </w:pPr>
          </w:p>
        </w:tc>
      </w:tr>
      <w:tr>
        <w:trPr>
          <w:trHeight w:val="230"/>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for the period</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(7,697)</w:t>
            </w: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(7,697)</w:t>
            </w:r>
          </w:p>
        </w:tc>
      </w:tr>
      <w:tr>
        <w:trPr>
          <w:trHeight w:val="263"/>
        </w:trPr>
        <w:tc>
          <w:tcPr>
            <w:tcW w:w="3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2022</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5,007,241</w:t>
            </w:r>
          </w:p>
        </w:tc>
        <w:tc>
          <w:tcPr>
            <w:tcW w:w="260" w:type="dxa"/>
            <w:vAlign w:val="bottom"/>
            <w:tcBorders>
              <w:bottom w:val="single" w:sz="8" w:color="CFF0FC"/>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819"/>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215,829</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(221,760)</w:t>
            </w:r>
          </w:p>
        </w:tc>
        <w:tc>
          <w:tcPr>
            <w:tcW w:w="26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(5,884)</w:t>
            </w:r>
          </w:p>
        </w:tc>
        <w:tc>
          <w:tcPr>
            <w:tcW w:w="120" w:type="dxa"/>
            <w:vAlign w:val="bottom"/>
            <w:tcBorders>
              <w:bottom w:val="single" w:sz="8" w:color="CFF0FC"/>
            </w:tcBorders>
          </w:tcPr>
          <w:p>
            <w:pPr>
              <w:spacing w:after="0"/>
              <w:rPr>
                <w:sz w:val="22"/>
                <w:szCs w:val="22"/>
                <w:color w:val="auto"/>
              </w:rPr>
            </w:pPr>
          </w:p>
        </w:tc>
      </w:tr>
      <w:tr>
        <w:trPr>
          <w:trHeight w:val="192"/>
        </w:trPr>
        <w:tc>
          <w:tcPr>
            <w:tcW w:w="374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Common stock issued upon vesting of</w:t>
            </w:r>
          </w:p>
        </w:tc>
        <w:tc>
          <w:tcPr>
            <w:tcW w:w="1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34"/>
        </w:trPr>
        <w:tc>
          <w:tcPr>
            <w:tcW w:w="3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restricted stock units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78,285</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tcPr>
          <w:p>
            <w:pPr>
              <w:spacing w:after="0"/>
              <w:rPr>
                <w:sz w:val="19"/>
                <w:szCs w:val="19"/>
                <w:color w:val="auto"/>
              </w:rPr>
            </w:pPr>
          </w:p>
        </w:tc>
      </w:tr>
      <w:tr>
        <w:trPr>
          <w:trHeight w:val="229"/>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shd w:val="clear" w:color="auto" w:fill="CFF0FC"/>
          </w:tcPr>
          <w:p>
            <w:pPr>
              <w:spacing w:after="0"/>
              <w:rPr>
                <w:sz w:val="19"/>
                <w:szCs w:val="19"/>
                <w:color w:val="auto"/>
              </w:rPr>
            </w:pPr>
          </w:p>
        </w:tc>
      </w:tr>
      <w:tr>
        <w:trPr>
          <w:trHeight w:val="22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Net income for the period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28,010</w:t>
            </w:r>
          </w:p>
        </w:tc>
        <w:tc>
          <w:tcPr>
            <w:tcW w:w="120" w:type="dxa"/>
            <w:vAlign w:val="bottom"/>
          </w:tcPr>
          <w:p>
            <w:pPr>
              <w:spacing w:after="0"/>
              <w:rPr>
                <w:sz w:val="19"/>
                <w:szCs w:val="19"/>
                <w:color w:val="auto"/>
              </w:rPr>
            </w:pPr>
          </w:p>
        </w:tc>
      </w:tr>
      <w:tr>
        <w:trPr>
          <w:trHeight w:val="223"/>
        </w:trPr>
        <w:tc>
          <w:tcPr>
            <w:tcW w:w="37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5,089,852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819"/>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216,750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(193,750)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23,047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7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61"/>
        </w:trPr>
        <w:tc>
          <w:tcPr>
            <w:tcW w:w="3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73"/>
        </w:trPr>
        <w:tc>
          <w:tcPr>
            <w:tcW w:w="3740" w:type="dxa"/>
            <w:vAlign w:val="bottom"/>
          </w:tcPr>
          <w:p>
            <w:pPr>
              <w:spacing w:after="0"/>
              <w:rPr>
                <w:sz w:val="15"/>
                <w:szCs w:val="15"/>
                <w:color w:val="auto"/>
              </w:rPr>
            </w:pPr>
          </w:p>
        </w:tc>
        <w:tc>
          <w:tcPr>
            <w:tcW w:w="2500" w:type="dxa"/>
            <w:vAlign w:val="bottom"/>
            <w:tcBorders>
              <w:bottom w:val="single" w:sz="8" w:color="auto"/>
            </w:tcBorders>
            <w:gridSpan w:val="3"/>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155"/>
        </w:trPr>
        <w:tc>
          <w:tcPr>
            <w:tcW w:w="3740" w:type="dxa"/>
            <w:vAlign w:val="bottom"/>
          </w:tcPr>
          <w:p>
            <w:pPr>
              <w:spacing w:after="0"/>
              <w:rPr>
                <w:sz w:val="13"/>
                <w:szCs w:val="13"/>
                <w:color w:val="auto"/>
              </w:rPr>
            </w:pPr>
          </w:p>
        </w:tc>
        <w:tc>
          <w:tcPr>
            <w:tcW w:w="1260" w:type="dxa"/>
            <w:vAlign w:val="bottom"/>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3"/>
                <w:szCs w:val="13"/>
                <w:color w:val="auto"/>
              </w:rPr>
            </w:pPr>
          </w:p>
        </w:tc>
        <w:tc>
          <w:tcPr>
            <w:tcW w:w="980" w:type="dxa"/>
            <w:vAlign w:val="bottom"/>
          </w:tcPr>
          <w:p>
            <w:pPr>
              <w:jc w:val="right"/>
              <w:ind w:right="19"/>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center"/>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center"/>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3"/>
                <w:szCs w:val="13"/>
                <w:color w:val="auto"/>
              </w:rPr>
            </w:pPr>
          </w:p>
        </w:tc>
        <w:tc>
          <w:tcPr>
            <w:tcW w:w="128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r>
      <w:tr>
        <w:trPr>
          <w:trHeight w:val="223"/>
        </w:trPr>
        <w:tc>
          <w:tcPr>
            <w:tcW w:w="3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4,410,909</w:t>
            </w:r>
          </w:p>
        </w:tc>
        <w:tc>
          <w:tcPr>
            <w:tcW w:w="2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819"/>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202,154</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(185,606)</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10,685</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9"/>
                <w:szCs w:val="19"/>
                <w:color w:val="auto"/>
              </w:rPr>
            </w:pPr>
          </w:p>
        </w:tc>
      </w:tr>
      <w:tr>
        <w:trPr>
          <w:trHeight w:val="230"/>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exercise of warrants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27,828</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shd w:val="clear" w:color="auto" w:fill="CFF0FC"/>
          </w:tcPr>
          <w:p>
            <w:pPr>
              <w:spacing w:after="0"/>
              <w:rPr>
                <w:sz w:val="19"/>
                <w:szCs w:val="19"/>
                <w:color w:val="auto"/>
              </w:rPr>
            </w:pPr>
          </w:p>
        </w:tc>
      </w:tr>
      <w:tr>
        <w:trPr>
          <w:trHeight w:val="22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20" w:type="dxa"/>
            <w:vAlign w:val="bottom"/>
          </w:tcPr>
          <w:p>
            <w:pPr>
              <w:spacing w:after="0"/>
              <w:rPr>
                <w:sz w:val="19"/>
                <w:szCs w:val="19"/>
                <w:color w:val="auto"/>
              </w:rPr>
            </w:pPr>
          </w:p>
        </w:tc>
      </w:tr>
      <w:tr>
        <w:trPr>
          <w:trHeight w:val="230"/>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for the period</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(7,256)</w:t>
            </w: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(7,256)</w:t>
            </w:r>
          </w:p>
        </w:tc>
      </w:tr>
      <w:tr>
        <w:trPr>
          <w:trHeight w:val="263"/>
        </w:trPr>
        <w:tc>
          <w:tcPr>
            <w:tcW w:w="3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2021</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4,449,422</w:t>
            </w:r>
          </w:p>
        </w:tc>
        <w:tc>
          <w:tcPr>
            <w:tcW w:w="260" w:type="dxa"/>
            <w:vAlign w:val="bottom"/>
            <w:tcBorders>
              <w:bottom w:val="single" w:sz="8" w:color="CFF0FC"/>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819"/>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203,320</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(192,862)</w:t>
            </w:r>
          </w:p>
        </w:tc>
        <w:tc>
          <w:tcPr>
            <w:tcW w:w="26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10,504</w:t>
            </w:r>
          </w:p>
        </w:tc>
        <w:tc>
          <w:tcPr>
            <w:tcW w:w="120" w:type="dxa"/>
            <w:vAlign w:val="bottom"/>
            <w:tcBorders>
              <w:bottom w:val="single" w:sz="8" w:color="CFF0FC"/>
            </w:tcBorders>
          </w:tcPr>
          <w:p>
            <w:pPr>
              <w:spacing w:after="0"/>
              <w:rPr>
                <w:sz w:val="22"/>
                <w:szCs w:val="22"/>
                <w:color w:val="auto"/>
              </w:rPr>
            </w:pPr>
          </w:p>
        </w:tc>
      </w:tr>
      <w:tr>
        <w:trPr>
          <w:trHeight w:val="210"/>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FF0FC"/>
          </w:tcPr>
          <w:p>
            <w:pPr>
              <w:spacing w:after="0"/>
              <w:rPr>
                <w:sz w:val="18"/>
                <w:szCs w:val="18"/>
                <w:color w:val="auto"/>
              </w:rPr>
            </w:pP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warrants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26,277</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tcPr>
          <w:p>
            <w:pPr>
              <w:spacing w:after="0"/>
              <w:rPr>
                <w:sz w:val="19"/>
                <w:szCs w:val="19"/>
                <w:color w:val="auto"/>
              </w:rPr>
            </w:pPr>
          </w:p>
        </w:tc>
      </w:tr>
      <w:tr>
        <w:trPr>
          <w:trHeight w:val="230"/>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407,047</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10,234</w:t>
            </w:r>
          </w:p>
        </w:tc>
        <w:tc>
          <w:tcPr>
            <w:tcW w:w="120" w:type="dxa"/>
            <w:vAlign w:val="bottom"/>
            <w:shd w:val="clear" w:color="auto" w:fill="CFF0FC"/>
          </w:tcPr>
          <w:p>
            <w:pPr>
              <w:spacing w:after="0"/>
              <w:rPr>
                <w:sz w:val="19"/>
                <w:szCs w:val="19"/>
                <w:color w:val="auto"/>
              </w:rPr>
            </w:pP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Pr>
          <w:p>
            <w:pPr>
              <w:spacing w:after="0"/>
              <w:rPr>
                <w:sz w:val="19"/>
                <w:szCs w:val="19"/>
                <w:color w:val="auto"/>
              </w:rPr>
            </w:pPr>
          </w:p>
        </w:tc>
      </w:tr>
      <w:tr>
        <w:trPr>
          <w:trHeight w:val="229"/>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for the period</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(7,932)</w:t>
            </w: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(7,932)</w:t>
            </w:r>
          </w:p>
        </w:tc>
      </w:tr>
      <w:tr>
        <w:trPr>
          <w:trHeight w:val="223"/>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2021</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4,884,515</w:t>
            </w:r>
          </w:p>
        </w:tc>
        <w:tc>
          <w:tcPr>
            <w:tcW w:w="2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819"/>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214,628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(200,794)</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13,881</w:t>
            </w:r>
          </w:p>
        </w:tc>
        <w:tc>
          <w:tcPr>
            <w:tcW w:w="120" w:type="dxa"/>
            <w:vAlign w:val="bottom"/>
          </w:tcPr>
          <w:p>
            <w:pPr>
              <w:spacing w:after="0"/>
              <w:rPr>
                <w:sz w:val="19"/>
                <w:szCs w:val="19"/>
                <w:color w:val="auto"/>
              </w:rPr>
            </w:pPr>
          </w:p>
        </w:tc>
      </w:tr>
      <w:tr>
        <w:trPr>
          <w:trHeight w:val="20"/>
        </w:trPr>
        <w:tc>
          <w:tcPr>
            <w:tcW w:w="37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1. Nature of Business and Significant Accounting Policies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Organization and Liquidity</w:t>
      </w:r>
    </w:p>
    <w:p>
      <w:pPr>
        <w:spacing w:after="0" w:line="121"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Aptevo Therapeutics Inc. (Aptevo, we, us, or the Company) is a clinical-stage, research and development biotechnology company focused on developing novel immunotherapeutic candidates for the treatment of different forms of cancer. We have developed two versatile and enabling platform technologies for rational design of precision immune stimulatory drugs. Our lead clinical candidate, APVO436, and preclinical candidates, ALG.APV-527 and APVO603, were developed using our ADAPTIR™ modular protein technology platform. Our preclinical candidate APVO442 was developed using our ADAPTIR-FLEX™ modular protein technology platform.</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currently trading on the Nasdaq Capital Market under the symbol “APVO.”</w:t>
      </w:r>
    </w:p>
    <w:p>
      <w:pPr>
        <w:spacing w:after="0" w:line="117" w:lineRule="exact"/>
        <w:rPr>
          <w:sz w:val="20"/>
          <w:szCs w:val="20"/>
          <w:color w:val="auto"/>
        </w:rPr>
      </w:pPr>
    </w:p>
    <w:p>
      <w:pPr>
        <w:jc w:val="both"/>
        <w:ind w:firstLine="510"/>
        <w:spacing w:after="0" w:line="253" w:lineRule="auto"/>
        <w:rPr>
          <w:sz w:val="20"/>
          <w:szCs w:val="20"/>
          <w:color w:val="auto"/>
        </w:rPr>
      </w:pPr>
      <w:r>
        <w:rPr>
          <w:rFonts w:ascii="Times New Roman" w:cs="Times New Roman" w:eastAsia="Times New Roman" w:hAnsi="Times New Roman"/>
          <w:sz w:val="18"/>
          <w:szCs w:val="18"/>
          <w:color w:val="auto"/>
        </w:rPr>
        <w:t>The accompanying financial statements have been prepared on a basis that assumes we will continue as a going concern and which contemplates the realization of assets and satisfaction of liabilities and commitments in the normal course of business. For the three and six months ended June 30, 2022, we had a net income of $28.0 million and $20.3 million, respectively. We had an accumulated deficit of $193.8 million as of June 30, 2022. For the six months ended June 30, 2022, net cash used in our operating activities was $8.2 million. We have suffered recurring losses from operations and negative cash flows from operating activities. We believe that our existing cash resources, milestone payments related to the Royalty Purchase Agreement with HealthCare Royalty Management, LLC (HCR), funds available under the Purchase Agreement with Lincoln Park Capital Fund, LLC (Lincoln Park) and the Equity Distribution Agreement with Piper Sandler &amp; Co (Piper Sandler), cash to be generated from future deferred payments and milestones related to IXINITY sales and approvals by Medexus Pharmaceuticals Inc. (Medexus), and release of restricted cash securing letters of credit, will be sufficient to meet our projected operating requirements and debt service for at least twelve months from the date of issuance of these financial statements. We may choose to raise additional funds to support our operating and capital needs in the future.</w:t>
      </w:r>
    </w:p>
    <w:p>
      <w:pPr>
        <w:spacing w:after="0" w:line="86"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We continue to face significant challenges and uncertainties and, as a result, our available capital resources may be consumed more rapidly than currently expected due to: (a) changes we may make to the business that affect ongoing operating expenses; (b) changes we may make in our business strategy; (c) changes we may make in our research and development spending plans; (d) potential decreases in our expected milestone and deferred payments from Medexus with respect to IXINITY; (e) whether and to what extent future milestone payments are received under our Royalty Purchase Agreement; and (f) other items affecting our forecasted level of expenditures and use of cash resources. We may obtain additional funding through our existing equity Purchase Agreement with Lincoln Park or our Equity Distribution Agreement with Piper Sandler, or attempt to obtain other public or private financing, collaborative or licensing arrangements with strategic partners, or through credit lines or other debt financing sources to increase the funds available to fund operations. However, we may not be able to secure such funding in a timely manner or on favorable terms, if at all. Furthermore, if we issue equity or debt securities to raise additional funds, our existing stockholders may experience dilution, and the new equity or debt securities may have rights, preferences, and privileges senior to those of our existing stockholders. If we raise additional funds through collaboration, licensing, or other similar arrangements, it may be necessary to relinquish valuable rights to our potential products or proprietary technologies, or grant licenses on terms that are not favorable to us. Without additional funds, we may be forced to delay, scale back, or eliminate some of our research and development activities or other operations and potentially delay product development in an effort to provide sufficient funds to continue our operations. If any of these events occurs, our ability to achieve our development and commercialization goals may be adversely affected. Given the global economic and geopolitical climate and additional or unforeseen effects from the ongoing COVID-19 pandemic, we may experience delays or difficulties in the financing environment and raising capital due to economic uncertainty.</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U.S. generally accepted accounting principles (GAAP). These unaudited condensed consolidated financial statements include all adjustments, which include normal recurring adjustments, necessary for the fair presentation of the Company’s financial position. These unaudited interim consolidated financial statements should be read in conjunction with the audited consolidated financial statements as of and for the year ended December 31, 2021, and the notes thereto, which are included in the Company’s Annual Report on Form 10-K for the year ended December 31, 2021.</w:t>
      </w:r>
    </w:p>
    <w:p>
      <w:pPr>
        <w:spacing w:after="0" w:line="75"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Actual results could differ from these estimates and changes in these estimates are recorded when known.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our wholly owned subsidiaries: Aptevo Research and Development LLC and Aptevo BioTherapeutics LLC (for the period prior to its sale on February 28, 2020). All intercompany balances and transactions have been eliminated.</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estimates and assumptions that affect the reported amounts of assets and liabilities, revenues and expenses, and related disclosures of contingent liabilities in the unaudited condensed consolidated financial statements and accompanying notes. Estimates are used for, but not limited to, forecasted royalties, effective interest rates, clinical accruals, useful lives of equipment, commitments and contingencies, and stock-based compensation. Given the global economic and geopolitical climate and additional or unforeseen effects from the ongoing COVID-19 pandemic, these estimates are becoming more challenging, and actual results could differ materially from those estimates.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Liability Related to Sale of Royalties and Non-Cash Interest Expense</w:t>
      </w:r>
    </w:p>
    <w:p>
      <w:pPr>
        <w:spacing w:after="0" w:line="121"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On March 30, 2021, we entered into and closed a Royalty Purchase Agreement (the Royalty Purchase Agreement) with an entity managed by HCR pursuant to which we sold to HCR the right to receive royalty payments made by Pfizer Inc. (Pfizer) in respect of net sales of RUXIENCE. Under the terms of the Royalty Purchase Agreement, we received $35 million (the Investment Amount) at closing and we are eligible to receive additional payments in the aggregate of up to an additional $32.5 million based on the achievement of sales milestones in 2021, 2022 and 2023 (collectively, the Milestone Amounts). We received the 2021 milestone payments in the collective amount of $10 million on March 8, 2022. The proceeds from these milestone payments, net of transaction costs, were recorded as an additional liability related to the sale of royalties on the consolidated balance sheet as of March 31, 2022. The Company is eligible to receive additional payments in the aggregate of up to $22.5 million based on achievement of sales milestones in 2022 and 2023.</w:t>
      </w:r>
    </w:p>
    <w:p>
      <w:pPr>
        <w:spacing w:after="0" w:line="81"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On the date we entered into the transaction, we accounted for the Royalty Purchase Agreement with HCR as a debt-like instrument, amortized under the effective interest rate method over the life of the related expected royalty stream. The liabilities related to the sale of royalties and the debt amortization were based on our estimates of royalties expected to be paid over the life of the arrangement.</w:t>
      </w:r>
    </w:p>
    <w:p>
      <w:pPr>
        <w:spacing w:after="0" w:line="68"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On June 7, 2022, we entered into and closed an amendment to the Royalty Purchase Agreement (the Amendment to Royalty Purchase Agreement) (see Note 7) which removed all restrictions related to HCR’s rate of return, and it is no longer a sale of a specified percentage of royalty revenue. The Amendment to Royalty Purchase Agreement was accounted for under ASC 610-20</w:t>
      </w:r>
      <w:r>
        <w:rPr>
          <w:rFonts w:ascii="Times New Roman" w:cs="Times New Roman" w:eastAsia="Times New Roman" w:hAnsi="Times New Roman"/>
          <w:sz w:val="18"/>
          <w:szCs w:val="18"/>
          <w:i w:val="1"/>
          <w:iCs w:val="1"/>
          <w:color w:val="auto"/>
        </w:rPr>
        <w:t>, Gains and Losses from Derecognition of Nonfinancial Assets</w:t>
      </w:r>
      <w:r>
        <w:rPr>
          <w:rFonts w:ascii="Times New Roman" w:cs="Times New Roman" w:eastAsia="Times New Roman" w:hAnsi="Times New Roman"/>
          <w:sz w:val="18"/>
          <w:szCs w:val="18"/>
          <w:color w:val="auto"/>
        </w:rPr>
        <w:t xml:space="preserve"> and ASC 405-20, </w:t>
      </w:r>
      <w:r>
        <w:rPr>
          <w:rFonts w:ascii="Times New Roman" w:cs="Times New Roman" w:eastAsia="Times New Roman" w:hAnsi="Times New Roman"/>
          <w:sz w:val="18"/>
          <w:szCs w:val="18"/>
          <w:i w:val="1"/>
          <w:iCs w:val="1"/>
          <w:color w:val="auto"/>
        </w:rPr>
        <w:t>Liabilities – Extinguishment of Liabilities</w:t>
      </w:r>
      <w:r>
        <w:rPr>
          <w:rFonts w:ascii="Times New Roman" w:cs="Times New Roman" w:eastAsia="Times New Roman" w:hAnsi="Times New Roman"/>
          <w:sz w:val="18"/>
          <w:szCs w:val="18"/>
          <w:color w:val="auto"/>
        </w:rPr>
        <w:t xml:space="preserve"> and the transaction is no longer considered a debt-like financing.</w:t>
      </w:r>
    </w:p>
    <w:p>
      <w:pPr>
        <w:spacing w:after="0" w:line="72"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 xml:space="preserve">As a result of the Amendment to Royalty Purchase Agreement, the Company recognized a gain of $37.2 million, which was the total balance of liability related to the sale of royalties on the closing date. The Amendment to Royalty Purchase Agreement allowed us to regain full compliance with Nasdaq Listing Rule 5550(b)(1) in a way that was non-dilutive for our shareholders. We will not recognize royalty revenue on net sales of RUXIENCE that are paid to HCR going forward. The royalty revenue included in the consolidated statements of operations relates to the quarter ended March 31, 2022. Future Milestone Amounts will be accounted for as variable consideration and recognized as other income when such payments are received using the most likely method in accordance with ASC 610-20 </w:t>
      </w:r>
      <w:r>
        <w:rPr>
          <w:rFonts w:ascii="Times New Roman" w:cs="Times New Roman" w:eastAsia="Times New Roman" w:hAnsi="Times New Roman"/>
          <w:sz w:val="18"/>
          <w:szCs w:val="18"/>
          <w:i w:val="1"/>
          <w:iCs w:val="1"/>
          <w:color w:val="auto"/>
        </w:rPr>
        <w:t>Other Income — Gains and Losses from the Derecognition of Nonfinancial Assets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Debt Modification</w:t>
      </w:r>
    </w:p>
    <w:p>
      <w:pPr>
        <w:spacing w:after="0" w:line="121"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 xml:space="preserve">On March 30, 2021, we amended our Credit Agreement with MidCap Financial (the Credit Agreement) and used $10 million of the proceeds received from the Royalty Purchase Agreement to pay down the outstanding principal under the Credit Agreement from $25 million to $15 million. The amended Credit Agreement was accounted for under ASC 470-50, </w:t>
      </w:r>
      <w:r>
        <w:rPr>
          <w:rFonts w:ascii="Times New Roman" w:cs="Times New Roman" w:eastAsia="Times New Roman" w:hAnsi="Times New Roman"/>
          <w:sz w:val="18"/>
          <w:szCs w:val="18"/>
          <w:i w:val="1"/>
          <w:iCs w:val="1"/>
          <w:color w:val="auto"/>
        </w:rPr>
        <w:t>Debt Modifications and Extinguishments</w:t>
      </w:r>
      <w:r>
        <w:rPr>
          <w:rFonts w:ascii="Times New Roman" w:cs="Times New Roman" w:eastAsia="Times New Roman" w:hAnsi="Times New Roman"/>
          <w:sz w:val="18"/>
          <w:szCs w:val="18"/>
          <w:color w:val="auto"/>
        </w:rPr>
        <w:t xml:space="preserve"> as a debt modification, rather than an extinguishment, based on a comparison of the present value of the cash flows under the terms of the debt immediately before and after the amendment, which resulted in a change of less than 10%. Unamortized issuance costs as of the date of modification will be amortized to interest expense using the effective interest method over the repayment term.</w:t>
      </w:r>
    </w:p>
    <w:p>
      <w:pPr>
        <w:spacing w:after="0" w:line="79"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On June 7, 2022, we further amended the Credit Agreement with MidCap Financial (the Limited Consent and Second Amendment to Credit Agreement) to obtain MidCap Financial’s limited consent to amend the Royalty Purchase Agreement with HCR. The Limited Consent and Second Amendment to Credit Agreement did not change future cash flows or other terms of the Credit Agreement.</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Other Significant Accounting Policies</w:t>
      </w:r>
    </w:p>
    <w:p>
      <w:pPr>
        <w:spacing w:after="0" w:line="121" w:lineRule="exact"/>
        <w:rPr>
          <w:sz w:val="20"/>
          <w:szCs w:val="20"/>
          <w:color w:val="auto"/>
        </w:rPr>
      </w:pPr>
    </w:p>
    <w:p>
      <w:pPr>
        <w:jc w:val="both"/>
        <w:ind w:right="20" w:firstLine="510"/>
        <w:spacing w:after="0" w:line="282" w:lineRule="auto"/>
        <w:rPr>
          <w:sz w:val="20"/>
          <w:szCs w:val="20"/>
          <w:color w:val="auto"/>
        </w:rPr>
      </w:pPr>
      <w:r>
        <w:rPr>
          <w:rFonts w:ascii="Times New Roman" w:cs="Times New Roman" w:eastAsia="Times New Roman" w:hAnsi="Times New Roman"/>
          <w:sz w:val="18"/>
          <w:szCs w:val="18"/>
          <w:color w:val="auto"/>
        </w:rPr>
        <w:t>Our other significant accounting policies were reported in our Annual Report on Form 10-K for the year ended December 31, 2021 that was filed with the SEC on March 24, 2022. Our other significant accounting policies have not changed materially from the policies previously reported.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 w:name="page9"/>
    <w:bookmarkEnd w:id="8"/>
    <w:p>
      <w:pPr>
        <w:ind w:left="520"/>
        <w:spacing w:after="0"/>
        <w:rPr>
          <w:sz w:val="20"/>
          <w:szCs w:val="20"/>
          <w:color w:val="auto"/>
        </w:rPr>
      </w:pPr>
      <w:r>
        <w:rPr>
          <w:rFonts w:ascii="Times New Roman" w:cs="Times New Roman" w:eastAsia="Times New Roman" w:hAnsi="Times New Roman"/>
          <w:sz w:val="18"/>
          <w:szCs w:val="18"/>
          <w:b w:val="1"/>
          <w:bCs w:val="1"/>
          <w:color w:val="auto"/>
        </w:rPr>
        <w:t>Note 2. Discontinued Operations</w:t>
      </w:r>
    </w:p>
    <w:p>
      <w:pPr>
        <w:spacing w:after="0" w:line="121"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discontinued operations from two separate transactions: the sale of our hyperimmune business to Saol International Limited in September 2017, from which we received a payment in March 2021 related to the collection of certain accounts receivable, and the sale of our Aptevo BioTherapeutics LLC business in February 2020.</w:t>
      </w:r>
    </w:p>
    <w:p>
      <w:pPr>
        <w:spacing w:after="0" w:line="68" w:lineRule="exact"/>
        <w:rPr>
          <w:sz w:val="20"/>
          <w:szCs w:val="20"/>
          <w:color w:val="auto"/>
        </w:rPr>
      </w:pPr>
    </w:p>
    <w:p>
      <w:pPr>
        <w:jc w:val="both"/>
        <w:ind w:firstLine="510"/>
        <w:spacing w:after="0" w:line="281" w:lineRule="auto"/>
        <w:rPr>
          <w:sz w:val="20"/>
          <w:szCs w:val="20"/>
          <w:color w:val="auto"/>
        </w:rPr>
      </w:pPr>
      <w:r>
        <w:rPr>
          <w:rFonts w:ascii="Times New Roman" w:cs="Times New Roman" w:eastAsia="Times New Roman" w:hAnsi="Times New Roman"/>
          <w:sz w:val="18"/>
          <w:szCs w:val="18"/>
          <w:color w:val="auto"/>
        </w:rPr>
        <w:t>On February 28, 2020, we entered into an LLC Purchase Agreement with Medexus, pursuant to which we sold all of the issued and outstanding limited liability company interests of Aptevo BioTherapeutics LLC, a wholly owned subsidiary of Aptevo. As a result of the transaction, Medexus obtained all rights, title and interest to the IXINITY product and the related Hemophilia B business and intellectual property.</w:t>
      </w:r>
    </w:p>
    <w:p>
      <w:pPr>
        <w:spacing w:after="0" w:line="56"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components attributable to income from discontinued operations in the unaudited condensed consolidated statements of operations (in thousands):</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2820" w:type="dxa"/>
            <w:vAlign w:val="bottom"/>
            <w:gridSpan w:val="5"/>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56"/>
        </w:trPr>
        <w:tc>
          <w:tcPr>
            <w:tcW w:w="4040" w:type="dxa"/>
            <w:vAlign w:val="bottom"/>
            <w:tcBorders>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17"/>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r>
      <w:tr>
        <w:trPr>
          <w:trHeight w:val="223"/>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payment from Medexus</w:t>
            </w:r>
          </w:p>
        </w:tc>
        <w:tc>
          <w:tcPr>
            <w:tcW w:w="8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shd w:val="clear" w:color="auto" w:fill="CFF0FC"/>
          </w:tcPr>
          <w:p>
            <w:pPr>
              <w:spacing w:after="0"/>
              <w:rPr>
                <w:sz w:val="19"/>
                <w:szCs w:val="19"/>
                <w:color w:val="auto"/>
              </w:rPr>
            </w:pP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Gain on contingent consideration from Saol</w:t>
            </w:r>
          </w:p>
        </w:tc>
        <w:tc>
          <w:tcPr>
            <w:tcW w:w="880" w:type="dxa"/>
            <w:vAlign w:val="bottom"/>
          </w:tcPr>
          <w:p>
            <w:pPr>
              <w:spacing w:after="0"/>
              <w:rPr>
                <w:sz w:val="19"/>
                <w:szCs w:val="19"/>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Pr>
          <w:p>
            <w:pPr>
              <w:spacing w:after="0"/>
              <w:rPr>
                <w:sz w:val="19"/>
                <w:szCs w:val="19"/>
                <w:color w:val="auto"/>
              </w:rPr>
            </w:pPr>
          </w:p>
        </w:tc>
      </w:tr>
      <w:tr>
        <w:trPr>
          <w:trHeight w:val="223"/>
        </w:trPr>
        <w:tc>
          <w:tcPr>
            <w:tcW w:w="40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880" w:type="dxa"/>
            <w:vAlign w:val="bottom"/>
            <w:tcBorders>
              <w:top w:val="single" w:sz="8" w:color="auto"/>
              <w:bottom w:val="single" w:sz="8" w:color="auto"/>
            </w:tcBorders>
            <w:shd w:val="clear" w:color="auto" w:fill="CFF0FC"/>
          </w:tcPr>
          <w:p>
            <w:pPr>
              <w:jc w:val="right"/>
              <w:ind w:right="70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The LLC Purchase Agreement with Medexus entitles us to future deferred payments and milestones. For the six months ended June 30, 2022, we collected $0.3 million in deferred payment from Medexus related to IXINITY sales. For the six months ended June 30, 2021, we collected $0.2 million related to the sale of the hyperimmune business to Saol as a result of the collection of certain accounts receivable and a deferred payment of $0.3 million from Medexus related to IXINITY sales. Pursuant to our LLC Purchase Agreement, the rate for deferred payments increased from 2% to 5% of net sales as of June 30, 2022.</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3. Collaboration Agreements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Alligator Bioscience AB</w:t>
      </w:r>
    </w:p>
    <w:p>
      <w:pPr>
        <w:spacing w:after="0" w:line="119"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On July 20, 2017, our wholly owned subsidiary Aptevo Research and Development LLC (Aptevo R&amp;D), entered into a collaboration and option agreement (the Collaboration Agreement) with Alligator Bioscience AB (Alligator), pursuant to which Aptevo and Alligator will collaboratively develop ALG.APV-527, a lead bispecific antibody candidate simultaneously targeting 4-1BB (CD137), a member of the TNFR superfamily of a costimulatory receptor found on activated T-cells, and 5T4, a tumor antigen widely overexpressed in a number of different types of cancer.</w:t>
      </w:r>
    </w:p>
    <w:p>
      <w:pPr>
        <w:spacing w:after="0" w:line="72"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 xml:space="preserve">We assessed the arrangement in accordance with ASC 606 and concluded that the contract counterparty, Alligator, is not a customer. As such the arrangement is not in the scope of ASC 606 and is instead treated as a collaborative agreement under ASC 808 –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In accordance with ASC 808, we concluded that because the Collaboration Agreement is a cost sharing agreement, there is no revenue.</w:t>
      </w:r>
    </w:p>
    <w:p>
      <w:pPr>
        <w:spacing w:after="0" w:line="68"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2022 and June 30, 2021, we recorded approximately $0.3 million and $0.1 million in our research and development expense related to the Collaboration Agreement, respectively.</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121"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The Company’s estimates of fair value for financial assets and financial liabilities are based on the framework established in the fair value accounting guidance. The framework is based on the inputs used in valuation, it gives the highest priority to quoted prices in active markets and requires that observable inputs be used in the valuations when available. The disclosure of fair value estimates in the fair value accounting guidance hierarchy is based on whether the significant inputs into the valuation are observable. In determining the level of the hierarchy in which the estimate is disclosed, the highest priority is given to unadjusted quoted prices in active markets and the lowest priority to unobservable inputs that reflect the Company’s significant market assumptions. The level in the fair value hierarchy within which the fair value measurement is reported is based on the lowest level input that is significant to the measurement in its entirety. The three levels of the hierarchy are as follows: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Quoted prices in active markets for identical assets and liabilities;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2— Inputs other than quoted prices in active markets that are either directly or indirectly observable; and</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 Unobservable inputs that are supported by little or no market activity and that are significant to the fair value of the assets or liabilities.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 w:name="page10"/>
    <w:bookmarkEnd w:id="9"/>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At June 30, 2022 and December 31, 2021, we had $26.9 million and $41.2 million in Level 1 money market funds, respectively. The carrying amounts of our money market funds approximate their fair value. At June 30, 2022 and December 31, 2021, we did not have any Level 2 or Level 3 assets.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5. Cash, Cash Equivalents, and Restricted Cash</w:t>
      </w:r>
    </w:p>
    <w:p>
      <w:pPr>
        <w:spacing w:after="0" w:line="135"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The Company’s cash equivalents are highly liquid investments with a maturity of 90 days or less at the date of purchase and include time deposits and investments in money market funds. Restricted cash, which are time deposits, includes $0.5 million securing letters of credit.</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our cash, cash equivalents and restricted cash as of June 30, 2022 and December 31, 2021:</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r>
      <w:tr>
        <w:trPr>
          <w:trHeight w:val="223"/>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120" w:type="dxa"/>
            <w:vAlign w:val="bottom"/>
            <w:shd w:val="clear" w:color="auto" w:fill="CFF0FC"/>
          </w:tcPr>
          <w:p>
            <w:pPr>
              <w:spacing w:after="0"/>
              <w:rPr>
                <w:sz w:val="19"/>
                <w:szCs w:val="19"/>
                <w:color w:val="auto"/>
              </w:rPr>
            </w:pPr>
          </w:p>
        </w:tc>
      </w:tr>
      <w:tr>
        <w:trPr>
          <w:trHeight w:val="229"/>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41,203</w:t>
            </w:r>
          </w:p>
        </w:tc>
        <w:tc>
          <w:tcPr>
            <w:tcW w:w="120" w:type="dxa"/>
            <w:vAlign w:val="bottom"/>
          </w:tcPr>
          <w:p>
            <w:pPr>
              <w:spacing w:after="0"/>
              <w:rPr>
                <w:sz w:val="19"/>
                <w:szCs w:val="19"/>
                <w:color w:val="auto"/>
              </w:rPr>
            </w:pPr>
          </w:p>
        </w:tc>
      </w:tr>
      <w:tr>
        <w:trPr>
          <w:trHeight w:val="229"/>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20" w:type="dxa"/>
            <w:vAlign w:val="bottom"/>
            <w:shd w:val="clear" w:color="auto" w:fill="CFF0FC"/>
          </w:tcPr>
          <w:p>
            <w:pPr>
              <w:spacing w:after="0"/>
              <w:rPr>
                <w:sz w:val="19"/>
                <w:szCs w:val="19"/>
                <w:color w:val="auto"/>
              </w:rPr>
            </w:pPr>
          </w:p>
        </w:tc>
      </w:tr>
      <w:tr>
        <w:trPr>
          <w:trHeight w:val="223"/>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29,977</w:t>
            </w: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46,303</w:t>
            </w:r>
          </w:p>
        </w:tc>
        <w:tc>
          <w:tcPr>
            <w:tcW w:w="12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6. Debt</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21"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On August 5, 2020, we entered into a Credit Agreement, with MidCap Financial. The Credit Agreement provided us with up to $25.0 million of available borrowing capacity under a term loan facility. The full $25.0 million was drawn on the closing date of the Credit Agreement. The term loan facility has a 48 month term, is interest-only for the first 18 months, with straight-line amortization for the remaining 30 months and bears interest at a rate of one month LIBOR plus 6.25% per annum, subject to a 1.50% LIBOR floor and a 2.50% LIBOR cap. Certain assets of the Company are pledged as collateral under the terms of the Credit Agreement. The United Kingdom’s Financial Conduct Authority (FCA), which regulates LIBOR, phased out one-week and two-month US Dollar LIBOR settings on December 31, 2021. All other US Dollar LIBOR settings, including the overnight, one-month, three-month, six-month and twelve-month, will be phased out on June 30, 2023. Our Credit Agreement with MidCap Financial currently references one-month LIBOR and also provides that we may amend the Credit Agreement to reflect an alternative rate of interest upon the phase out of LIBOR.</w:t>
      </w:r>
    </w:p>
    <w:p>
      <w:pPr>
        <w:spacing w:after="0" w:line="84"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On November 6, 2020, Kevin Tang and his related entities filed a statement on Schedule 13D to report the purchase of 1,760,000 shares of the Company’s common stock, which at the time represented approximately 54% of the Company’s issued and outstanding shares of the Company’s common stock. This acquisition of voting stock triggered a change in control, resulting in an Event of Default under Section 10.1(a)(ii) of the Credit Agreement. On November 10, 2020, the Company obtained a waiver from MidCap Financial pursuant to which, among other things, MidCap Financial waived such Event of Default and MidCap Financial and the Company agreed that an immediate event of default under the Credit Agreement will be deemed to have occurred in the event that (a) a majority of the seats on the Company’s board of directors are occupied by persons who were neither (i) nominated by the Company’s board of directors nor (ii) appointed by the directors so nominated, and (b) Tang has appointed the majority of the Company’s board of directors. No other events of default have occurred with respect to the Credit Agreement.</w:t>
      </w:r>
    </w:p>
    <w:p>
      <w:pPr>
        <w:spacing w:after="0" w:line="84"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On March 30, 2021, we amended our Credit Agreement with MidCap Financial and used $10.0 million of the proceeds received from the Royalty Purchase Agreement to pay down the outstanding principal under the Credit Agreement from $25.0 million to $15.0 million. $10.0 million of the remaining $15.0 million principal balance was paid on March 29, 2022. Beginning March 1, 2022, monthly repayment of the remaining $5.0 million of principal commenced and will continue for the final 30 months of the loan term. The term loan facility includes additional payment provisions if milestones related to IXINITY under the LLC Purchase Agreement with Medexus or royalties related to RUXIENCE under the Royalty Purchase Agreement with HCR are sold during the term of the loan. If the Company sells the IXINITY deferred payment stream and milestones prior to full repayment of this $5.0 million principal amount, under the agreement with MidCap Financial, we will be required to use the proceeds from the sale to pay down the outstanding loan principal balance. MidCap Financial also released its security interest in the RUXIENCE royalty payments. A fee of $0.6 million was paid by the Company to MidCap Financial in connection with the amendment in lieu of the formula-based fee previously required.</w:t>
      </w:r>
    </w:p>
    <w:p>
      <w:pPr>
        <w:spacing w:after="0" w:line="80"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The amended Credit Agreement was accounted for as a debt modification, rather than an extinguishment, based on a comparison of the present value of the cash flows under the terms of the debt immediately before and after the amendment, which resulted in a change of less than 10%. Unamortized issuance costs as of the date of modification will be amortized to interest expense using the effective interest method over the repayment term.</w:t>
      </w:r>
    </w:p>
    <w:p>
      <w:pPr>
        <w:spacing w:after="0" w:line="68" w:lineRule="exact"/>
        <w:rPr>
          <w:sz w:val="20"/>
          <w:szCs w:val="20"/>
          <w:color w:val="auto"/>
        </w:rPr>
      </w:pPr>
    </w:p>
    <w:p>
      <w:pPr>
        <w:jc w:val="both"/>
        <w:ind w:right="20" w:firstLine="510"/>
        <w:spacing w:after="0" w:line="266" w:lineRule="auto"/>
        <w:rPr>
          <w:sz w:val="20"/>
          <w:szCs w:val="20"/>
          <w:color w:val="auto"/>
        </w:rPr>
      </w:pPr>
      <w:r>
        <w:rPr>
          <w:rFonts w:ascii="Times New Roman" w:cs="Times New Roman" w:eastAsia="Times New Roman" w:hAnsi="Times New Roman"/>
          <w:sz w:val="18"/>
          <w:szCs w:val="18"/>
          <w:color w:val="auto"/>
        </w:rPr>
        <w:t>On June 7, 2022, we further amended the Credit Agreement with MidCap Financial to obtain MidCap Financial’s limited consent to amend our Royalty Purchase Agreement with HCR. The Limited Consent and Second Amendment to Credit Agreement did not change future cash flows or other terms of the Credit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 w:name="page11"/>
    <w:bookmarkEnd w:id="10"/>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As of June 30, 2022, we classified $2.0 million of the remaining $4.4 million principal of the amended Credit Agreement to current portion of long-term debt on the unaudited condensed consolidated balance sheet.</w:t>
      </w:r>
    </w:p>
    <w:p>
      <w:pPr>
        <w:spacing w:after="0" w:line="54" w:lineRule="exact"/>
        <w:rPr>
          <w:sz w:val="20"/>
          <w:szCs w:val="20"/>
          <w:color w:val="auto"/>
        </w:rPr>
      </w:pPr>
    </w:p>
    <w:p>
      <w:pPr>
        <w:jc w:val="both"/>
        <w:ind w:right="20" w:firstLine="510"/>
        <w:spacing w:after="0" w:line="282" w:lineRule="auto"/>
        <w:rPr>
          <w:sz w:val="20"/>
          <w:szCs w:val="20"/>
          <w:color w:val="auto"/>
        </w:rPr>
      </w:pPr>
      <w:r>
        <w:rPr>
          <w:rFonts w:ascii="Times New Roman" w:cs="Times New Roman" w:eastAsia="Times New Roman" w:hAnsi="Times New Roman"/>
          <w:sz w:val="18"/>
          <w:szCs w:val="18"/>
          <w:color w:val="auto"/>
        </w:rPr>
        <w:t>This facility is subject to a subjective acceleration clause that could be invoked by MidCap Financial upon the occurrence of any event MidCap Financial deems to have a material adverse effect on our ability to repay the lender.</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7. Liability Related to Sale of Royalties</w:t>
      </w:r>
    </w:p>
    <w:p>
      <w:pPr>
        <w:spacing w:after="0" w:line="121"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In March 2021, we entered into and closed the Royalty Purchase Agreement with HCR pursuant to which we sold to HCR the right to receive royalty payments made by Pfizer in respect of global net sales of RUXIENCE. Under the terms of the agreement, we received $35.0 million at closing and we are eligible to receive additional payments in aggregate of up to an additional $32.5 million based on the achievement of sales milestones in 2021, 2022 and 2023. We received the 2021 milestone payments in the collective amount of $10.0 million on March 8, 2022. The proceeds from these Milestone Amounts, net of transaction costs, were recorded as an additional liability related to the sale of royalties on the consolidated balance sheet as of March 31, 2022. We are eligible to receive additional Milestone Amounts in aggregate of up to $22.5 million based on achievement of sales milestones in 2022 and 2023.</w:t>
      </w:r>
    </w:p>
    <w:p>
      <w:pPr>
        <w:spacing w:after="0" w:line="81"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Due to the nature of the transaction, which included a cap on HCR’s rate of return, constituting continuing involvement under the Collaboration and License Agreement originally between Trubion and Wyeth, we recorded a liability related to the proceeds received from HCR of $35.0 million, net of transaction costs of $1.1 million. Further, we received proceeds related to the 2021 milestone of $10.0 million, net of transaction costs of $0.5 million, and recorded additional liability related to sale of royalties. We recognized royalty revenue on net sales of RUXIENCE and recorded the royalty payments to HCR as a reduction of the liability when paid.</w:t>
      </w:r>
    </w:p>
    <w:p>
      <w:pPr>
        <w:spacing w:after="0" w:line="75"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 xml:space="preserve">On April 1, 2022, the Company received a letter from Nasdaq indicating that it was not in compliance with Nasdaq Listing Rule 5550(b)(1). On June 7, 2022, we entered into and closed an amendment to our Royalty Purchase Agreement, resulting in the Company recognizing $37.2 million gain, which was the total balance of liability related to the sale of royalties on the closing date. The Amendment to Royalty Purchase Agreement allowed us to regain full compliance with Nasdaq Listing Rule 5550(b)(1) in a way that was non-dilutive for our shareholders. Pursuant to the Amendment to Royalty Purchase Agreement, we agreed to forego our right to receive 50% of RUXIENCE royalty revenue if HCR received aggregate royalty payments totaling 190% of the Investment Amount plus Milestone Amounts to the extent paid by HCR. The Amendment to Royalty Purchase Agreement eliminated all of our continuing involvement with the cash generating activities related to the royalties and removed all restrictions related to the rate of return and was therefore accounted for under ASC 610-20, </w:t>
      </w:r>
      <w:r>
        <w:rPr>
          <w:rFonts w:ascii="Times New Roman" w:cs="Times New Roman" w:eastAsia="Times New Roman" w:hAnsi="Times New Roman"/>
          <w:sz w:val="18"/>
          <w:szCs w:val="18"/>
          <w:i w:val="1"/>
          <w:iCs w:val="1"/>
          <w:color w:val="auto"/>
        </w:rPr>
        <w:t>Gains and Losses from Derecognition of Nonfinancial Assets</w:t>
      </w:r>
      <w:r>
        <w:rPr>
          <w:rFonts w:ascii="Times New Roman" w:cs="Times New Roman" w:eastAsia="Times New Roman" w:hAnsi="Times New Roman"/>
          <w:sz w:val="18"/>
          <w:szCs w:val="18"/>
          <w:color w:val="auto"/>
        </w:rPr>
        <w:t xml:space="preserve"> and ASC 405-20, </w:t>
      </w:r>
      <w:r>
        <w:rPr>
          <w:rFonts w:ascii="Times New Roman" w:cs="Times New Roman" w:eastAsia="Times New Roman" w:hAnsi="Times New Roman"/>
          <w:sz w:val="18"/>
          <w:szCs w:val="18"/>
          <w:i w:val="1"/>
          <w:iCs w:val="1"/>
          <w:color w:val="auto"/>
        </w:rPr>
        <w:t>Liabilities – Extinguishment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 xml:space="preserve">The Amendment to Royalty Purchase Agreement continues to include the opportunity to earn up to $22.5 million of additional milestone payments (up to $12.5 million and $10 million for 2022 and 2023, respectively). The royalty revenue included in the consolidated statements of operations relates to the quarter ended March 31, 2022. Future milestone payments will be accounted for as variable consideration and recognized using the most likely method in accordance with ASC 610-20 </w:t>
      </w:r>
      <w:r>
        <w:rPr>
          <w:rFonts w:ascii="Times New Roman" w:cs="Times New Roman" w:eastAsia="Times New Roman" w:hAnsi="Times New Roman"/>
          <w:sz w:val="18"/>
          <w:szCs w:val="18"/>
          <w:i w:val="1"/>
          <w:iCs w:val="1"/>
          <w:color w:val="auto"/>
        </w:rPr>
        <w:t>Other Income — Gains and Losses from the Derecognition of Nonfinancial Assets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changes in the liability in the period related to the sale of royalties under the Royalty Purchase Agreement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HCR (in thousands):</w:t>
      </w:r>
    </w:p>
    <w:p>
      <w:pPr>
        <w:spacing w:after="0" w:line="20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100" w:type="dxa"/>
            <w:vAlign w:val="bottom"/>
          </w:tcPr>
          <w:p>
            <w:pPr>
              <w:spacing w:after="0"/>
              <w:rPr>
                <w:sz w:val="13"/>
                <w:szCs w:val="13"/>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Six Months</w:t>
            </w:r>
          </w:p>
        </w:tc>
      </w:tr>
      <w:tr>
        <w:trPr>
          <w:trHeight w:val="162"/>
        </w:trPr>
        <w:tc>
          <w:tcPr>
            <w:tcW w:w="5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0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Ended June 30,</w:t>
            </w:r>
          </w:p>
        </w:tc>
      </w:tr>
      <w:tr>
        <w:trPr>
          <w:trHeight w:val="173"/>
        </w:trPr>
        <w:tc>
          <w:tcPr>
            <w:tcW w:w="5820" w:type="dxa"/>
            <w:vAlign w:val="bottom"/>
            <w:tcBorders>
              <w:bottom w:val="single" w:sz="8" w:color="CFF0FC"/>
            </w:tcBorders>
          </w:tcPr>
          <w:p>
            <w:pPr>
              <w:spacing w:after="0"/>
              <w:rPr>
                <w:sz w:val="15"/>
                <w:szCs w:val="15"/>
                <w:color w:val="auto"/>
              </w:rPr>
            </w:pPr>
          </w:p>
        </w:tc>
        <w:tc>
          <w:tcPr>
            <w:tcW w:w="11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6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CFF0FC"/>
            </w:tcBorders>
          </w:tcPr>
          <w:p>
            <w:pPr>
              <w:spacing w:after="0"/>
              <w:rPr>
                <w:sz w:val="15"/>
                <w:szCs w:val="15"/>
                <w:color w:val="auto"/>
              </w:rPr>
            </w:pPr>
          </w:p>
        </w:tc>
      </w:tr>
      <w:tr>
        <w:trPr>
          <w:trHeight w:val="223"/>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Liability related to sale of royalties, beginning balance</w:t>
            </w: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31,045</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r>
      <w:tr>
        <w:trPr>
          <w:trHeight w:val="229"/>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sale of royalties, net of transaction costs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33,900</w:t>
            </w:r>
          </w:p>
        </w:tc>
        <w:tc>
          <w:tcPr>
            <w:tcW w:w="120" w:type="dxa"/>
            <w:vAlign w:val="bottom"/>
          </w:tcPr>
          <w:p>
            <w:pPr>
              <w:spacing w:after="0"/>
              <w:rPr>
                <w:sz w:val="19"/>
                <w:szCs w:val="19"/>
                <w:color w:val="auto"/>
              </w:rPr>
            </w:pPr>
          </w:p>
        </w:tc>
      </w:tr>
      <w:tr>
        <w:trPr>
          <w:trHeight w:val="230"/>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Proceeds from milestone payments, net of transaction costs</w:t>
            </w: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120" w:type="dxa"/>
            <w:vAlign w:val="bottom"/>
          </w:tcPr>
          <w:p>
            <w:pPr>
              <w:spacing w:after="0"/>
              <w:rPr>
                <w:sz w:val="19"/>
                <w:szCs w:val="19"/>
                <w:color w:val="auto"/>
              </w:rPr>
            </w:pPr>
          </w:p>
        </w:tc>
      </w:tr>
      <w:tr>
        <w:trPr>
          <w:trHeight w:val="230"/>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RUXIENCE royalties paid by Pfizer to HCR</w:t>
            </w: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(6,779)</w:t>
            </w:r>
          </w:p>
        </w:tc>
        <w:tc>
          <w:tcPr>
            <w:tcW w:w="1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(2,421)</w:t>
            </w:r>
          </w:p>
        </w:tc>
      </w:tr>
      <w:tr>
        <w:trPr>
          <w:trHeight w:val="229"/>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from extinguishment of liability related to sale of royalties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(37,182)</w:t>
            </w:r>
          </w:p>
        </w:tc>
        <w:tc>
          <w:tcPr>
            <w:tcW w:w="10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Liability related to sale of royalties, ending balance</w:t>
            </w:r>
          </w:p>
        </w:tc>
        <w:tc>
          <w:tcPr>
            <w:tcW w:w="1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33,347</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liability related to sale of royalties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(12,810)</w:t>
            </w:r>
          </w:p>
        </w:tc>
      </w:tr>
      <w:tr>
        <w:trPr>
          <w:trHeight w:val="223"/>
        </w:trPr>
        <w:tc>
          <w:tcPr>
            <w:tcW w:w="58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Liability related to sale of royalties, non-current</w:t>
            </w: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20,537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recorded non-cash interest expense through the date of the Amendment to Royalty Purchase Agreement.</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 w:name="page12"/>
    <w:bookmarkEnd w:id="11"/>
    <w:p>
      <w:pPr>
        <w:ind w:left="520"/>
        <w:spacing w:after="0"/>
        <w:rPr>
          <w:sz w:val="20"/>
          <w:szCs w:val="20"/>
          <w:color w:val="auto"/>
        </w:rPr>
      </w:pPr>
      <w:r>
        <w:rPr>
          <w:rFonts w:ascii="Times New Roman" w:cs="Times New Roman" w:eastAsia="Times New Roman" w:hAnsi="Times New Roman"/>
          <w:sz w:val="18"/>
          <w:szCs w:val="18"/>
          <w:b w:val="1"/>
          <w:bCs w:val="1"/>
          <w:color w:val="auto"/>
        </w:rPr>
        <w:t>Note 8. Leases</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Office Space Lease - Operating</w:t>
      </w:r>
    </w:p>
    <w:p>
      <w:pPr>
        <w:spacing w:after="0" w:line="121"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We have an operating lease related to our office and laboratory space in Seattle, Washington. This lease was amended in March 2019 to extend the term through April 2030 and provide two options to extend the lease term, each by five years, as well as a one-time option to terminate the lease in April 2023, with nine months’ notice, or by July 2022. We had previously determined we should not include any periods after the termination option when evaluating this amendment as we were not reasonably certain to not exercise the option, therefore we recorded our liability through April 30, 2023.</w:t>
      </w:r>
    </w:p>
    <w:p>
      <w:pPr>
        <w:spacing w:after="0" w:line="72"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On May 26, 2022, we amended our office and laboratory lease to remove the one-time termination option. In exchange for removing the termination option, we received six months of free rent. As a result, we recorded an additional $4.4 million of lease liability and right-of-use asset on the consolidated balance sheet on the date of the amendment. As of June 30, 2022, we are not reasonably certain to exercise the two options to extend the lease term. Therefore, pursuant to our May 26, 2022 amendment, we recorded our lease liability through April 30, 2030.</w:t>
      </w:r>
    </w:p>
    <w:p>
      <w:pPr>
        <w:spacing w:after="0" w:line="72"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2022, we recorded $0.2 million and $0.4 million, respectively, related to variable expenses. For the three and six months ended June 30, 2021, we recorded $0.2 million and $0.4 million, respectively, related to variable expenses.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Equipment Leases - Operating</w:t>
      </w:r>
    </w:p>
    <w:p>
      <w:pPr>
        <w:spacing w:after="0" w:line="121" w:lineRule="exact"/>
        <w:rPr>
          <w:sz w:val="20"/>
          <w:szCs w:val="20"/>
          <w:color w:val="auto"/>
        </w:rPr>
      </w:pPr>
    </w:p>
    <w:p>
      <w:pPr>
        <w:jc w:val="both"/>
        <w:ind w:right="20" w:firstLine="510"/>
        <w:spacing w:after="0" w:line="282" w:lineRule="auto"/>
        <w:rPr>
          <w:sz w:val="20"/>
          <w:szCs w:val="20"/>
          <w:color w:val="auto"/>
        </w:rPr>
      </w:pPr>
      <w:r>
        <w:rPr>
          <w:rFonts w:ascii="Times New Roman" w:cs="Times New Roman" w:eastAsia="Times New Roman" w:hAnsi="Times New Roman"/>
          <w:sz w:val="18"/>
          <w:szCs w:val="18"/>
          <w:color w:val="auto"/>
        </w:rPr>
        <w:t>As of June 30, 2022, we have operating leases for one piece of lab equipment and four copiers in our Seattle, Washington headquarters. The future expense for these leases will be straight-line and will include any variable expenses that arise.</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Equipment Lease – Financing</w:t>
      </w:r>
    </w:p>
    <w:p>
      <w:pPr>
        <w:spacing w:after="0" w:line="121"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As of June 30, 2022, we had one equipment lease classified as a financing lease as the lease transferred ownership of the underlying asset to us at the end of the lease term in 2020. The lease has no remaining expense obligation. There were no financing lease payments in the three months ended June 30, 2022.</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Components of lease expense:</w:t>
      </w:r>
    </w:p>
    <w:p>
      <w:pPr>
        <w:spacing w:after="0" w:line="224"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00" w:type="dxa"/>
            <w:vAlign w:val="bottom"/>
          </w:tcPr>
          <w:p>
            <w:pPr>
              <w:spacing w:after="0"/>
              <w:rPr>
                <w:sz w:val="13"/>
                <w:szCs w:val="13"/>
                <w:color w:val="auto"/>
              </w:rPr>
            </w:pPr>
          </w:p>
        </w:tc>
        <w:tc>
          <w:tcPr>
            <w:tcW w:w="14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80" w:type="dxa"/>
            <w:vAlign w:val="bottom"/>
          </w:tcPr>
          <w:p>
            <w:pPr>
              <w:spacing w:after="0"/>
              <w:rPr>
                <w:sz w:val="13"/>
                <w:szCs w:val="13"/>
                <w:color w:val="auto"/>
              </w:rPr>
            </w:pPr>
          </w:p>
        </w:tc>
        <w:tc>
          <w:tcPr>
            <w:tcW w:w="16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00" w:type="dxa"/>
            <w:vAlign w:val="bottom"/>
          </w:tcPr>
          <w:p>
            <w:pPr>
              <w:spacing w:after="0"/>
              <w:rPr>
                <w:sz w:val="13"/>
                <w:szCs w:val="13"/>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0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right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9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Right of use assets acquired under operating leases:</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4"/>
          </w:tcPr>
          <w:p>
            <w:pPr>
              <w:jc w:val="center"/>
              <w:ind w:left="44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8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left="86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ind w:right="73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6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 excluding Seattle office lease</w:t>
            </w:r>
          </w:p>
        </w:tc>
        <w:tc>
          <w:tcPr>
            <w:tcW w:w="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ind w:right="10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Borders>
              <w:top w:val="single" w:sz="8" w:color="CFF0FC"/>
              <w:right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304"/>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Seattle office lease, including amendment</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5,509</w:t>
            </w:r>
          </w:p>
        </w:tc>
        <w:tc>
          <w:tcPr>
            <w:tcW w:w="2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leases</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10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280" w:type="dxa"/>
            <w:vAlign w:val="bottom"/>
            <w:tcBorders>
              <w:right w:val="single" w:sz="8" w:color="CFF0FC"/>
            </w:tcBorders>
            <w:shd w:val="clear" w:color="auto" w:fill="CFF0FC"/>
          </w:tcPr>
          <w:p>
            <w:pPr>
              <w:spacing w:after="0"/>
              <w:rPr>
                <w:sz w:val="21"/>
                <w:szCs w:val="21"/>
                <w:color w:val="auto"/>
              </w:rPr>
            </w:pPr>
          </w:p>
        </w:tc>
        <w:tc>
          <w:tcPr>
            <w:tcW w:w="440" w:type="dxa"/>
            <w:vAlign w:val="bottom"/>
            <w:shd w:val="clear" w:color="auto" w:fill="CFF0FC"/>
          </w:tcPr>
          <w:p>
            <w:pPr>
              <w:jc w:val="right"/>
              <w:ind w:right="304"/>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6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Lease payments:</w:t>
            </w: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7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8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21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center"/>
              <w:ind w:left="6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left="86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ind w:right="71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6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 operating leases</w:t>
            </w:r>
          </w:p>
        </w:tc>
        <w:tc>
          <w:tcPr>
            <w:tcW w:w="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ind w:right="10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80" w:type="dxa"/>
            <w:vAlign w:val="bottom"/>
            <w:tcBorders>
              <w:top w:val="single" w:sz="8" w:color="CFF0FC"/>
              <w:right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84"/>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The long-term portion of the lease liabilities is $6.4 million and the remainder of our lease liabilities are included in other current liabilities on our unaudited condensed consolidated balance sheets.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2" w:name="page13"/>
    <w:bookmarkEnd w:id="12"/>
    <w:p>
      <w:pPr>
        <w:ind w:left="520"/>
        <w:spacing w:after="0"/>
        <w:rPr>
          <w:sz w:val="20"/>
          <w:szCs w:val="20"/>
          <w:color w:val="auto"/>
        </w:rPr>
      </w:pPr>
      <w:r>
        <w:rPr>
          <w:rFonts w:ascii="Times New Roman" w:cs="Times New Roman" w:eastAsia="Times New Roman" w:hAnsi="Times New Roman"/>
          <w:sz w:val="18"/>
          <w:szCs w:val="18"/>
          <w:color w:val="auto"/>
        </w:rPr>
        <w:t>As of June 30, 2022, the weighted average remaining lease term and weighted average discount rate for operating leases was 7.83 years and 12.03%.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2021, the weighted average remaining lease term and weighted average discount rate for operating leases was 1.8 years and 14.49%.</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9. Net Income (Loss) per Share</w:t>
      </w:r>
    </w:p>
    <w:p>
      <w:pPr>
        <w:spacing w:after="0" w:line="121"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Basic net income (loss) per share is calculated by dividing the net income (loss) by the weighted average number of common shares outstanding for the period. Diluted net income (loss) per share is computed by dividing the net income (loss) by the weighted average number of common share equivalents outstanding for the period using the as-if converted method. For the purpose of this calculation, warrants, stock options and restricted stock units (RSUs) are only included in the calculation of diluted net income (loss) per share when their effect is dilutive.</w:t>
      </w:r>
    </w:p>
    <w:p>
      <w:pPr>
        <w:spacing w:after="0" w:line="72"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We utilize the control number concept in the computation of diluted earnings per share to determine whether potential common stock instruments are dilutive. The control number used is loss from continuing operations or income from discontinued operations. The control number concept requires that the same number of potentially dilutive securities applied in computing diluted earnings per share from continuing operations be applied to all other categories of income or loss, regardless of their anti-dilutive effect on such categories. Therefore, no dilutive effect has been recognized in the calculation of income from discontinued operations per share.</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Common stock equivalents include warrants, stock options and unvested RSUs.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net income (loss) per share (in thousands, except share and per share amounts):</w:t>
      </w:r>
    </w:p>
    <w:p>
      <w:pPr>
        <w:spacing w:after="0" w:line="220"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20" w:type="dxa"/>
            <w:vAlign w:val="bottom"/>
            <w:gridSpan w:val="7"/>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380" w:type="dxa"/>
            <w:vAlign w:val="bottom"/>
            <w:gridSpan w:val="9"/>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80" w:type="dxa"/>
            <w:vAlign w:val="bottom"/>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52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gridSpan w:val="3"/>
          </w:tcPr>
          <w:p>
            <w:pPr>
              <w:jc w:val="right"/>
              <w:ind w:right="308"/>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gridSpan w:val="2"/>
          </w:tcPr>
          <w:p>
            <w:pPr>
              <w:jc w:val="right"/>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7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27,861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19,986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2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327</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28,010</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(7,932)</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20,313</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(15,188)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net income (loss) per share from continuing</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operations:</w:t>
            </w: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60" w:type="dxa"/>
            <w:vAlign w:val="bottom"/>
          </w:tcPr>
          <w:p>
            <w:pPr>
              <w:spacing w:after="0"/>
              <w:rPr>
                <w:sz w:val="23"/>
                <w:szCs w:val="23"/>
                <w:color w:val="auto"/>
              </w:rPr>
            </w:pPr>
          </w:p>
        </w:tc>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20" w:type="dxa"/>
            <w:vAlign w:val="bottom"/>
          </w:tcPr>
          <w:p>
            <w:pPr>
              <w:spacing w:after="0"/>
              <w:rPr>
                <w:sz w:val="23"/>
                <w:szCs w:val="23"/>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(1.78)</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4.01</w:t>
            </w:r>
          </w:p>
        </w:tc>
        <w:tc>
          <w:tcPr>
            <w:tcW w:w="2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52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4.01</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and diluted net income per share from discontinued operations:</w:t>
            </w: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52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2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0.07</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240" w:type="dxa"/>
            <w:vAlign w:val="bottom"/>
            <w:tcBorders>
              <w:bottom w:val="single" w:sz="8" w:color="CFF0FC"/>
            </w:tcBorders>
            <w:vMerge w:val="continue"/>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0.07</w:t>
            </w:r>
          </w:p>
        </w:tc>
        <w:tc>
          <w:tcPr>
            <w:tcW w:w="22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5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Shares used in calculation:</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5,023,321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4,536,517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4,980,625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4,477,821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5,023,321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4,536,517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4,980,970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4,477,821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represents all potentially dilutive shares:</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0" w:type="dxa"/>
            <w:vAlign w:val="bottom"/>
          </w:tcPr>
          <w:p>
            <w:pPr>
              <w:spacing w:after="0"/>
              <w:rPr>
                <w:sz w:val="24"/>
                <w:szCs w:val="24"/>
                <w:color w:val="auto"/>
              </w:rPr>
            </w:pPr>
          </w:p>
        </w:tc>
        <w:tc>
          <w:tcPr>
            <w:tcW w:w="5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60" w:type="dxa"/>
            <w:vAlign w:val="bottom"/>
            <w:gridSpan w:val="11"/>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52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960" w:type="dxa"/>
            <w:vAlign w:val="bottom"/>
            <w:tcBorders>
              <w:top w:val="single" w:sz="8" w:color="auto"/>
            </w:tcBorders>
            <w:gridSpan w:val="3"/>
          </w:tcPr>
          <w:p>
            <w:pPr>
              <w:jc w:val="right"/>
              <w:ind w:right="37"/>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47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2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w:t>
            </w:r>
          </w:p>
        </w:tc>
        <w:tc>
          <w:tcPr>
            <w:tcW w:w="1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options to purchase common stock</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RSUs</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We use the treasury stock method when determining dilutive shares. As of June 30, 2022, we determined that outstanding warrants and options are not dilutive as the exercise prices were higher than our average share price for the three and six months ended June 30, 2022. Unvested RSUs are the only dilutive shares included in the calculation of diluted earnings per share. For the three and six months ended June 30, 2021, the Company was in a net loss position, therefore the share number used to calculate diluted earnings per share is the same as the basic earnings per share calculation.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 w:name="page14"/>
    <w:bookmarkEnd w:id="13"/>
    <w:p>
      <w:pPr>
        <w:ind w:left="520"/>
        <w:spacing w:after="0"/>
        <w:rPr>
          <w:sz w:val="20"/>
          <w:szCs w:val="20"/>
          <w:color w:val="auto"/>
        </w:rPr>
      </w:pPr>
      <w:r>
        <w:rPr>
          <w:rFonts w:ascii="Times New Roman" w:cs="Times New Roman" w:eastAsia="Times New Roman" w:hAnsi="Times New Roman"/>
          <w:sz w:val="18"/>
          <w:szCs w:val="18"/>
          <w:b w:val="1"/>
          <w:bCs w:val="1"/>
          <w:color w:val="auto"/>
        </w:rPr>
        <w:t>Note 10. Equity</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Equity Distribution Agreement</w:t>
      </w:r>
    </w:p>
    <w:p>
      <w:pPr>
        <w:spacing w:after="0" w:line="133"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On December 14, 2020, we entered into an Equity Distribution Agreement with Piper Sandler. The Equity Distribution Agreement provides that, upon the terms and subject to the conditions set forth therein, we may issue and sell through Piper Sandler, acting as sales agent, shares of our common stock, $0.001 par value per share having an aggregate offering price of up to $50.0 million. This offering supersedes and replaces the program we commenced in December 2017. We have no obligation to sell any such shares under the Equity Distribution Agreement. The sale of such shares of common stock by Piper Sandler will be effected pursuant to a Registration Statement on Form S-3 which we filed on December 14, 2020. In the six months ended June 30, 2022, the Company issued 78,285 shares of common stock under the Equity Distribution Agreement. We received $0.4 million in proceeds from the issuance of these shares. We did not issue any shares under the Equity Distribution Agreement in the six months ended June 30, 2021.</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Lincoln Park Purchase Agreement</w:t>
      </w:r>
    </w:p>
    <w:p>
      <w:pPr>
        <w:spacing w:after="0" w:line="119"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On February 16, 2022, we entered into a Purchase Agreement (2022 Purchase Agreement) and a Registration Rights Agreement with Lincoln Park. The 2022 Purchase Agreement and Registration Rights Agreement replaced our 2018 Purchase Agreement and Registration Rights Agreement with Lincoln Park. Under the 2022 Purchase Agreement, Lincoln Park committed to purchase up to $35.0 million of our common stock over a 36-month period commencing after the satisfaction of certain conditions, which are within our control, as set forth in the Purchase Agreement. The purchase price per share will be based on prevailing market prices; provided, however, that the prevailing market price is not below $1.00. We agreed to and issued 99,276 shares of our common stock to Lincoln Park for no cash consideration as an initial fee for its commitment to purchase shares of our common stock under the Purchase Agreement. We did not issue any shares of common stock for cash consideration to Lincoln Park under the Purchase Agreement in the six months ended June 30, 2022. In the six months ended June 30, 2021, we issued approximately 0.4 million shares of common stock to Lincoln Park under the 2018 Purchase Agreement and received $10.2 million in proceeds from issuance of these shares.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Rights Plan</w:t>
      </w:r>
    </w:p>
    <w:p>
      <w:pPr>
        <w:spacing w:after="0" w:line="119"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On November 8, 2020, our Board of Directors (Board) approved and adopted a Rights Agreement, dated as of November 8, 2020, by and between the Company and Broadridge Corporate Issuer Solutions, Inc., as rights agent, pursuant to which the Board declared a dividend of one preferred share purchase right (each, a Right) for each outstanding share of the Company’s common stock held by stockholders as of the close of business on November 23, 2020. When exercisable, each Right initially would represent the right to purchase from the Company one one-thousandth of a share of a newly-designated series of preferred stock, Series A Junior Participating Preferred Stock, par value $0.001 per share, of the Company, at an exercise price of $400.00 per one one-thousandth of a Series A Junior Participating Preferred Share, subject to adjustment. Subject to various exceptions, the Rights become exercisable in the event any person (excluding certain exempted or grandfathered persons) becomes the beneficial owner of ten percent (10%) or more of the Company’s common stock without the approval of the Board. The Rights Agreement was amended on November 4, 2021 to extend the expiration date of such agreement from November 8, 2021 to November 5, 2022.</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2016 Stock Incentive Plan</w:t>
      </w:r>
    </w:p>
    <w:p>
      <w:pPr>
        <w:spacing w:after="0" w:line="119"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On August 1, 2016, the Company adopted the 2016 Stock Incentive Plan (2016 SIP). A total of 0.2 million shares of Aptevo common stock have been authorized for issuance under the 2016 SIP in the form of equity stock options.</w:t>
      </w:r>
    </w:p>
    <w:p>
      <w:pPr>
        <w:spacing w:after="0" w:line="54"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On May 31, 2017, at the 2017 Annual Meeting of Stockholders, the Company’s stockholders approved the amendment and restatement of the Company’s 2016 SIP (Restated 2016 Plan) to, among other things, increase the number of authorized shares issuable by 0.1 million shares of Aptevo common stock. The Restated 2016 Plan was previously approved, subject to stockholder approval, by our Board.</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2018 Stock Incentive Plan</w:t>
      </w:r>
    </w:p>
    <w:p>
      <w:pPr>
        <w:spacing w:after="0" w:line="133"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On June 1, 2018, at the 2018 Annual Meeting of the Stockholders, the Company’s stockholders approved a new 2018 Stock Incentive Plan (2018 SIP), which replaced the Restated 2016 Plan on a go-forward basis. All stock options, RSUs or other equity awards granted subsequent to June 1, 2018 have been and will be issued out of the 2018 SIP, which has 0.3 million shares of Aptevo common stock authorized for issuance. The 2018 Plan became effective immediately upon stockholder approval at the 2018 Annual Meeting of the Stockholders. Any shares subject to outstanding stock awards granted under the 2016 SIP that (a) expire or terminate for any reason prior to exercise or settlement; (b) are forfeited because of the failure to meet a contingency or condition required to vest such shares or otherwise return to the Company; or (c) otherwise would have returned to the 2016 SIP for future grant pursuant to the terms of the 2016 Plan (such shares, the “Returning Shares”) will immediately be added to the share reserve under the 2018 SIP as and when such shares become Returning Shares, up to a maximum of 0.3 million shares.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4" w:name="page15"/>
    <w:bookmarkEnd w:id="14"/>
    <w:p>
      <w:pPr>
        <w:jc w:val="both"/>
        <w:ind w:right="20" w:firstLine="510"/>
        <w:spacing w:after="0" w:line="266" w:lineRule="auto"/>
        <w:rPr>
          <w:sz w:val="20"/>
          <w:szCs w:val="20"/>
          <w:color w:val="auto"/>
        </w:rPr>
      </w:pPr>
      <w:r>
        <w:rPr>
          <w:rFonts w:ascii="Times New Roman" w:cs="Times New Roman" w:eastAsia="Times New Roman" w:hAnsi="Times New Roman"/>
          <w:sz w:val="18"/>
          <w:szCs w:val="18"/>
          <w:color w:val="auto"/>
        </w:rPr>
        <w:t>On June 7, 2022, at the 2022 Annual Meeting of Stockholders, our stockholders approved the Amended and Restated 2018 SIP to increase the number of shares authorized for issuance under the 2018 SIP by 500,000 shares of common stock. As of June 30, 2022, there are approximately 0.4 million shares available to be granted under the 2018 SIP.</w:t>
      </w:r>
    </w:p>
    <w:p>
      <w:pPr>
        <w:spacing w:after="0" w:line="68"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Stock options and RSUs under the Amended and Restated 2018 SIP generally vest pro rata over a one-year or three-year period. Stock options terminate ten years from the grant date, though the specific terms of each grant are determined individually. The Company’s executive officers, members of our board of directors, and certain other employees and consultants may be awarded options and/or RSUs with different vesting criteria, and awards granted to non-employee directors will vest over a one-year period. Option exercise and RSU grant prices for new awards granted by the Company equal the closing price of the Company’s common stock on the Nasdaq Capital Market on the date of grant.</w:t>
      </w:r>
    </w:p>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includes amortization of stock options and RSUs granted to employees and non-employees and has been reported in our unaudited condensed consolidated statements of operations as follows:</w:t>
      </w:r>
    </w:p>
    <w:p>
      <w:pPr>
        <w:spacing w:after="0" w:line="15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380" w:type="dxa"/>
            <w:vAlign w:val="bottom"/>
            <w:gridSpan w:val="6"/>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73"/>
        </w:trPr>
        <w:tc>
          <w:tcPr>
            <w:tcW w:w="5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132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8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240" w:type="dxa"/>
            <w:vAlign w:val="bottom"/>
            <w:gridSpan w:val="2"/>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9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The Company accounts for stock-based compensation by measuring the cost of employee services received in exchange for all equity awards granted based on the fair value of the award as of the grant date. The Company recognizes the compensation expense over the vesting period. All assumptions used to calculate the grant date fair value of non-employee equity awards are generally consistent with the assumptions used for equity awards granted to employees. In the event the Company terminates any of its consulting agreements, the unvested equity underlying the agreements would also be cancelled.</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Stock Options</w:t>
      </w:r>
    </w:p>
    <w:p>
      <w:pPr>
        <w:spacing w:after="0" w:line="119"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Aptevo utilizes the Black-Scholes valuation model for estimating the fair value of all stock options granted. Set forth below are the assumptions used in valuing the stock options granted:</w:t>
      </w:r>
    </w:p>
    <w:p>
      <w:pPr>
        <w:spacing w:after="0" w:line="15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24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36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73"/>
        </w:trPr>
        <w:tc>
          <w:tcPr>
            <w:tcW w:w="5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720" w:type="dxa"/>
            <w:vAlign w:val="bottom"/>
            <w:gridSpan w:val="4"/>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3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260" w:type="dxa"/>
            <w:vAlign w:val="bottom"/>
          </w:tcPr>
          <w:p>
            <w:pPr>
              <w:spacing w:after="0"/>
              <w:rPr>
                <w:sz w:val="13"/>
                <w:szCs w:val="13"/>
                <w:color w:val="auto"/>
              </w:rPr>
            </w:pPr>
          </w:p>
        </w:tc>
        <w:tc>
          <w:tcPr>
            <w:tcW w:w="760" w:type="dxa"/>
            <w:vAlign w:val="bottom"/>
            <w:tcBorders>
              <w:top w:val="single" w:sz="8" w:color="auto"/>
            </w:tcBorders>
          </w:tcPr>
          <w:p>
            <w:pPr>
              <w:jc w:val="right"/>
              <w:ind w:right="36"/>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500" w:type="dxa"/>
            <w:vAlign w:val="bottom"/>
            <w:tcBorders>
              <w:top w:val="single" w:sz="8" w:color="auto"/>
            </w:tcBorders>
            <w:gridSpan w:val="3"/>
          </w:tcPr>
          <w:p>
            <w:pPr>
              <w:jc w:val="center"/>
              <w:ind w:left="379"/>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Pr>
          <w:p>
            <w:pPr>
              <w:spacing w:after="0"/>
              <w:rPr>
                <w:sz w:val="13"/>
                <w:szCs w:val="13"/>
                <w:color w:val="auto"/>
              </w:rPr>
            </w:pPr>
          </w:p>
        </w:tc>
        <w:tc>
          <w:tcPr>
            <w:tcW w:w="102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2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76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tcPr>
          <w:p>
            <w:pPr>
              <w:jc w:val="center"/>
              <w:ind w:left="379"/>
              <w:spacing w:after="0"/>
              <w:rPr>
                <w:sz w:val="20"/>
                <w:szCs w:val="20"/>
                <w:color w:val="auto"/>
              </w:rPr>
            </w:pPr>
            <w:r>
              <w:rPr>
                <w:rFonts w:ascii="Times New Roman" w:cs="Times New Roman" w:eastAsia="Times New Roman" w:hAnsi="Times New Roman"/>
                <w:sz w:val="18"/>
                <w:szCs w:val="18"/>
                <w:color w:val="auto"/>
              </w:rPr>
              <w:t>98.03%</w:t>
            </w:r>
          </w:p>
        </w:tc>
        <w:tc>
          <w:tcPr>
            <w:tcW w:w="2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106.30%</w:t>
            </w:r>
          </w:p>
        </w:tc>
        <w:tc>
          <w:tcPr>
            <w:tcW w:w="2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FF0FC"/>
          </w:tcPr>
          <w:p>
            <w:pPr>
              <w:jc w:val="center"/>
              <w:ind w:left="359"/>
              <w:spacing w:after="0"/>
              <w:rPr>
                <w:sz w:val="20"/>
                <w:szCs w:val="20"/>
                <w:color w:val="auto"/>
              </w:rPr>
            </w:pPr>
            <w:r>
              <w:rPr>
                <w:rFonts w:ascii="Times New Roman" w:cs="Times New Roman" w:eastAsia="Times New Roman" w:hAnsi="Times New Roman"/>
                <w:sz w:val="18"/>
                <w:szCs w:val="18"/>
                <w:color w:val="auto"/>
                <w:w w:val="98"/>
              </w:rPr>
              <w:t>0.91%</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1.60%</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Expected average life of options</w:t>
            </w:r>
          </w:p>
        </w:tc>
        <w:tc>
          <w:tcPr>
            <w:tcW w:w="7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6 years</w:t>
            </w: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5 years</w:t>
            </w: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Management has applied an estimated forfeiture rate of 31% and 30% for the three and six months ended June 30, 2022, respectively, and 19% and 23% for the three months and six months ended June 30, 2021, respectively. Expected volatility increased as our stock price fluctuated from a low of $3.26 to a high of $6.30 for the three months ended June 30, 2022, compared to a low of $21.85 to a high of $30.00 for the three months ended June 30, 2021.</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option activity for the six months ended June 30, 2022: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20" w:type="dxa"/>
            <w:vAlign w:val="bottom"/>
          </w:tcPr>
          <w:p>
            <w:pPr>
              <w:spacing w:after="0"/>
              <w:rPr>
                <w:sz w:val="13"/>
                <w:szCs w:val="13"/>
                <w:color w:val="auto"/>
              </w:rPr>
            </w:pPr>
          </w:p>
        </w:tc>
        <w:tc>
          <w:tcPr>
            <w:tcW w:w="12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5"/>
                <w:szCs w:val="15"/>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Term</w:t>
            </w: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1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334,412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64,088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0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23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23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(36,125)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2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June 30, 2022</w:t>
            </w:r>
          </w:p>
        </w:tc>
        <w:tc>
          <w:tcPr>
            <w:tcW w:w="116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362,290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at June 30, 2022</w:t>
            </w:r>
          </w:p>
        </w:tc>
        <w:tc>
          <w:tcPr>
            <w:tcW w:w="2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4080" w:type="dxa"/>
            <w:vAlign w:val="bottom"/>
            <w:tcBorders>
              <w:bottom w:val="single" w:sz="8" w:color="CFF0FC"/>
            </w:tcBorders>
            <w:vMerge w:val="continue"/>
          </w:tcPr>
          <w:p>
            <w:pPr>
              <w:spacing w:after="0"/>
              <w:rPr>
                <w:sz w:val="21"/>
                <w:szCs w:val="21"/>
                <w:color w:val="auto"/>
              </w:rPr>
            </w:pPr>
          </w:p>
        </w:tc>
        <w:tc>
          <w:tcPr>
            <w:tcW w:w="1160" w:type="dxa"/>
            <w:vAlign w:val="bottom"/>
            <w:tcBorders>
              <w:bottom w:val="single" w:sz="8" w:color="CFF0FC"/>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177,265</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220" w:type="dxa"/>
            <w:vAlign w:val="bottom"/>
            <w:tcBorders>
              <w:bottom w:val="single" w:sz="8" w:color="CFF0FC"/>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2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expected to vest at June 30, 2022</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298,985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8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bottom w:val="single" w:sz="8" w:color="CFF0FC"/>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5" w:name="page16"/>
    <w:bookmarkEnd w:id="15"/>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As of June 30, 2022, we had $2.3 million of unrecognized compensation expense related to options expected to vest over a weighted average remaining vesting period of 1.8 years. The weighted-average grant date fair value per share of options granted during the six months ended June 30, 2022 and 2021 was $4.43 and $24.29, respectively. The aggregate intrinsic value of options exercised for the six months ended June 30, 2022 and 2021 was $0 and $0.3 million, respectively. The total fair value of stock options vested for the six months ended June 30, 2022 and 2021 was $1.2 million and $0.4 million, respectively.</w:t>
      </w:r>
    </w:p>
    <w:p>
      <w:pPr>
        <w:spacing w:after="0" w:line="75"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pretax intrinsic value (the difference between the closing stock price of Aptevo’s common stock on the last trading day of June 2022 and the exercise price, multiplied by the number of in the money options) that would have been received by the option holders had all the option holders exercised their options on the last trading day of the quarter.</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Units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RSU activity for the six months ended June 30, 2022:</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164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94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 Fair</w:t>
            </w:r>
          </w:p>
        </w:tc>
        <w:tc>
          <w:tcPr>
            <w:tcW w:w="0" w:type="dxa"/>
            <w:vAlign w:val="bottom"/>
          </w:tcPr>
          <w:p>
            <w:pPr>
              <w:spacing w:after="0"/>
              <w:rPr>
                <w:sz w:val="1"/>
                <w:szCs w:val="1"/>
                <w:color w:val="auto"/>
              </w:rPr>
            </w:pPr>
          </w:p>
        </w:tc>
      </w:tr>
      <w:tr>
        <w:trPr>
          <w:trHeight w:val="173"/>
        </w:trPr>
        <w:tc>
          <w:tcPr>
            <w:tcW w:w="6940" w:type="dxa"/>
            <w:vAlign w:val="bottom"/>
          </w:tcPr>
          <w:p>
            <w:pPr>
              <w:spacing w:after="0"/>
              <w:rPr>
                <w:sz w:val="15"/>
                <w:szCs w:val="15"/>
                <w:color w:val="auto"/>
              </w:rPr>
            </w:pPr>
          </w:p>
        </w:tc>
        <w:tc>
          <w:tcPr>
            <w:tcW w:w="164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60" w:type="dxa"/>
            <w:vAlign w:val="bottom"/>
          </w:tcPr>
          <w:p>
            <w:pPr>
              <w:spacing w:after="0"/>
              <w:rPr>
                <w:sz w:val="15"/>
                <w:szCs w:val="15"/>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 per Unit</w:t>
            </w:r>
          </w:p>
        </w:tc>
        <w:tc>
          <w:tcPr>
            <w:tcW w:w="0" w:type="dxa"/>
            <w:vAlign w:val="bottom"/>
          </w:tcPr>
          <w:p>
            <w:pPr>
              <w:spacing w:after="0"/>
              <w:rPr>
                <w:sz w:val="1"/>
                <w:szCs w:val="1"/>
                <w:color w:val="auto"/>
              </w:rPr>
            </w:pPr>
          </w:p>
        </w:tc>
      </w:tr>
      <w:tr>
        <w:trPr>
          <w:trHeight w:val="223"/>
        </w:trPr>
        <w:tc>
          <w:tcPr>
            <w:tcW w:w="69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56,810</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119,652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(14,907)</w:t>
            </w: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(10,243)</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and expected to vest at June 30, 2022</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151,312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As of June 30, 2022, there was $1.5 million unrecognized stock-based compensation expense related to unvested RSUs expected to vest over the weighted average period of 2.1 years.</w:t>
      </w:r>
    </w:p>
    <w:p>
      <w:pPr>
        <w:spacing w:after="0" w:line="54" w:lineRule="exact"/>
        <w:rPr>
          <w:sz w:val="20"/>
          <w:szCs w:val="20"/>
          <w:color w:val="auto"/>
        </w:rPr>
      </w:pPr>
    </w:p>
    <w:p>
      <w:pPr>
        <w:jc w:val="both"/>
        <w:ind w:right="20" w:firstLine="510"/>
        <w:spacing w:after="0" w:line="282" w:lineRule="auto"/>
        <w:rPr>
          <w:sz w:val="20"/>
          <w:szCs w:val="20"/>
          <w:color w:val="auto"/>
        </w:rPr>
      </w:pPr>
      <w:r>
        <w:rPr>
          <w:rFonts w:ascii="Times New Roman" w:cs="Times New Roman" w:eastAsia="Times New Roman" w:hAnsi="Times New Roman"/>
          <w:sz w:val="18"/>
          <w:szCs w:val="18"/>
          <w:color w:val="auto"/>
        </w:rPr>
        <w:t>The fair value of each RSU has been determined to be the closing trading price of the Company’s common stock on the date of grant as quoted on the Nasdaq Capital Market.</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Warrants</w:t>
      </w:r>
    </w:p>
    <w:p>
      <w:pPr>
        <w:spacing w:after="0" w:line="119"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 xml:space="preserve">In March 2019, as part of a public offering, we issued warrants to purchase up to 1,725,000 shares of our common stock, 1,571,429 of which have an exercise price of $18.20 per share and have a five-year life, and 153,571 of pre-funded warrants with an exercise price of $0.14 per share. The pre-funded warrants had a ten-year life and would have expired on March 11, 2029; however, all of the pre-funded warrants were exercised in March 2019. We determined the warrants do not meet liability classification pursuant to ASC 480 –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These are therefore included within equity on our unaudited condensed consolidated balance sheet. For the three months ended June 30, 2022, the Company did not have any of its warrants exercised. For the three months ended June 30, 2021, certain holders of the Company’s warrants exercised warrants with a strike price of $18.20 per share, resulting in the issuance of 26,277 shares of the Company’s common stock and aggregate proceeds to the Company of approximately $0.5 million. As of June 30, 2022 and 2021, there were warrants to purchase 350,589 shares of common stock outstanding.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i w:val="1"/>
          <w:iCs w:val="1"/>
          <w:color w:val="auto"/>
        </w:rPr>
        <w:t>This Quarterly Report on Form 10-Q includes “forward-looking statements” within the meaning of Section 27A of the Securities Act of 1933, as amended, and Section 21E of the Securities Exchange Act of 1934, as amended (the Exchange Act). All statements in this Quarterly Report on Form 10-Q other than statements of historical facts, including statements regarding our strategy, future operations, future financial position, future revenues, royalty payments, the achievement of milestones and receipt of future payments, projected costs, prospects, plans, intentions, expectations, clinical trial results, compliance with listing requirements, future macroeconomic conditions and objectives could be forward-looking statements. The words “anticipates,” “believes,” “could,” “designed,” “estimates,” “expects,” “goal,” “intends,” “may,” “plans,” “projects,” “pursuing,” “will,” “would” and similar expressions (including the negatives thereof) are intended to identify forward-looking statements, although not all forward-looking statements contain these identifying words.</w:t>
      </w:r>
    </w:p>
    <w:p>
      <w:pPr>
        <w:spacing w:after="0" w:line="77"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i w:val="1"/>
          <w:iCs w:val="1"/>
          <w:color w:val="auto"/>
        </w:rPr>
        <w:t>We have based these forward-looking statements largely on our current assumptions, expectations, projections, intentions, objectives and/or beliefs about future events or occurrences and these forward-looking statements are subject to a number of risks, uncertainties and assumptions, including, but not limited to, those described in Part II, Item 1A, “Risk Factors” in this Quarterly Report on Form 10-Q and our other filings with the Securities and Exchange Commission.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The timing of certain events and circumstances and known and unknown risks and uncertainties could cause actual results to differ materially from those anticipated or implied in the forward-looking statements that we make. Therefore, you should not place undue reliance on our forward-looking statements.</w:t>
      </w:r>
    </w:p>
    <w:p>
      <w:pPr>
        <w:spacing w:after="0" w:line="77" w:lineRule="exact"/>
        <w:rPr>
          <w:sz w:val="20"/>
          <w:szCs w:val="20"/>
          <w:color w:val="auto"/>
        </w:rPr>
      </w:pPr>
    </w:p>
    <w:p>
      <w:pPr>
        <w:jc w:val="both"/>
        <w:ind w:firstLine="510"/>
        <w:spacing w:after="0" w:line="284" w:lineRule="auto"/>
        <w:rPr>
          <w:sz w:val="20"/>
          <w:szCs w:val="20"/>
          <w:color w:val="auto"/>
        </w:rPr>
      </w:pPr>
      <w:r>
        <w:rPr>
          <w:rFonts w:ascii="Times New Roman" w:cs="Times New Roman" w:eastAsia="Times New Roman" w:hAnsi="Times New Roman"/>
          <w:sz w:val="18"/>
          <w:szCs w:val="18"/>
          <w:i w:val="1"/>
          <w:iCs w:val="1"/>
          <w:color w:val="auto"/>
        </w:rPr>
        <w:t>Our forward-looking statements in this Quarterly Report on Form 10-Q are based on current information and we do not assume any obligation to update any forward-looking statements expect as required by the federal securities laws.</w:t>
      </w:r>
    </w:p>
    <w:p>
      <w:pPr>
        <w:spacing w:after="0" w:line="50"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Management’s Discussion and Analysis of Financial Condition and Results of Operations (this MD&amp;A) together with the unaudited condensed consolidated financial statements and the related notes thereto included in this Quarterly Report on Form 10-Q. This MD&amp;A contains forward-looking statements that are subject to risks and uncertainties, such as those set forth in the sections of this Quarterly Report on Form 10-Q, “Risk Factors” and elsewhere. As a result, our actual results may differ materially from those anticipated in these forward-looking statements.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9"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We are a clinical-stage, research and development biotechnology company focused on developing novel immunotherapeutic candidates for the treatment of different forms of cancer. We have developed two versatile and enabling platform technologies for rational design of precision immune modulatory drugs. Our lead clinical candidate, APVO436, and preclinical candidates, ALG.APV-527 and APVO603, were developed using our ADAPTIR™ modular protein technology platform. Our preclinical candidate, APVO442, was developed using our ADAPTIR-FLEX™ modular protein technology platform. Currently, APVO436 is being evaluated in an open-label, multi-center, multi-cohort Phase 1b expansion trial in the U.S. We are planning to file an IND for our preclinical candidate, ALG.APV-527, in the second half of 2022.</w:t>
      </w:r>
    </w:p>
    <w:p>
      <w:pPr>
        <w:spacing w:after="0" w:line="79" w:lineRule="exact"/>
        <w:rPr>
          <w:sz w:val="20"/>
          <w:szCs w:val="20"/>
          <w:color w:val="auto"/>
        </w:rPr>
      </w:pPr>
    </w:p>
    <w:p>
      <w:pPr>
        <w:jc w:val="both"/>
        <w:ind w:firstLine="510"/>
        <w:spacing w:after="0" w:line="253" w:lineRule="auto"/>
        <w:rPr>
          <w:sz w:val="20"/>
          <w:szCs w:val="20"/>
          <w:color w:val="auto"/>
        </w:rPr>
      </w:pPr>
      <w:r>
        <w:rPr>
          <w:rFonts w:ascii="Times New Roman" w:cs="Times New Roman" w:eastAsia="Times New Roman" w:hAnsi="Times New Roman"/>
          <w:sz w:val="18"/>
          <w:szCs w:val="18"/>
          <w:color w:val="auto"/>
        </w:rPr>
        <w:t>The versatile and robust ADAPTIR and ADAPTIR-FLEX platforms are designed to generate monospecific, bispecific, and multi-specific antibody candidates that are capable of enhancing the human immune system against cancer cells. ADAPTIR and ADAPTIR-FLEX are both modular platforms, which gives us the flexibility to generate immunotherapeutic candidates with a variety of mechanisms of action. This flexibility in design allows us to potentially generate novel therapeutic candidates that may provide the foundation for the establishment of effective strategies against difficult to treat, as well as advanced forms of cancer. We have successfully designed and constructed numerous investigational-stage prototype product candidates based on our ADAPTIR platform. The ADAPTIR platform technology is designed to generate monospecific and bispecific immunotherapeutic proteins that specifically bind to one or more targets, for example, bispecific therapeutic molecules, which may have structural and functional advantages over monoclonal antibodies. The structural differences of ADAPTIR molecules over monoclonal antibodies allow for the development of ADAPTIR immunotherapeutics that are designed to engage immune effector cells and disease targets in a novel manner to produce unique signaling responses and ultimately kill tumors or modulate the immune system to kill tumors.</w:t>
      </w:r>
    </w:p>
    <w:p>
      <w:pPr>
        <w:spacing w:after="0" w:line="86"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We are skilled at candidate generation, validation, and subsequent preclinical and clinical development using the ADAPTIR platform and have added the ADAPTIR-FLEX platform to generate multi-specific candidates or other candidates to our platform capabilities. We have developed a preclinical candidate based on the ADAPTIR-FLEX platform which is advancing in our pipeline. We are developing our ADAPTIR and ADAPTIR-FLEX molecules by way of our protein engineering, preclinical development, process development, and clinical development capabilities.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On June 9, 2022, we reported positive preliminary data from our on-going Phase 1b trial evaluating lead candidate, APVO436 for the treatment of acute myeloid leukemia (AML). Results included:</w:t>
      </w:r>
    </w:p>
    <w:p>
      <w:pPr>
        <w:spacing w:after="0" w:line="54" w:lineRule="exact"/>
        <w:rPr>
          <w:sz w:val="20"/>
          <w:szCs w:val="20"/>
          <w:color w:val="auto"/>
        </w:rPr>
      </w:pPr>
    </w:p>
    <w:p>
      <w:pPr>
        <w:ind w:left="1000" w:right="20" w:hanging="493"/>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from cohort 1 (combination therapy) that showed a total of four out of 11 response-evaluable patients (36%) experienced remission while on therapy, as of June 9, 2022.</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Cohort 3 (monotherapy) also yielded two patients with clinical activity</w:t>
      </w:r>
    </w:p>
    <w:p>
      <w:pPr>
        <w:spacing w:after="0" w:line="117"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Also on June 9, 2022, the Company reported that a patient with high-risk myelodysplastic syndrome (MDS) enrolled in the dose escalation phase of the APVO436 clinical trial remained stable and continued treatment with APVO436, exceeding 18 months of therapy.</w:t>
      </w:r>
    </w:p>
    <w:p>
      <w:pPr>
        <w:spacing w:after="0" w:line="54"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ALG.APV-527 remains on track for IND submission in the second half of 2022, following a pre-IND meeting with the FDA held during the second quarter.</w:t>
      </w:r>
    </w:p>
    <w:p>
      <w:pPr>
        <w:spacing w:after="0" w:line="54"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Presented preclinical data for APVO442, for the potential treatment of prostate cancer, in a poster session at the American Association for Cancer Research (AACR) Annual Meeting.</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Aptevo expects to announce the addition of a new molecule to the pre-clinical pipeline by the end of the year.</w:t>
      </w:r>
    </w:p>
    <w:p>
      <w:pPr>
        <w:spacing w:after="0" w:line="117"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In order to non-dilutively regain compliance with the Nasdaq Listing Rule, which requires the Company to have a minimum of $2.5 million of stockholders’ equity, on June 7, 2022, we entered into and closed an amendment to our Royalty Purchase Agreement with HCR. The Amendment to Royalty Purchase Agreement resulted in us recognizing gain in the amount of the liability related to the sale of royalties remaining on our balance sheet of approximately $37.2 million. As of June 30, 2022, our stockholders’ equity balance is $23.0 million, which satisfies the minimum $2.5 million stockholders’ equity requirement of the Nasdaq Rule.</w:t>
      </w:r>
    </w:p>
    <w:p>
      <w:pPr>
        <w:spacing w:after="0" w:line="75"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On June 7, 2022, we amended our Credit Agreement with MidCap Financial to obtain MidCap Financial’s limited consent to amend our Royalty Purchase Agreement with HCR. The Limited Consent and Second Amendment to Credit Agreement did not change future cash flows or other terms of the Credit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Except as otherwise stated below, the following discussions of our results of operations reflect the results of our continuing operations, excluding the results related to Aptevo BioTherapeutics LLC (Aptevo BioTherapeutics), which was sold in February 2020 to Medexus and has been separated from continuing operations and reflected as a discontinued operation. See Note 2 – Discontinued Operations to the accompanying financial statements for additional information.</w:t>
      </w:r>
    </w:p>
    <w:p>
      <w:pPr>
        <w:spacing w:after="0" w:line="176" w:lineRule="exact"/>
        <w:rPr>
          <w:sz w:val="20"/>
          <w:szCs w:val="20"/>
          <w:color w:val="auto"/>
        </w:rPr>
      </w:pPr>
    </w:p>
    <w:p>
      <w:pPr>
        <w:ind w:left="520" w:right="4480"/>
        <w:spacing w:after="0" w:line="378" w:lineRule="auto"/>
        <w:rPr>
          <w:sz w:val="20"/>
          <w:szCs w:val="20"/>
          <w:color w:val="auto"/>
        </w:rPr>
      </w:pPr>
      <w:r>
        <w:rPr>
          <w:rFonts w:ascii="Times New Roman" w:cs="Times New Roman" w:eastAsia="Times New Roman" w:hAnsi="Times New Roman"/>
          <w:sz w:val="18"/>
          <w:szCs w:val="18"/>
          <w:b w:val="1"/>
          <w:bCs w:val="1"/>
          <w:color w:val="auto"/>
        </w:rPr>
        <w:t>Comparison of the Three and Six Months Ended June 30, 2022 and June 30, 2021 Royalty Revenue</w:t>
      </w: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2022 and June 30, 2021, royalty revenue was $3.1 million and $5.5 million, respectively. The royalty revenue from Pfizer relates to a Collaboration and License Agreement (Definitive Agreement) acquired by Aptevo as part of our spin-off from Emergent in 2016. The agreement was originally executed by Trubion Pharmaceuticals, which was subsequently acquired by Emergent, and Wyeth, a wholly owned subsidiary of Pfizer.</w:t>
      </w:r>
    </w:p>
    <w:p>
      <w:pPr>
        <w:spacing w:after="0" w:line="72"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On March 30, 2021, we entered into and closed a Royalty Purchase Agreement with an entity managed by HCR pursuant to which we sold to HCR the right to receive royalty payments made by Pfizer in respect of net sales of RUXIENCE. Under the terms of the Royalty Purchase Agreement, the Company received $35 million at closing and we are eligible to receive additional payments in the aggregate of up to an additional $32.5 million based on the achievement of sales milestones in 2021, 2022 and 2023. We received the 2021 milestone payments in the collective amount of $10 million on March 8, 2022. The proceeds from these milestone payments, net of transaction costs, were recorded as an additional liability related to the sale of royalties on the consolidated balance sheet as of March 31, 2022.</w:t>
      </w:r>
    </w:p>
    <w:p>
      <w:pPr>
        <w:spacing w:after="0" w:line="79"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Due to the nature of the transaction, which included a cap on HCR’s rate of return, constituting continuing involvement under the Collaboration and License Agreement originally between Trubion and Wyeth, we recorded a liability related to the proceeds received from HCR of $35.0 million, net of transaction costs of $1.1 million. Further, we received proceeds related to the 2021 milestone of $10.0 million, net of transaction costs of $0.5 million, and recorded additional liability related to sale of royalties. We recognized royalty revenue on net sales of RUXIENCE and recorded the royalty payments to HCR as a reduction of the liability when paid.</w:t>
      </w:r>
    </w:p>
    <w:p>
      <w:pPr>
        <w:spacing w:after="0" w:line="75"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In order to non-dilutively address our Nasdaq listing compliance matter, on June 7, 2022, we entered into and closed an amendment to the Royalty Purchase Agreement (the Amendment to Royalty Purchase Agreement), pursuant to which we agreed to forego our right to receive 50% of RUXIENCE royalty revenue if HCR received aggregate royalty payments totaling 190% of the Investment Amount plus Milestone Amounts to the extent paid by HCR. The Amendment to Royalty Purchase Agreement continues to include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8" w:name="page19"/>
    <w:bookmarkEnd w:id="18"/>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opportunity to earn up to $22.5 million of additional Milestone Amounts (up to $12.5 million and $10 million for 2022 and 2023, respectively). The Amendment to Royalty Purchase Agreement eliminated all of our continuing involvement with the cash generating activities related to the royalties and removed all restrictions related to HCR’s rate of return and therefore was accounted for under ASC 610-20, </w:t>
      </w:r>
      <w:r>
        <w:rPr>
          <w:rFonts w:ascii="Times New Roman" w:cs="Times New Roman" w:eastAsia="Times New Roman" w:hAnsi="Times New Roman"/>
          <w:sz w:val="18"/>
          <w:szCs w:val="18"/>
          <w:i w:val="1"/>
          <w:iCs w:val="1"/>
          <w:color w:val="auto"/>
        </w:rPr>
        <w:t>Gains and Losses from Derecognition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Nonfinancial Assets </w:t>
      </w:r>
      <w:r>
        <w:rPr>
          <w:rFonts w:ascii="Times New Roman" w:cs="Times New Roman" w:eastAsia="Times New Roman" w:hAnsi="Times New Roman"/>
          <w:sz w:val="18"/>
          <w:szCs w:val="18"/>
          <w:color w:val="auto"/>
        </w:rPr>
        <w:t>and ASC 405-20,</w:t>
      </w:r>
      <w:r>
        <w:rPr>
          <w:rFonts w:ascii="Times New Roman" w:cs="Times New Roman" w:eastAsia="Times New Roman" w:hAnsi="Times New Roman"/>
          <w:sz w:val="18"/>
          <w:szCs w:val="18"/>
          <w:i w:val="1"/>
          <w:iCs w:val="1"/>
          <w:color w:val="auto"/>
        </w:rPr>
        <w:t xml:space="preserve"> Liabilities – Extinguishment of Liabilities</w:t>
      </w:r>
      <w:r>
        <w:rPr>
          <w:rFonts w:ascii="Times New Roman" w:cs="Times New Roman" w:eastAsia="Times New Roman" w:hAnsi="Times New Roman"/>
          <w:sz w:val="18"/>
          <w:szCs w:val="18"/>
          <w:color w:val="auto"/>
        </w:rPr>
        <w:t>, resulting in recognition of $37.2 million gain, which was the total balance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liability related to the sale of royalties on the closing date.</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121"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We expense research and development costs as incurred. These expenses consist primarily of the costs associated with our research and development activities, including conducting non-clinical studies and clinical trials, fees to professional service providers for analytical testing, consulting costs, independent monitoring or other administration of our clinical trials and obtaining and evaluating data from our clinical trials and non-clinical studies, as well as costs of contract manufacturing services for clinical trial material, and costs of materials used in clinical trials and research and development. Our research and development expenses include:</w:t>
      </w:r>
    </w:p>
    <w:p>
      <w:pPr>
        <w:spacing w:after="0" w:line="75" w:lineRule="exact"/>
        <w:rPr>
          <w:sz w:val="20"/>
          <w:szCs w:val="20"/>
          <w:color w:val="auto"/>
        </w:rPr>
      </w:pPr>
    </w:p>
    <w:p>
      <w:pPr>
        <w:ind w:left="1000" w:hanging="493"/>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salaries and related expenses, including stock-based compensation and benefits for our employees involved in our drug discovery and development activities;</w:t>
      </w:r>
    </w:p>
    <w:p>
      <w:pPr>
        <w:spacing w:after="0" w:line="53"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 incurred under agreements with third-party contract research organizations (CRO’s) and investigative sites;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material expense for third-party manufacturing;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overhead costs such as rent, utilities and depreciation.</w:t>
      </w:r>
    </w:p>
    <w:p>
      <w:pPr>
        <w:spacing w:after="0" w:line="117"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We expect our research and development spending will be dependent upon such factors as the results from our clinical trials, the availability of reimbursement of research and development spending, the number of product candidates under development, the size, structure and duration of any clinical programs that we may initiate, and the costs associated with manufacturing our product candidates on a large-scale basis for later stage clinical trials. We may experience interruption of key clinical trial activities, such as patient enrollment and clinical trial site monitoring, and key non-clinical activities due to the ongoing COVID-19 pandemic. While the majority of our programs are still in the preclinical trial phase, we do not provide a breakdown of the initial associated expenses as we are often evaluating multiple product candidates simultaneously. Costs are reported in preclinical research and discovery until the program enters the clinic.</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research and development expenses by program for the three and six months ended June 30, 2022 and 2021 are shown in the following table:</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5"/>
                <w:szCs w:val="15"/>
                <w:color w:val="auto"/>
              </w:rPr>
            </w:pPr>
          </w:p>
        </w:tc>
        <w:tc>
          <w:tcPr>
            <w:tcW w:w="3220" w:type="dxa"/>
            <w:vAlign w:val="bottom"/>
            <w:gridSpan w:val="5"/>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300" w:type="dxa"/>
            <w:vAlign w:val="bottom"/>
          </w:tcPr>
          <w:p>
            <w:pPr>
              <w:spacing w:after="0"/>
              <w:rPr>
                <w:sz w:val="15"/>
                <w:szCs w:val="15"/>
                <w:color w:val="auto"/>
              </w:rPr>
            </w:pPr>
          </w:p>
        </w:tc>
        <w:tc>
          <w:tcPr>
            <w:tcW w:w="130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5020" w:type="dxa"/>
            <w:vAlign w:val="bottom"/>
            <w:gridSpan w:val="2"/>
            <w:vMerge w:val="continue"/>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37"/>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53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Clinical programs:</w:t>
            </w: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APVO436</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58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Preclinical program, general research and discovery</w:t>
            </w: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(1,052)</w:t>
            </w:r>
          </w:p>
        </w:tc>
        <w:tc>
          <w:tcPr>
            <w:tcW w:w="0" w:type="dxa"/>
            <w:vAlign w:val="bottom"/>
          </w:tcPr>
          <w:p>
            <w:pPr>
              <w:spacing w:after="0"/>
              <w:rPr>
                <w:sz w:val="1"/>
                <w:szCs w:val="1"/>
                <w:color w:val="auto"/>
              </w:rPr>
            </w:pPr>
          </w:p>
        </w:tc>
      </w:tr>
      <w:tr>
        <w:trPr>
          <w:trHeight w:val="223"/>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2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24"/>
                <w:szCs w:val="24"/>
                <w:color w:val="auto"/>
              </w:rPr>
            </w:pPr>
          </w:p>
        </w:tc>
        <w:tc>
          <w:tcPr>
            <w:tcW w:w="3220" w:type="dxa"/>
            <w:vAlign w:val="bottom"/>
            <w:gridSpan w:val="5"/>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300" w:type="dxa"/>
            <w:vAlign w:val="bottom"/>
          </w:tcPr>
          <w:p>
            <w:pPr>
              <w:spacing w:after="0"/>
              <w:rPr>
                <w:sz w:val="24"/>
                <w:szCs w:val="24"/>
                <w:color w:val="auto"/>
              </w:rPr>
            </w:pPr>
          </w:p>
        </w:tc>
        <w:tc>
          <w:tcPr>
            <w:tcW w:w="130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5020" w:type="dxa"/>
            <w:vAlign w:val="bottom"/>
            <w:gridSpan w:val="2"/>
            <w:vMerge w:val="continue"/>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37"/>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53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Clinical programs:</w:t>
            </w: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APVO436</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58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Preclinical program, general research and discovery</w:t>
            </w: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5,929</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(1,654)</w:t>
            </w:r>
          </w:p>
        </w:tc>
        <w:tc>
          <w:tcPr>
            <w:tcW w:w="0" w:type="dxa"/>
            <w:vAlign w:val="bottom"/>
          </w:tcPr>
          <w:p>
            <w:pPr>
              <w:spacing w:after="0"/>
              <w:rPr>
                <w:sz w:val="1"/>
                <w:szCs w:val="1"/>
                <w:color w:val="auto"/>
              </w:rPr>
            </w:pPr>
          </w:p>
        </w:tc>
      </w:tr>
      <w:tr>
        <w:trPr>
          <w:trHeight w:val="223"/>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8,731</w:t>
            </w:r>
          </w:p>
        </w:tc>
        <w:tc>
          <w:tcPr>
            <w:tcW w:w="2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10,084</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2022, research and development expenses decreased by $0.8 million, to $3.9 million from $4.7 million for June 30, 2021. For the six months ended June 30, 2022, research and development expenses decreased by $1.4 million, to $8.7 million from $10.1 million for June 30, 2021. The decrease was primarily due lower spending on preclinical projects and employee costs. The decrease was partially offset by higher spending on our APVO436 clinical trial as we continue to dose patients in our Phase 1b Expansion program.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9" w:name="page20"/>
    <w:bookmarkEnd w:id="19"/>
    <w:p>
      <w:pPr>
        <w:ind w:left="52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121"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costs and professional fees in support of our executive, business development, finance, accounting, information technology, legal and human resource functions. Other costs include facility costs not otherwise included in research and development expenses.</w:t>
      </w:r>
    </w:p>
    <w:p>
      <w:pPr>
        <w:spacing w:after="0" w:line="68"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2022, general and administrative expenses decreased by $0.4 million, to $3.7 million from $4.1 million for June 30, 2021. For the six months ended June 30, 2022, general and administrative expenses decreased by $0.5 million, to $7.6 million from $8.1 million for June 30, 2021. The decrease is primarily due to lower employee costs and lower costs related to responding to stockholder activism matters.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121"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Other income (expense), net consists primarily of gain on extinguishment of liabilities, costs related to debt extinguishment, accrued exit fees on debt, non-cash interest on financing agreements, and interest on debt. Other income, net was $35.4 million for the three months ended June 30, 2022, as compared to $2.3 million other expense, net for the three months ended June 30, 2021. Other income, net was $33.2 million for the six months ended June 30, 2022, as compared to $3.1 million other expense, net for the six months ended June 30, 2021. The change in other income (expense), net is primarily related to the $37.2 million gain recognized as a result of extinguishment of liability related to the sale of royalties associated with the Amendment to Royalty Purchase Agreement (see Note 7) and lower interest expense related to our MidCap Credit Agreement due to principal payments made during the quarter. The gain was partially offset by non-cash interest expense for the Royalty Purchase Agreement incurred prior to the Amendment to Royalty Purchase Agreement.</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121"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discontinued operations from two separate transactions: the sale of hyperimmune business to Saol International Limited in September 2017, from which we received a payment in 2021 related to the collection of a certain accounts receivable, and the sale of Aptevo BioTherapeutics in 2020.</w:t>
      </w:r>
    </w:p>
    <w:p>
      <w:pPr>
        <w:spacing w:after="0" w:line="68"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components attributable to income from discontinued operations in the unaudited condensed consolidated statements of operations (in thousands):</w:t>
      </w:r>
    </w:p>
    <w:p>
      <w:pPr>
        <w:spacing w:after="0" w:line="15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50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380" w:type="dxa"/>
            <w:vAlign w:val="bottom"/>
            <w:gridSpan w:val="6"/>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73"/>
        </w:trPr>
        <w:tc>
          <w:tcPr>
            <w:tcW w:w="4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8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180" w:type="dxa"/>
            <w:vAlign w:val="bottom"/>
            <w:tcBorders>
              <w:bottom w:val="single" w:sz="8" w:color="CFF0FC"/>
            </w:tcBorders>
          </w:tcPr>
          <w:p>
            <w:pPr>
              <w:spacing w:after="0"/>
              <w:rPr>
                <w:sz w:val="13"/>
                <w:szCs w:val="13"/>
                <w:color w:val="auto"/>
              </w:rPr>
            </w:pPr>
          </w:p>
        </w:tc>
        <w:tc>
          <w:tcPr>
            <w:tcW w:w="1040" w:type="dxa"/>
            <w:vAlign w:val="bottom"/>
            <w:tcBorders>
              <w:bottom w:val="single" w:sz="8" w:color="CFF0FC"/>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7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payment from Medexus</w:t>
            </w:r>
          </w:p>
        </w:tc>
        <w:tc>
          <w:tcPr>
            <w:tcW w:w="10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Gain on contingent consideration from Saol</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ind w:right="52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2022, we collected $0.3 million in deferred payments from Medexus related to IXINITY sales. For the six months ended June 30, 2021, we collected $0.2 million related to the sale of the hyperimmune business to Saol as a result of the collection of certain accounts receivable and a deferred payment of $0.3 million received from Medexus related IXINITY sales. Pursuant to our LLC Purchase Agreement, the rate for deferred payments increased from 2% to 5% of net sales as of June 30,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The preparation of our unaudited condensed consolidated financial statements in conformity with accounting principles generally accepted in the United States (GAAP) requires management to make estimates and assumptions that affect the amounts reported in the financial statements and accompanying notes. We base our estimates on historical experience and on various other factors. Although we believe that our judgments and estimates are appropriate, actual results may differ materially from our estimates and changes in these estimates are recorded when known. An accounting policy is considered critical if it is important to a company’s financial condition and results of operations and if it requires the exercise of significant judgment and the use of estimates on the part of management in its application.</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Refer to Note 1 for discussion of our accounting policies, significant judgments, and estimates.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following table provides information regarding our cash flows for the six months ended June 30, </w:t>
      </w:r>
      <w:r>
        <w:rPr>
          <w:rFonts w:ascii="Times New Roman" w:cs="Times New Roman" w:eastAsia="Times New Roman" w:hAnsi="Times New Roman"/>
          <w:sz w:val="18"/>
          <w:szCs w:val="18"/>
          <w:color w:val="231F20"/>
        </w:rPr>
        <w:t>2022 and 2021:</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0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56"/>
        </w:trPr>
        <w:tc>
          <w:tcPr>
            <w:tcW w:w="680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496"/>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4"/>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(8,187)</w:t>
            </w:r>
          </w:p>
        </w:tc>
        <w:tc>
          <w:tcPr>
            <w:tcW w:w="42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(12,557)</w:t>
            </w:r>
          </w:p>
        </w:tc>
        <w:tc>
          <w:tcPr>
            <w:tcW w:w="0" w:type="dxa"/>
            <w:vAlign w:val="bottom"/>
          </w:tcPr>
          <w:p>
            <w:pPr>
              <w:spacing w:after="0"/>
              <w:rPr>
                <w:sz w:val="1"/>
                <w:szCs w:val="1"/>
                <w:color w:val="auto"/>
              </w:rPr>
            </w:pPr>
          </w:p>
        </w:tc>
      </w:tr>
      <w:tr>
        <w:trPr>
          <w:trHeight w:val="229"/>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 increase in cash, cash equivalents, and restricted cash</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(16,326)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19,119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of $8.2 million for the six months ended June 30, 2022 was primarily due to changes in working capital accounts and our operating cash burn. Net cash used in operating activities of $12.6 million for the six months ended June 30, 2021, was primarily due to our net loss of $15.2 million and changes in working capital accounts.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2022 and 2021, was due to purchases of property and equipment.</w:t>
      </w:r>
    </w:p>
    <w:p>
      <w:pPr>
        <w:spacing w:after="0" w:line="117"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Net cash used in financing activities for the six months ended June 30, 2022 was primarily due to the $11.3 million of repayments of the MidCap Financial term loan, and $6.8 million royalties received from Pfizer by HCR pursuant to our Royalty Purchase Agreement. This was offset by the $10 million milestone received by Aptevo from HCR related to the sale of royalties, net of $0.5 million transaction costs, and $0.4 million proceeds received from issuance of common stock pursuant to our Equity Distribution Agreement with Piper Sandler. Net cash provided by financing activities for the six months ended June 30, 2021, was primarily due to the $35.0 million received from HCR related to the Royalty Purchase Agreement, net of $1.1 million transaction costs, $10.2 million received from the common stock sold to Lincoln Park, and $1.0 million proceeds received from exercise of warrants. This was offset by the $10.5 million repayment of the MidCap Financial term loan and $2.4 million royalties received from Pfizer by HCR pursuant to our Royalty Purchase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Royalty Purchase Agreement and Milestone Payments</w:t>
      </w:r>
    </w:p>
    <w:p>
      <w:pPr>
        <w:spacing w:after="0" w:line="119"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On March 30, 2021, we entered into Royalty Purchase Agreement with HCR pursuant to which we sold HCR the right to receive royalty payments made by Pfizer in respect to net sale of RUXIENCE. Under the Royalty Purchase Agreement, we received $35 million at closing and incurred $1.1 million in transaction costs. We are eligible to receive additional payments in aggregate of up to an additional $32.5 million based on achievement of sales milestones in 2021, 2022 and 2023. The Company received the 2021 milestone payments in the collective amount of $10 million in March, 2022 and is eligible to receive additional payments in aggregate of up to $22.5 million based on achievement of sales milestones in 2022 and 2023.</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IXINITY Royalty Payments</w:t>
      </w:r>
    </w:p>
    <w:p>
      <w:pPr>
        <w:spacing w:after="0" w:line="119"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On February 28, 2020, Aptevo entered into an LLC Purchase Agreement with Medexus, pursuant to which we sold all of the issued and outstanding limited liability company interests of Aptevo BioTherapeutics LLC, a wholly owned subsidiary of Aptevo. In addition to the payment received at closing, the Company receives deferred payments based on quarterly net sales of IXINITY and may also earn milestones from Medexus in the future. Pursuant to our LLC Purchase Agreement, the rate for deferred payments increased from 2% to 5% of net sales as of June 30, 2022. For the six months ended June 30, 2022, Aptevo received $0.3 million in deferred payments from Medexus related to IXINITY sales.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Equity Distribution Agreement</w:t>
      </w:r>
    </w:p>
    <w:p>
      <w:pPr>
        <w:spacing w:after="0" w:line="119"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On December 14, 2020, we entered into an Equity Distribution Agreement with Piper Sandler &amp; Co (Piper Sandler). The Equity Distribution Agreement provides that, upon the terms and subject to the conditions set forth therein, we may issue and sell through Piper Sandler, acting as sales agent, shares of our common stock having an aggregate offering price of up to $50 million. We have no obligation to sell any such shares under the Equity Distribution Agreement. The sale of the shares of our common stock by Piper Sandler, if any, will be effected pursuant to a Registration Statement on Form S-3 which we filed on December 14, 2020. In the six months ended June 30, 2022, the Company issued 78,285 shares of common stock under the Equity Distribution Agreement. We received $0.4 million in proceeds from issuance of these shares. We did not issue any shares under the Equity Distribution Agreement in the three or six months ended June 30, 2021.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1" w:name="page22"/>
    <w:bookmarkEnd w:id="21"/>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The Equity Distribution Agreement will terminate upon the issuance and sale of all shares under the Equity Distribution Agreement or upon the earlier termination thereof at any time by us or Piper Sandler upon notice to the other party.</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Registration Statement</w:t>
      </w:r>
    </w:p>
    <w:p>
      <w:pPr>
        <w:spacing w:after="0" w:line="119" w:lineRule="exact"/>
        <w:rPr>
          <w:sz w:val="20"/>
          <w:szCs w:val="20"/>
          <w:color w:val="auto"/>
        </w:rPr>
      </w:pPr>
    </w:p>
    <w:p>
      <w:pPr>
        <w:jc w:val="both"/>
        <w:ind w:firstLine="510"/>
        <w:spacing w:after="0" w:line="253" w:lineRule="auto"/>
        <w:rPr>
          <w:sz w:val="20"/>
          <w:szCs w:val="20"/>
          <w:color w:val="auto"/>
        </w:rPr>
      </w:pPr>
      <w:r>
        <w:rPr>
          <w:rFonts w:ascii="Times New Roman" w:cs="Times New Roman" w:eastAsia="Times New Roman" w:hAnsi="Times New Roman"/>
          <w:sz w:val="18"/>
          <w:szCs w:val="18"/>
          <w:color w:val="auto"/>
        </w:rPr>
        <w:t>On December 14, 2020, we filed a Registration Statement on Form S-3 covering the offering, issuance, and sale up to $200 million in common stock, preferred stock, and various series of debt securities and/or warrants to purchase any of such securities, which included the unsold securities from the Prior Registration Statement. On March 29, 2022, we filed an amendment to the prospectus supplement to the Registration Statement on Form S-3 filed on December 14, 2020 pursuant to General Instruction I.B.6 of Form S-3 (General Instruction I.B.6), which updates the amount of shares that we are eligible to sell under the Equity Distribution Agreement. So long as the aggregate market value of our common stock held by non-affiliates is less than $75 million, we will not sell shares under the Equity Distribution Agreement with a value of more than one-third of the aggregate market value of our common stock held by non-affiliates in any 12-month period due to the limitations of General Instruction I.B.6 of Form S-3 and the current public float of our common stock. If our public float increases such that we may sell additional amounts under the Equity Distribution Agreement and the prospectus, we will file another amendment to the prospectus supplement prior to making additional sales. The limitations of General Instruction I.B.6 do not apply to sales of our shares under our Purchase Agreement with Lincoln Park Financial LLC as those sales were committed prior to us being subject to the limitations of General Instruction I.B.6.</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Lincoln Park Purchase Agreement</w:t>
      </w:r>
    </w:p>
    <w:p>
      <w:pPr>
        <w:spacing w:after="0" w:line="241"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On February 16, 2022, we entered into a new Purchase Agreement and a Registration Rights Agreement with Lincoln Park. The 2022 Purchase Agreement and Registration Rights Agreement replaced our 2018 Purchase Agreement and Registration Rights Agreement with Lincoln Park. Under the 2022 Purchase Agreement, Lincoln Park committed to purchase up to $35.0 million worth of our common stock over a 36-month period commencing after the satisfaction of certain conditions, which are within our control, as set forth in the Purchase Agreement. The purchase price per share will be based on prevailing market price; provided, however, that the prevailing market price is not below $1.00. The Company issued 99,276 shares of our common stock to Lincoln Park for no cash consideration as an initial fee for its commitment to purchase shares of our common stock under the Purchase Agreement. The Company did not issue any shares of common stock for cash consideration to Lincoln Park under the Purchase Agreement in the six months ended June 30, 2022.</w:t>
      </w:r>
    </w:p>
    <w:p>
      <w:pPr>
        <w:spacing w:after="0" w:line="84"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Actual sales of shares of our common stock to Lincoln Park under the Purchase Agreement will occur at our discretion from time to time and depend on a variety of factors, including, among others, market conditions, the trading price of our common stock and additional determinations as to the appropriate sources of funding for our operations. Lincoln Park has no right to require any sales, but is obligated to make purchases as we direct, in accordance with the Purchase Agreement.</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Warrants</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March 11, 2019, we completed a public offering of common stock and warrants, as follows:</w:t>
      </w:r>
    </w:p>
    <w:p>
      <w:pPr>
        <w:spacing w:after="0" w:line="117" w:lineRule="exact"/>
        <w:rPr>
          <w:sz w:val="20"/>
          <w:szCs w:val="20"/>
          <w:color w:val="auto"/>
        </w:rPr>
      </w:pPr>
    </w:p>
    <w:p>
      <w:pPr>
        <w:ind w:left="1000" w:hanging="493"/>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combined public offering price of $14.00 per share of common stock and related warrants, 1,417,857 shares of common stock and related warrants with a 5-year life to purchase up to 1,417,857 shares of common stock at an exercise price of $18.20 per share,</w:t>
      </w:r>
    </w:p>
    <w:p>
      <w:pPr>
        <w:spacing w:after="0" w:line="67" w:lineRule="exact"/>
        <w:rPr>
          <w:rFonts w:ascii="Times New Roman" w:cs="Times New Roman" w:eastAsia="Times New Roman" w:hAnsi="Times New Roman"/>
          <w:sz w:val="18"/>
          <w:szCs w:val="18"/>
          <w:color w:val="auto"/>
        </w:rPr>
      </w:pPr>
    </w:p>
    <w:p>
      <w:pPr>
        <w:jc w:val="both"/>
        <w:ind w:left="1000" w:hanging="493"/>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combined public offering price of $13.86 per pre-funded warrant and related warrant, pre-funded warrants with a 10-year life to purchase up to 153,571 shares of common stock at an exercise price of $0.14 per share and related warrants with a 5-year life to purchase up to 153,571 shares of common stock at an exercise price of $18.20 per share. These pre-funded warrants were exercised on March 21, 2019.</w:t>
      </w:r>
    </w:p>
    <w:p>
      <w:pPr>
        <w:spacing w:after="0" w:line="68"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2022, the Company did not have any of its warrants exercised. For the six months ended June 30, 2021, certain holders of the Company’s warrants exercised warrants with strike price of $18.20 per share, resulting in the issuance of 54,105 shares of the Company’s common stock and aggregate proceeds to the Company of approximately $1.0 million. As of June 30, 2022 and 2021, there were warrants to purchase 350,589 shares of common stock outstanding.</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We have financed our operations to date primarily through revenue generated from our commercial products, the Royalty Purchase Agreement with HCR, royalty payments from Pfizer, deferred payments from Medexus, the sale of our hyperimmune products business in September 2017, the sale of Aptevo BioTherapeutics on February 28, 2020, public offerings of our common stock, loan proceeds, milestone payments, research and development funding from strategic partners, and funds received at the date of our spin-off from Emergent. We had cash and cash equivalents of $29.4 million, restricted cash of $0.5 million and an accumulated deficit of $193.8 million as of June 30, 2022.</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six months ended June 30, 2022, net cash used in our operating activities was $8.2 million.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2" w:name="page23"/>
    <w:bookmarkEnd w:id="22"/>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Our future success is dependent on our ability to develop our product candidates and ultimately upon our ability to attain profitable operations. We anticipate that we will continue to incur significant operating losses for the next several years as we incur expenses to continue to execute on our development strategy to advance our preclinical and clinical stage assets. We will not generate revenues from our development stage product candidates unless and/or until we or our collaborators successfully complete development and obtain regulatory approval for such product candidates, which we expect will take a number of years and is subject to significant uncertainty. If we obtain regulatory approval for one of our development stage product candidates, we expect to incur significant commercialization expenses related to sales, marketing, manufacturing and distribution, to the extent that such costs are not paid by collaborators. We do not have sufficient cash to complete the clinical development of any of our development stage product candidates and will require additional funding in order to complete the development activities required for regulatory approval of such product candidates. We will require substantial additional funds to continue our development programs and to fulfill our planned operating goals.</w:t>
      </w:r>
    </w:p>
    <w:p>
      <w:pPr>
        <w:spacing w:after="0" w:line="80" w:lineRule="exact"/>
        <w:rPr>
          <w:sz w:val="20"/>
          <w:szCs w:val="20"/>
          <w:color w:val="auto"/>
        </w:rPr>
      </w:pPr>
    </w:p>
    <w:p>
      <w:pPr>
        <w:jc w:val="both"/>
        <w:ind w:firstLine="510"/>
        <w:spacing w:after="0" w:line="253" w:lineRule="auto"/>
        <w:rPr>
          <w:sz w:val="20"/>
          <w:szCs w:val="20"/>
          <w:color w:val="auto"/>
        </w:rPr>
      </w:pPr>
      <w:r>
        <w:rPr>
          <w:rFonts w:ascii="Times New Roman" w:cs="Times New Roman" w:eastAsia="Times New Roman" w:hAnsi="Times New Roman"/>
          <w:sz w:val="18"/>
          <w:szCs w:val="18"/>
          <w:color w:val="auto"/>
        </w:rPr>
        <w:t>Due to the ongoing COVID-19 pandemic and macroeconomic environment, we may experience delays in opportunities to partner our product candidates, due to financial and other impacts on potential partners. Additionally, we may experience potential impacts on our future deferred payments and milestones from Medexus due to effects of macroeconomic impacts, including, but not limited to, the ongoing COVID-19 pandemic, and rising inflation, which may impact Medexus’ ability to continue to successfully commercialize the IXINITY businesses. Additionally, we may experience potential impacts on our future milestones, which are based on global net sales of RUXIENCE, from HCR due to the effects of the ongoing COVID-19 pandemic and macroeconomic environment, which may impact Pfizer’s ability to continue to successfully commercialize the RUXIENCE business. We believe that our existing cash resources, milestone payments related to the Royalty Purchase Agreement with HCR, funds available under Purchase Agreement with Lincoln Park and the Equity Distribution Agreement with Piper Sandler, cash to be generated from future deferred payments and milestones related to IXINITY sales and approvals by Medexus, and release of restricted cash securing letters of credit, will be sufficient to meet our projected operating requirements and debt service for at least twelve months from the date of filing this Quarterly Report on Form 10-Q.</w:t>
      </w:r>
    </w:p>
    <w:p>
      <w:pPr>
        <w:spacing w:after="0" w:line="86"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There are numerous risks and uncertainties associated with research, development, and commercialization of pharmaceutical products. Accordingly, our future funding requirements may vary from our current expectations and will depend on many factors, including, but not limited to:</w:t>
      </w:r>
    </w:p>
    <w:p>
      <w:pPr>
        <w:spacing w:after="0" w:line="54" w:lineRule="exact"/>
        <w:rPr>
          <w:sz w:val="20"/>
          <w:szCs w:val="20"/>
          <w:color w:val="auto"/>
        </w:rPr>
      </w:pPr>
    </w:p>
    <w:p>
      <w:pPr>
        <w:ind w:left="1000" w:hanging="493"/>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partnerships, licensing or other arrangements and the financial terms of such agreements;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the product candidates we pursue;</w:t>
      </w:r>
    </w:p>
    <w:p>
      <w:pPr>
        <w:spacing w:after="0" w:line="144" w:lineRule="exact"/>
        <w:rPr>
          <w:rFonts w:ascii="Times New Roman" w:cs="Times New Roman" w:eastAsia="Times New Roman" w:hAnsi="Times New Roman"/>
          <w:sz w:val="18"/>
          <w:szCs w:val="18"/>
          <w:color w:val="auto"/>
        </w:rPr>
      </w:pPr>
    </w:p>
    <w:p>
      <w:pPr>
        <w:ind w:left="1000" w:right="20" w:hanging="493"/>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product candidates, and of conducting preclinical and clinical trials, including whether clinical trial results will be consistent with the past data;</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clearance to commence clinical trials for product candidates;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completing our clinical trials, and obtaining regulatory approvals for our product candidates;</w:t>
      </w:r>
    </w:p>
    <w:p>
      <w:pPr>
        <w:spacing w:after="0" w:line="144"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defending and enforcing patent claims, including litigation costs and the outcome of such litigation;</w:t>
      </w:r>
    </w:p>
    <w:p>
      <w:pPr>
        <w:spacing w:after="0" w:line="53"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if any of our product candidates are approved for sale, including marketing, sales, and distribution costs;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and any products we successfully commercialize;</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attracting and retaining skilled personnel;</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to what extent future milestones are received under our Royalty Purchase Agreement with HCR;</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any milestone payments and deferred payments from Medexus with respect to IXINITY.</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we are unable to raise substantial additional capital in the next year, whether on terms that are acceptable to us or at all, then we may be required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99" w:lineRule="exact"/>
        <w:rPr>
          <w:sz w:val="20"/>
          <w:szCs w:val="20"/>
          <w:color w:val="auto"/>
        </w:rPr>
      </w:pPr>
    </w:p>
    <w:p>
      <w:pPr>
        <w:ind w:left="1000" w:hanging="493"/>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limit, reduce or terminate our clinical trials or other development activities for one or more of our product candidates; and/or,</w:t>
      </w:r>
    </w:p>
    <w:p>
      <w:pPr>
        <w:spacing w:after="0" w:line="144" w:lineRule="exact"/>
        <w:rPr>
          <w:rFonts w:ascii="Times New Roman" w:cs="Times New Roman" w:eastAsia="Times New Roman" w:hAnsi="Times New Roman"/>
          <w:sz w:val="18"/>
          <w:szCs w:val="18"/>
          <w:color w:val="auto"/>
        </w:rPr>
      </w:pPr>
    </w:p>
    <w:p>
      <w:pPr>
        <w:ind w:left="1000" w:right="20" w:hanging="493"/>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limit, reduce or terminate our establishment of other activities that may be necessary to commercialize our product candidates, if approved.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3" w:name="page24"/>
    <w:bookmarkEnd w:id="23"/>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The sale of additional equity or convertible debt securities may result in additional dilution to our stockholders. If we raise additional funds through the issuance of debt securities or preferred stock or through credit facilities, these securities and/or the loans under credit facilities could provide for rights senior to those of our common stock and could contain covenants that would restrict our operations. Additional funds may not be available when we need them, on terms that are acceptable to us, or at all. We also expect to seek additional funds through arrangements with collaborators, licensees or other third parties. These arrangements would generally require us to relinquish or encumber rights to some of our technologies or drug candidates, and we may not be able to enter into such arrangements on acceptable terms, if at all. Due to the ongoing COVID-19 pandemic, we may experience delays in clinical trials and non-clinical work, and opportunities to partner our product candidates, due to financial and other impacts on potential partners.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21"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We have an operating lease related to our office and laboratory space in Seattle, Washington. This lease was amended in March 2019 to extend the term of the amended lease is through April 2030 and provided two options to extend the lease term, each by five years, as well as a one-time option to terminate the lease in April 2023, with nine months’ notice, or by July 2022. On May 26, 2022, we further amended our office and laboratory lease to remove the one-time termination option in April 2023. In exchange for removing the termination option, we received six months of free rent. As a result, we recorded additional $4.4 million of lease liability and right-of-use asset on the consolidated balance sheet on the date of the amendment.</w:t>
      </w:r>
    </w:p>
    <w:p>
      <w:pPr>
        <w:spacing w:after="0" w:line="68" w:lineRule="exact"/>
        <w:rPr>
          <w:sz w:val="20"/>
          <w:szCs w:val="20"/>
          <w:color w:val="auto"/>
        </w:rPr>
      </w:pPr>
    </w:p>
    <w:p>
      <w:pPr>
        <w:jc w:val="both"/>
        <w:ind w:firstLine="510"/>
        <w:spacing w:after="0" w:line="253" w:lineRule="auto"/>
        <w:rPr>
          <w:sz w:val="20"/>
          <w:szCs w:val="20"/>
          <w:color w:val="auto"/>
        </w:rPr>
      </w:pPr>
      <w:r>
        <w:rPr>
          <w:rFonts w:ascii="Times New Roman" w:cs="Times New Roman" w:eastAsia="Times New Roman" w:hAnsi="Times New Roman"/>
          <w:sz w:val="18"/>
          <w:szCs w:val="18"/>
          <w:color w:val="auto"/>
        </w:rPr>
        <w:t>On August 5, 2020, we entered into a new Credit Agreement, with MidCap Financial. The Credit Agreement provided us with up to $25 million of available borrowing capacity. The MidCap Financial loan has a 48 month term, is interest-only for the first 18 months, with straight-line amortization for the remaining 30 months and bears interest at a rate of one month LIBOR plus 6.25% per annum, subject to a 1.50% LIBOR floor and a 2.50% LIBOR cap. On March 30, 2021, we amended our Credit Agreement with MidCap Financial and used $10 million of the proceeds received from the Royalty Purchase Agreement with HCR to pay down the outstanding principal under this agreement from $25 million to $15 million. Additionally, the Company used the $10 million milestone payment received on March 8, 2022, pursuant to our Royalty Purchase Agreement with HCR to further pay down the outstanding principal down to $5 million. The Company’s Credit Agreement currently references LIBOR. The United Kingdom’s Financial Conduct Authority (FCA), which regulates LIBOR, phased out one-week and two-month US Dollar LIBOR settings on December 31, 2021. All other US Dollar LIBOR settings, including the overnight, one-month, three-month, six-month and twelve-month, will be phased out on June 30, 2023. Our Credit Agreement with MidCap Financial currently references one-month LIBOR and also provides that we may amend the Credit Agreement to reflect an alternative rate of interest upon the phase out of LIBOR.</w:t>
      </w:r>
    </w:p>
    <w:p>
      <w:pPr>
        <w:spacing w:after="0" w:line="84"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On June 7, 2022, the Company further amended its Credit Agreement with MidCap Financial to obtain MidCap Financial’s limited consent to amend its Royalty Purchase Agreement with HCR. The Limited Consent and Second Amendment to Credit Agreement did not change future cash flows or other terms of the Credit Agreement.</w:t>
      </w:r>
    </w:p>
    <w:p>
      <w:pPr>
        <w:spacing w:after="0" w:line="68"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Our principal commitments include obligations under vendor contracts to purchase research services and other purchase commitments with our vendors. In the normal course of business, we enter into services agreements with contract research organizations, contract manufacturing organizations and other third parties. Generally, these agreements provide for termination upon notice, with specified amounts due upon termination based on the timing of termination and the terms of the agreement. The actual amounts and timing of payments under these agreements are uncertain and contingent upon the initiation and completion of the services to be provided.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As of June 30, 2022, there were no material changes to the information provided under Item 7A, Quantitative and Qualitative Disclosures About Market Risk in our Annual Report on Form 10-K for the year ended December 31, 2021 filed on March 24,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Evaluation of Disclosure Controls and Procedures</w:t>
      </w:r>
    </w:p>
    <w:p>
      <w:pPr>
        <w:spacing w:after="0" w:line="121"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As of June 30, 2022, management, with the participation of our Chief Executive Officer and Chief Financial Officer, performed an evaluation of the effectiveness of the design and operation of our disclosure controls and procedures as defined in Rules 13a-15(e) and 15d-15(e) of the Exchange Act. Based on this evaluation, our Chief Executive Officer and Chief Financial Officer concluded that, as of June 30, 2022, the design and operation of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Changes in Internal Control Over Financial Reporting</w:t>
      </w:r>
    </w:p>
    <w:p>
      <w:pPr>
        <w:spacing w:after="0" w:line="121"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during the quarter ended June 30, 2022, that have materially affected, or are reasonably likely to materially affect, our internal control over financial reporting.</w:t>
      </w:r>
    </w:p>
    <w:p>
      <w:pPr>
        <w:spacing w:after="0" w:line="68"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We may from time to time be named as a party to legal claims, actions and complaints, including matters involving employment claims, our intellectual property or other third-party claims. Our management believes that there are currently no claims or actions pending against us, the ultimate disposition of which could have a material adverse effect on our results of operations, financial condition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i w:val="1"/>
          <w:iCs w:val="1"/>
          <w:color w:val="auto"/>
        </w:rPr>
        <w:t>We are subject to significant risks and uncertainties that could impact the Company’s businesses, results of operations and financial condition, including by causing our actual results to differ materially from those projected in any forward-looking statements. Additional risks and uncertainties that are not currently known to the Company or management or that are not currently believed by the Company or management to be material may also harm the Company’s business, financial condition and results of operation. You should carefully consider the following risks and other information in this Quarterly Report on Form 10-Q in evaluating us and our common stock.</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the material risks to our business, operations, and ownership of our common stock:</w:t>
      </w:r>
    </w:p>
    <w:p>
      <w:pPr>
        <w:spacing w:after="0" w:line="117" w:lineRule="exact"/>
        <w:rPr>
          <w:sz w:val="20"/>
          <w:szCs w:val="20"/>
          <w:color w:val="auto"/>
        </w:rPr>
      </w:pPr>
    </w:p>
    <w:p>
      <w:pPr>
        <w:ind w:left="1000" w:hanging="493"/>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may not be profitable in the future.</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additional capital and may be unable to raise capital when needed or on acceptable terms.</w:t>
      </w:r>
    </w:p>
    <w:p>
      <w:pPr>
        <w:spacing w:after="0" w:line="144" w:lineRule="exact"/>
        <w:rPr>
          <w:rFonts w:ascii="Times New Roman" w:cs="Times New Roman" w:eastAsia="Times New Roman" w:hAnsi="Times New Roman"/>
          <w:sz w:val="18"/>
          <w:szCs w:val="18"/>
          <w:color w:val="auto"/>
        </w:rPr>
      </w:pPr>
    </w:p>
    <w:p>
      <w:pPr>
        <w:jc w:val="both"/>
        <w:ind w:left="1000" w:hanging="493"/>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cash flow will depend, in part, on the ability of Pfizer to successfully sell RUXIENCE and our receipt of milestone payments from HCR in connection therewith. If Pfizer is unable, or does not devote sufficient resources, to maintain or continue increasing sales of RUXIENCE, or if HCR does not comply with the Royalty Purchase Agreement, our results of operations will be adversely affected.</w:t>
      </w:r>
    </w:p>
    <w:p>
      <w:pPr>
        <w:spacing w:after="0" w:line="67" w:lineRule="exact"/>
        <w:rPr>
          <w:rFonts w:ascii="Times New Roman" w:cs="Times New Roman" w:eastAsia="Times New Roman" w:hAnsi="Times New Roman"/>
          <w:sz w:val="18"/>
          <w:szCs w:val="18"/>
          <w:color w:val="auto"/>
        </w:rPr>
      </w:pPr>
    </w:p>
    <w:p>
      <w:pPr>
        <w:ind w:left="1000" w:right="20" w:hanging="493"/>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macroeconomic conditions and the ongoing COVID-19 pandemic, including the continued identification of new variants of the COVID-19 virus, could adversely impact our business, including our clinical trials.</w:t>
      </w:r>
    </w:p>
    <w:p>
      <w:pPr>
        <w:spacing w:after="0" w:line="53"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credit agreement may restrict the operation of our business and limit the cash available for investment in our business operations.</w:t>
      </w:r>
    </w:p>
    <w:p>
      <w:pPr>
        <w:spacing w:after="0" w:line="53"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commencement, enrollment of patients or completion of our clinical trials, the time to reach critical trial data and receipt of any necessary regulatory approvals could be delayed.</w:t>
      </w:r>
    </w:p>
    <w:p>
      <w:pPr>
        <w:spacing w:after="0" w:line="53" w:lineRule="exact"/>
        <w:rPr>
          <w:rFonts w:ascii="Times New Roman" w:cs="Times New Roman" w:eastAsia="Times New Roman" w:hAnsi="Times New Roman"/>
          <w:sz w:val="18"/>
          <w:szCs w:val="18"/>
          <w:color w:val="auto"/>
        </w:rPr>
      </w:pPr>
    </w:p>
    <w:p>
      <w:pPr>
        <w:jc w:val="both"/>
        <w:ind w:left="1000" w:hanging="493"/>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current and planned preclinical studies and clinical trials may not satisfy the requirements of the FDA or non-U.S. regulatory authorities. Results from early-preclinical studies and clinical trials may not be predictive of results from later-stage or other trials and interim or top line data may be subject to change or qualification based on the complete analysis of data.</w:t>
      </w:r>
    </w:p>
    <w:p>
      <w:pPr>
        <w:spacing w:after="0" w:line="67" w:lineRule="exact"/>
        <w:rPr>
          <w:rFonts w:ascii="Times New Roman" w:cs="Times New Roman" w:eastAsia="Times New Roman" w:hAnsi="Times New Roman"/>
          <w:sz w:val="18"/>
          <w:szCs w:val="18"/>
          <w:color w:val="auto"/>
        </w:rPr>
      </w:pPr>
    </w:p>
    <w:p>
      <w:pPr>
        <w:jc w:val="both"/>
        <w:ind w:left="1000" w:hanging="493"/>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adverse events, undesirable side effects or other unexpected properties of our product candidates may be identified that could delay, prevent, or cause the withdrawal of regulatory approval, limit the commercial potential, or result in significant negative consequences following marketing approval.</w:t>
      </w:r>
    </w:p>
    <w:p>
      <w:pPr>
        <w:spacing w:after="0" w:line="67" w:lineRule="exact"/>
        <w:rPr>
          <w:rFonts w:ascii="Times New Roman" w:cs="Times New Roman" w:eastAsia="Times New Roman" w:hAnsi="Times New Roman"/>
          <w:sz w:val="18"/>
          <w:szCs w:val="18"/>
          <w:color w:val="auto"/>
        </w:rPr>
      </w:pPr>
    </w:p>
    <w:p>
      <w:pPr>
        <w:jc w:val="both"/>
        <w:ind w:left="1000" w:hanging="493"/>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 parties to conduct our clinical and non-clinical trials. If these third parties do not effectively carry out their contractual duties, comply with regulatory requirements or meet expected deadlines, we may not be able to obtain regulatory approval for or commercialize our product candidates and our business could be substantially harmed.</w:t>
      </w:r>
    </w:p>
    <w:p>
      <w:pPr>
        <w:spacing w:after="0" w:line="67" w:lineRule="exact"/>
        <w:rPr>
          <w:rFonts w:ascii="Times New Roman" w:cs="Times New Roman" w:eastAsia="Times New Roman" w:hAnsi="Times New Roman"/>
          <w:sz w:val="18"/>
          <w:szCs w:val="18"/>
          <w:color w:val="auto"/>
        </w:rPr>
      </w:pPr>
    </w:p>
    <w:p>
      <w:pPr>
        <w:ind w:left="1000" w:right="20" w:hanging="493"/>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revenues and execute on our long-term strategy depends heavily on our ability to discover, develop, and obtain marketing approval for our product candidates.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use and further develop our ADAPTIR or ADAPTIR-FLEX platforms.</w:t>
      </w:r>
    </w:p>
    <w:p>
      <w:pPr>
        <w:spacing w:after="0" w:line="144"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success depends, in part, upon our ability to develop, receive regulatory approval for and commercialize our product candidates.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our intellectual proprietary rights, our business could be harmed.</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may be volatile.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 w:name="page27"/>
    <w:bookmarkEnd w:id="26"/>
    <w:p>
      <w:pPr>
        <w:jc w:val="both"/>
        <w:ind w:left="1000" w:hanging="493"/>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may be at risk for delisting from the Nasdaq Capital Market in the future if we do not maintain compliance with NASDAQ’s continued listing requirements. Delisting could adversely affect the liquidity of our common stock and the market price of our common stock could decrease.</w:t>
      </w:r>
    </w:p>
    <w:p>
      <w:pPr>
        <w:spacing w:after="0" w:line="6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periodic litigation, which could result in losses or unexpected expenditure of time and resources.</w:t>
      </w:r>
    </w:p>
    <w:p>
      <w:pPr>
        <w:spacing w:after="0" w:line="144"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activist stockholders against us have been and could be disruptive and costly and may cause uncertainty about the strategic direction of our business.</w:t>
      </w:r>
    </w:p>
    <w:p>
      <w:pPr>
        <w:spacing w:after="0" w:line="53"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income will depend, in part, on the ability of Medexus to successfully further develop, market and commercialize IXINITY, resulting in milestone payments and deferred payments to the Company by Medexus.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may not be profitable in the future.</w:t>
      </w:r>
    </w:p>
    <w:p>
      <w:pPr>
        <w:spacing w:after="0" w:line="121" w:lineRule="exact"/>
        <w:rPr>
          <w:sz w:val="20"/>
          <w:szCs w:val="20"/>
          <w:color w:val="auto"/>
        </w:rPr>
      </w:pPr>
    </w:p>
    <w:p>
      <w:pPr>
        <w:jc w:val="both"/>
        <w:ind w:firstLine="510"/>
        <w:spacing w:after="0" w:line="253" w:lineRule="auto"/>
        <w:rPr>
          <w:sz w:val="20"/>
          <w:szCs w:val="20"/>
          <w:color w:val="auto"/>
        </w:rPr>
      </w:pPr>
      <w:r>
        <w:rPr>
          <w:rFonts w:ascii="Times New Roman" w:cs="Times New Roman" w:eastAsia="Times New Roman" w:hAnsi="Times New Roman"/>
          <w:sz w:val="18"/>
          <w:szCs w:val="18"/>
          <w:color w:val="auto"/>
        </w:rPr>
        <w:t>We have experienced significant operating losses in the past. For the six months ended June 30, 2022, we had net income of $20.3 million compared to $15.2 million net loss for the same period in 2021. The net income for the six months ended June 30, 2022 was due to a one-time $37.2 million gain recognized as a result of Amendment to Royalty Purchase Agreement with HCR. As of June 30, 2022, we had an accumulated deficit of $193.8 million. We expect to continue to incur annual net operating losses for the foreseeable future, and will require substantial resources over the next several years as we expand our efforts to discover, develop and commercialize immunotherapeutic candidates. While we believe our existing cash and cash equivalents and the funding provided by our IXINITY deferred payment streams, the ability to receive Milestone Amounts under the Royalty Purchase Agreement with HCR, access to credit under the Credit Agreement with MidCap Financial, our ability to issue securities under the Equity Distribution Agreement with Piper Sandler and our Purchase Agreement with Lincoln Park Capital, and exercises of warrants will provide us with sufficient liquidity to meet our cash requirements through at least next twelve months, our future success and ability to attain profitability will depend upon our ability to develop and take to market our product candidates.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require additional capital and may be unable to raise capital when needed or on acceptable terms.</w:t>
      </w:r>
    </w:p>
    <w:p>
      <w:pPr>
        <w:spacing w:after="0" w:line="121"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As of June 30, 2022, we had cash, cash equivalents, and restricted cash in the amount of $30.0 million. We will require additional funding to grow our business including to support the ongoing clinical development of APVO436, develop additional products, support commercial marketing activities or otherwise provide additional financial flexibility. If we are not able to secure adequate additional funding, we may need to make reductions in spending. This may include extending payment terms with suppliers, liquidating assets, and suspending or curtailing planned programs. We may also have to delay, reduce the scope of, suspend or eliminate one or more research and development programs. A failure to raise the additional funding or to effectively implement cost reductions could harm our business, results of operations and future prospects. Our future capital requirements will depend on many factors, including:</w:t>
      </w:r>
    </w:p>
    <w:p>
      <w:pPr>
        <w:spacing w:after="0" w:line="81" w:lineRule="exact"/>
        <w:rPr>
          <w:sz w:val="20"/>
          <w:szCs w:val="20"/>
          <w:color w:val="auto"/>
        </w:rPr>
      </w:pPr>
    </w:p>
    <w:p>
      <w:pPr>
        <w:ind w:left="1000" w:hanging="493"/>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timing and receipt of any milestone or deferred payments under our agreement with Medexus with respect to the sales of IXINITY;</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to what extent future milestone payments are received under our Amendment to Royalty Purchase Agreement with HCR;</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invest in products or technologies;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satisfy the payment obligations and covenants under any future indebtedness;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secure partnerships and/or collaborations that generate additional cash;</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improvements to our facilities;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our development activities;</w:t>
      </w:r>
    </w:p>
    <w:p>
      <w:pPr>
        <w:spacing w:after="0" w:line="144" w:lineRule="exact"/>
        <w:rPr>
          <w:rFonts w:ascii="Times New Roman" w:cs="Times New Roman" w:eastAsia="Times New Roman" w:hAnsi="Times New Roman"/>
          <w:sz w:val="18"/>
          <w:szCs w:val="18"/>
          <w:color w:val="auto"/>
        </w:rPr>
      </w:pPr>
    </w:p>
    <w:p>
      <w:pPr>
        <w:ind w:left="1000" w:right="20" w:hanging="493"/>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development costs, timing, and other requirements to complete dosing of Phase 1b clinical trial for APVO436, as well as future clinical trials; and</w:t>
      </w:r>
    </w:p>
    <w:p>
      <w:pPr>
        <w:spacing w:after="0" w:line="53"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preparing, filing and prosecuting patent applications, obtaining, maintaining, enforcing and protecting our intellectual property rights and defending intellectual property-related claims.</w:t>
      </w:r>
    </w:p>
    <w:p>
      <w:pPr>
        <w:spacing w:after="0" w:line="54"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If our capital resources are insufficient to meet our future capital requirements, we will need to finance our cash needs through bank loans, public or private equity or debt offerings, collaboration and licensing arrangements, or other strategic transactions. Our ability to raise future capital on acceptable terms or at all will be impacted by the macroeconomic environment, including rising interest rates and volatility in the capital market. Future issuances of common stock may include, but not be limited to, (i) any sale of up to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7" w:name="page28"/>
    <w:bookmarkEnd w:id="27"/>
    <w:p>
      <w:pPr>
        <w:jc w:val="both"/>
        <w:spacing w:after="0" w:line="259" w:lineRule="auto"/>
        <w:rPr>
          <w:sz w:val="20"/>
          <w:szCs w:val="20"/>
          <w:color w:val="auto"/>
        </w:rPr>
      </w:pPr>
      <w:r>
        <w:rPr>
          <w:rFonts w:ascii="Times New Roman" w:cs="Times New Roman" w:eastAsia="Times New Roman" w:hAnsi="Times New Roman"/>
          <w:sz w:val="18"/>
          <w:szCs w:val="18"/>
          <w:color w:val="auto"/>
        </w:rPr>
        <w:t>remaining $50.0 million worth of shares of our common stock pursuant to our Equity Distribution Agreement with Piper Sandler, (ii) any sale of up to $35 million worth of shares of our common stock to issue from our Purchase Agreement with Lincoln Park, (iii) the issuance of up to 350,589 remaining outstanding shares of common stock upon the exercise of warrants issued in connection with our March 2019 public offering of common stock and warrants or (iv) the issuance of common stock in a firm commitment offering. Public or bank debt financing, if available, may involve agreements that include covenants limiting or restricting our ability to take specific actions, such as incurring additional debt, making capital expenditures, pursuing acquisition opportunities, or declaring dividends. If we raise funds by issuing equity securities, our stockholders will experience dilution. If we raise funds through collaboration and licensing arrangements with third parties or enter into other strategic transactions, it may be necessary to relinquish valuable rights to our technologies or product candidates or grant licenses on terms that may not be favorable to us.</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Further, SEC regulations limit the amount of funds we can raise during any 12-month period pursuant to our shelf registration statement on Form S-</w:t>
      </w:r>
    </w:p>
    <w:p>
      <w:pPr>
        <w:spacing w:after="0" w:line="27" w:lineRule="exact"/>
        <w:rPr>
          <w:sz w:val="20"/>
          <w:szCs w:val="20"/>
          <w:color w:val="auto"/>
        </w:rPr>
      </w:pPr>
    </w:p>
    <w:p>
      <w:pPr>
        <w:jc w:val="both"/>
        <w:ind w:firstLine="8"/>
        <w:spacing w:after="0" w:line="251" w:lineRule="auto"/>
        <w:tabs>
          <w:tab w:leader="none" w:pos="18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29, 2022, we filed an amendment to the prospectus related to the Registration Statement on Form S-3 filed on December 14, 2020 pursuant to General Instruction I.B.6 of Form S-3 (General Instruction I.B.6), which updates the amount of shares that we are eligible to sell under the Equity Distribution Agreement. So long as the aggregate market value of our common stock held by non-affiliates is less than $75 million, we will not sell shares under the Equity Distribution Agreement with a value of more than one-third of the aggregate market value of our common stock held by non-affiliates in any 12-month period due to the limitations of General Instruction I.B.6 of Form S-3 and the current public float of our common stock. The limitations of General Instruction I.B.6 do not apply to sales of our shares under our Purchase Agreement with Lincoln Park Financial LLC as those sales were committed prior to us being subject to the limitations of General Instruction I.B.6. If we are required to file a new registration statement on another form, we may incur additional costs and be subject to delays in raising capital due to review by SEC staff.</w:t>
      </w:r>
    </w:p>
    <w:p>
      <w:pPr>
        <w:spacing w:after="0" w:line="86"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Current economic conditions, including volatility in the capital markets, rising inflation and interest rates and the impact of the ongoing COVID-19 pandemic, may make it difficult to obtain additional financing on attractive terms, or at all. If financing is unavailable or lost, our business, results of operations, financial condition and financial prospects would be adversely affected and we could be forced to delay, reduce the scope of or eliminate many of our planned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affected by macroeconomic conditions, including rising inflation, interest rates and supply chain constraints.</w:t>
      </w:r>
    </w:p>
    <w:p>
      <w:pPr>
        <w:spacing w:after="0" w:line="121"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Various macroeconomic factors could adversely affect our business and the results of our operations and financial condition, including changes in inflation, interest rates and overall economic conditions and uncertainties such as those resulting from the current and future conditions in the global financial markets. For instance, inflation has negatively impacted the Company by increasing our labor costs, through higher wages and higher interest rates, and operating costs. Recent supply chain constraints have led to higher inflation, which if sustained could have a negative impact on the Company's product development and operations. If inflation or other factors were to significantly increase our business costs, our ability to develop our current pipeline and new therapeutic products may be negatively affected. Interest rates, the liquidity of the credit markets and the volatility of the capital markets could also affect the operation of our business and our ability to raise capital on favorable terms, or at all, in order to fund our operations. Similarly, these macroeconomic factors could affect the ability of our third-party suppliers and manufacturers to manufacture clinical trial materials for our product candidates.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Actions of activist stockholders against us have been and could be disruptive and costly and may cause uncertainty about the strategic direction of our business.</w:t>
      </w:r>
    </w:p>
    <w:p>
      <w:pPr>
        <w:spacing w:after="0" w:line="51"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8"/>
          <w:szCs w:val="18"/>
          <w:color w:val="auto"/>
        </w:rPr>
        <w:t>Stockholders have in the past and may, from time to time, engage in proxy solicitations or advance stockholder proposals, or otherwise attempt to effect changes and assert influence on our board of directors and management. For example, on February 9, 2021, Tang Capital Partners LP, Tang Capital Management, LLC and Kevin Tang (collectively, “Tang”) submitted an advisory stockholder proposal for consideration at our 2021 annual meeting of stockholders to commence a process to sell Aptevo to the highest bidder. Activist campaigns that contest or conflict with our strategic direction or seek changes in the composition of our board of directors or management could have an adverse effect on our operating results and financial condition. A proxy contest would require us to incur significant legal and advisory fees, proxy solicitation expenses and administrative and associated costs and require significant time and attention by our board of directors and management, diverting their attention from the pursuit of our business strategy. Any perceived uncertainties as to our future direction and control, our ability to execute on our strategy, or changes to the composition of our board of directors or senior management team arising from a proxy contest could lead to the perception of a change in the direction of our business or instability which may result in the loss of potential business opportunities, make it more difficult to pursue our strategic initiatives, or limit our ability to attract and retain qualified personnel and business partners, any of which could adversely affect our business and operating results. If individuals are ultimately elected to our board of directors with a specific agenda, it may adversely affect our ability to effectively implement our business strategy and create additional value for our stockholders. We may choose to initiate, or may become subject to, litigation as a result of a proxy contest or matters arising from the proxy contest, which would serve as a further distraction to our board of directors and management and would require us to incur significant additional costs. In addition, actions such as those described above could cause significant fluctuations in our stock price based upon temporary or speculative market perceptions or other factors that do not necessarily reflect the underlying fundamentals and prospects of our business.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8" w:name="page29"/>
    <w:bookmarkEnd w:id="2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income will depend, in part, on the ability of Medexus to successfully further develop, market and commercialize IXINITY, resulting in milestone payments and deferred payments to the Company by Medexus.</w:t>
      </w:r>
    </w:p>
    <w:p>
      <w:pPr>
        <w:spacing w:after="0" w:line="51" w:lineRule="exact"/>
        <w:rPr>
          <w:sz w:val="20"/>
          <w:szCs w:val="20"/>
          <w:color w:val="auto"/>
        </w:rPr>
      </w:pPr>
    </w:p>
    <w:p>
      <w:pPr>
        <w:jc w:val="both"/>
        <w:ind w:firstLine="510"/>
        <w:spacing w:after="0" w:line="253" w:lineRule="auto"/>
        <w:rPr>
          <w:sz w:val="20"/>
          <w:szCs w:val="20"/>
          <w:color w:val="auto"/>
        </w:rPr>
      </w:pPr>
      <w:r>
        <w:rPr>
          <w:rFonts w:ascii="Times New Roman" w:cs="Times New Roman" w:eastAsia="Times New Roman" w:hAnsi="Times New Roman"/>
          <w:sz w:val="18"/>
          <w:szCs w:val="18"/>
          <w:color w:val="auto"/>
        </w:rPr>
        <w:t>On February 28, 2020, we entered into a Purchase Agreement with Medexus, pursuant to which we sold all of the issued and outstanding limited liability company interests of Aptevo BioTherapeutics, a subsidiary of Aptevo that wholly owns the IXINITY and related Hemophilia B business. We are entitled to receive future potential payments to the extent of the achievement of certain regulatory and commercial milestones and through deferred payments based on net sales of IXINITY. Royalties are earned at the rate of 2% of net revenue through the earlier of June 2022 or completion of the IXINITY pediatric trial being run by Medexus. As of June 30, 2022, royalty rate on net revenue of IXINITY increased to 5%. We no longer control the development, marketing, and commercialization of IXINITY and are dependent on Medexus to successfully do so. Although Medexus has agreed to use commercially reasonable efforts to commercialize IXINITY in the ordinary course of business in good faith, Medexus may not commit adequate resources to the further development, marketing, and commercialization of IXINITY, may experience financial difficulties, may face competition, or may prioritize other products or initiatives. Due to the effect of the ongoing COVID-19 pandemic on the current and future environment for clinical development and regulatory approval, Medexus’ ability to continue to successfully commercialize the IXINITY business may be affected, and we may experience potential impacts on our future deferred payments from Medexus due to the macroeconomic environment and ongoing COVID-19 pandemic. The failure of Medexus to successfully market and commercialize IXINITY, including because of factors outside of Medexus’ control, could result in lower than expected milestone or deferred payments to us and negatively impact our future financial and operating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are unpredictable and may fluctuate.</w:t>
      </w:r>
    </w:p>
    <w:p>
      <w:pPr>
        <w:spacing w:after="0" w:line="121"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Our operating results are difficult to predict and will likely fluctuate from quarter to quarter and year to year, as a result of a variety of factors, including:</w:t>
      </w:r>
    </w:p>
    <w:p>
      <w:pPr>
        <w:spacing w:after="0" w:line="54" w:lineRule="exact"/>
        <w:rPr>
          <w:sz w:val="20"/>
          <w:szCs w:val="20"/>
          <w:color w:val="auto"/>
        </w:rPr>
      </w:pPr>
    </w:p>
    <w:p>
      <w:pPr>
        <w:ind w:left="1000" w:hanging="493"/>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and timing of any milestone or deferred payments with respect to sales of IXINITY by Medexus;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to what extent future milestone payments are received under our Amendment to Royalty Purchase Agreement with HCR;</w:t>
      </w:r>
    </w:p>
    <w:p>
      <w:pPr>
        <w:spacing w:after="0" w:line="117" w:lineRule="exact"/>
        <w:rPr>
          <w:rFonts w:ascii="Times New Roman" w:cs="Times New Roman" w:eastAsia="Times New Roman" w:hAnsi="Times New Roman"/>
          <w:sz w:val="18"/>
          <w:szCs w:val="18"/>
          <w:color w:val="auto"/>
        </w:rPr>
      </w:pPr>
    </w:p>
    <w:p>
      <w:pPr>
        <w:jc w:val="both"/>
        <w:ind w:left="1000" w:hanging="493"/>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payments received from collaboration arrangements and development funding as well as the achievement of development and clinical milestones under collaboration and license agreements that we may enter into from time to time and that may vary significantly from quarter to quarter; and,</w:t>
      </w:r>
    </w:p>
    <w:p>
      <w:pPr>
        <w:spacing w:after="0" w:line="67"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 and level of investment in our research and development and clinical activities as well as expenditures we will or may incur to acquire or develop additional technologies, products and product candidates.</w:t>
      </w:r>
    </w:p>
    <w:p>
      <w:pPr>
        <w:spacing w:after="0" w:line="54"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Due to the ongoing COVID-19 pandemic and macroeconomic environment, we may experience delays in opportunities to partner our product candidates, due to financial and other impacts on potential partners. Additionally, we may experience potential impacts on our future milestone or deferred payments from Medexus, which may impact Medexus’ ability to continue to successfully commercialize the IXINITY businesses. In 2022, we continue to see an impact of the spread of the COVID-19 virus and its variants on our business as some of our clinical sites were at reduced capacity. These and other factors may have a material adverse effect on our business, results of operations and financial condition.</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future cash flow will depend, in part, on the ability of Pfizer to successfully sell RUXIENCE and our receipt of milestone payments from HCR in connection therewith. If Pfizer is unable, or does not devote sufficient resources, to maintain or continue increasing sales of RUXIENCE, or if HCR does not comply with the Royalty Purchase Agreement, our results of operations will be adversely affected.</w:t>
      </w:r>
    </w:p>
    <w:p>
      <w:pPr>
        <w:spacing w:after="0" w:line="67"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On June 25, 2020, we announced that we will receive royalty payments from Pfizer related to sales of a rituximab biosimilar product, RUXIENCE (Rituximab-pvvr), which was approved by the U.S. Food and Drug Administration in July 2019 and launched by Pfizer in the United States and Japan in early 2020, and the European Union in the third quarter of 2020. The payments from Pfizer relate to a Collaboration and License Agreement acquired by us as part of our spin-off from Emergent in 2016, which applies a fixed royalty rate of 2.5% on global net sales. The agreement was originally executed by Trubion Pharmaceuticals (which was subsequently acquired by Emergent) and Wyeth (a wholly-owned subsidiary of Pfizer). The royalty term runs until the seventh anniversary of the first commercial sale of the biosimilar. Although the agreement was terminated in 2012, the royalty obligation thereunder survived.</w:t>
      </w:r>
    </w:p>
    <w:p>
      <w:pPr>
        <w:spacing w:after="0" w:line="81"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On March 30, 2021, we entered into and closed a Royalty Purchase Agreement with HCR (Royalty Purchase Agreement) pursuant to which we sold to HCR the right to receive royalty payments made by Pfizer in respect of net sales of RUXIENCE. Under the terms of the Royalty Purchase Agreement, we received $35 million at closing and we are eligible to receive additional payments in aggregate of up to an additional $32.5 million based on the achievement of sales milestones in 2021, 2022 and 2023. The Company received the 2021 milestone payments in the collective amount of $10 million on March 8, 2022. The proceeds from these milestone payments, net of transaction costs, were recorded as an additional liability related to the sale of royalties on the consolidated balance sheet as of March 31, 2022. The Company is eligible to receive additional payments in the aggregate of up to $22.5 million based on achievement of sales milestones in 2022 and 2023.</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9" w:name="page30"/>
    <w:bookmarkEnd w:id="29"/>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We have no control over the sales of RUXIENCE and are therefore dependent on the efforts and ability of Pfizer to generate net sales of RUXIENCE sufficient for us to receive Milestone Payments under the Royalty Purchase Agreement. The failure of Pfizer to successfully generate such net sales could negatively impact our future financial and operating results and our results of operations could therefore be adversely affected. Additionally, even if Pfizer is able to generate net sales of RUXIENCE sufficient for us to receive such payments, if HCR breaches the Royalty Purchase Agreement (for example, by not making required payments when due, or at all), disputes or litigation may arise. Such disputes or litigation could be time-consuming and expensive and could adversely affect our business.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product liability exposure, which could cause us to incur substantial liabilities and negatively affect our business, financial condition, and results of operations.</w:t>
      </w:r>
    </w:p>
    <w:p>
      <w:pPr>
        <w:spacing w:after="0" w:line="51"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The nature of our business exposes us to potential liability inherent in pharmaceutical products, including with respect to the testing of our product candidates in clinical trials and any product candidates that we successfully develop. Product liability claims might be made by patients in clinical trials, consumers, health care providers or pharmaceutical companies or others that sell any products that we successfully develop. These claims may be made even with respect to those products that are manufactured in licensed and regulated facilities or otherwise receive regulatory approval for study or commercial sale. We cannot predict the frequency, outcome or cost to defend any such claims.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we cannot successfully defend ourselves against future claims that our product candidates caused injuries, we may incur substantial liabilities.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Regardless of merit or eventual outcome, product liability claims may result in:</w:t>
      </w:r>
    </w:p>
    <w:p>
      <w:pPr>
        <w:spacing w:after="0" w:line="99" w:lineRule="exact"/>
        <w:rPr>
          <w:sz w:val="20"/>
          <w:szCs w:val="20"/>
          <w:color w:val="auto"/>
        </w:rPr>
      </w:pPr>
    </w:p>
    <w:p>
      <w:pPr>
        <w:ind w:left="1000" w:hanging="493"/>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and/or injury to our reputation;</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or withdrawal of an approved product;</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commercialize products that we may develop.</w:t>
      </w:r>
    </w:p>
    <w:p>
      <w:pPr>
        <w:spacing w:after="0" w:line="144"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The amount of insurance that we currently hold may not be adequate to cover all liabilities that may occur. Further product liability insurance may be difficult and expensive to obtain. We may not be able to maintain insurance coverage at a reasonable cost and we may not be able to obtain insurance coverage that will be adequate to satisfy all potential liabilities. Claims or losses in excess of our product liability insurance coverage could have a material adverse effect on our business, financial condition, and results of operations. The cost of defending any product liability litigation or other proceeding, even if resolved in our favor, could be substantial. Uncertainties resulting from the initiation and continuation of product liability litigation or other proceedings could have a material adverse effect on our ability to compete in the marketplace. Product liability claims, regardless of merit or eventual outcome, may absorb significant management time and result in reputational harm, potential loss of revenue from decreased demand for any product candidates we successfully develop, withdrawal of clinical trial participants and potential termination of clinical trial sites or entire clinical programs, and could cause our stock price to fall.</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is dependent on our continued ability to attract, motivate and retain key personnel, and any failure to attract or retain key personnel may negatively affect our business.</w:t>
      </w:r>
    </w:p>
    <w:p>
      <w:pPr>
        <w:spacing w:after="0" w:line="51" w:lineRule="exact"/>
        <w:rPr>
          <w:sz w:val="20"/>
          <w:szCs w:val="20"/>
          <w:color w:val="auto"/>
        </w:rPr>
      </w:pPr>
    </w:p>
    <w:p>
      <w:pPr>
        <w:jc w:val="both"/>
        <w:ind w:firstLine="510"/>
        <w:spacing w:after="0" w:line="253" w:lineRule="auto"/>
        <w:rPr>
          <w:sz w:val="20"/>
          <w:szCs w:val="20"/>
          <w:color w:val="auto"/>
        </w:rPr>
      </w:pPr>
      <w:r>
        <w:rPr>
          <w:rFonts w:ascii="Times New Roman" w:cs="Times New Roman" w:eastAsia="Times New Roman" w:hAnsi="Times New Roman"/>
          <w:sz w:val="18"/>
          <w:szCs w:val="18"/>
          <w:color w:val="auto"/>
        </w:rPr>
        <w:t>Because of the specialized scientific nature of our business, our ability to develop products and to compete with our current and future competitors largely depends upon our ability to attract, retain and motivate highly qualified managerial and key scientific and technical personnel. If we are unable to retain the services of one or more of the principal members of senior management, including our Chief Executive Officer, Marvin L. White, our Chief Financial Officer, Jeffrey G. Lamothe, our General Counsel, SoYoung Kwon, our VP of Finance, Daphne Taylor, or other key employees, our ability to implement our business strategy could be materially harmed. We face intense competition for qualified employees from biotechnology and pharmaceutical companies, research organizations and academic institutions. Moreover, we have recently experienced increased levels of attrition. Attracting, retaining or replacing these personnel on acceptable terms may be difficult and time-consuming given the high demand in our industry for similar personnel. We believe part of being able to attract, motivate and retain personnel is our ability to offer a competitive compensation package, including equity incentive awards. If we cannot offer a competitive compensation package or otherwise attract and retain the qualified personnel necessary for the continued development of our business, we may not be able to maintain our operations or grow our business. In addition, we have experienced and may experience an impact on the health of key personnel due to the ongoing COVID-19 pandemic.</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0" w:name="page31"/>
    <w:bookmarkEnd w:id="30"/>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macroeconomic conditions and the ongoing COVID-19 pandemic, including the continued identification of new variants of the COVID-19 virus, could adversely impact our business, including our clinical trials.</w:t>
      </w:r>
    </w:p>
    <w:p>
      <w:pPr>
        <w:spacing w:after="0" w:line="51"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Since March of 2020, a novel strain of coronavirus, COVID-19, has spread through the world, including the United States. The COVID-19 pandemic has caused severe global economic and societal disruptions and uncertainties, and we have experienced disruptions that have impacted our business and clinical trials, including, limitation of company operations, implementing work from home policies and office closures; delays or difficulties in receiving deliveries of critical experimental materials; delays or difficulties in enrolling patients in our clinical trials; delays or difficulties in clinical site initiation, including difficulties in recruiting clinical site investigators and clinical site staff; diversion of healthcare resources away from the conduct of clinical trials, including the diversion of hospitals serving as our clinical trial sites and hospital staff supporting the conduct of our clinical trials; interruption of key clinical trial activities, such as patient enrollment and clinical trial site monitoring; and, limitations in employee resources that would otherwise be focused on our business, including the conduct of our research and development activities and process development activities, due to the illness of employees or their families, or the preference of employees to avoid contact with large groups of people.</w:t>
      </w:r>
    </w:p>
    <w:p>
      <w:pPr>
        <w:spacing w:after="0" w:line="80"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8"/>
          <w:szCs w:val="18"/>
          <w:color w:val="auto"/>
        </w:rPr>
        <w:t>Although many of the restrictions placed to reduce the spread of COVID-19 have been lifted and COVID-19 vaccines are available, we may continue to experience disruptions in the future, or additional disruptions that could severely impact our business, such as delays or difficulties to the financing environment and raising capital due to economic uncertainty; delays in opportunities to partner our product candidates, due to financial and other impacts on potential partners; diversion of healthcare resources away from the conduct of clinical trials, including the diversion of hospitals serving as our clinical trial sites and hospital staff supporting the conduct of our clinical trials; potential impacts on our future deferred payments and milestones from Medexus due to the environment which may impact Medexus’ ability to continue to successfully commercialize the IXINITY business or Pfizer to successfully commercialize RUXIENCE; and negative impacts on suppliers and licensees. The global spread of COVID-19 continues to rapidly evolve, including through the identification of new variants of the virus. The ongoing COVID-19 pandemic may also result in the need to suspend enrollment into studies, patient withdrawals, postponement of preclinical studies, study modification, suspension, or termination, the introduction of remote study procedures and modified informed consent procedures, study site changes, direct delivery of investigational products to patient homes requiring state licensing, study deviations or noncompliance, and changes or delays in site monitoring. The foregoing may require that we consult with relevant review and ethics committees and the FDA or comparable foreign regulatory authorities. The foregoing may also impact the integrity of our study data. The pandemic could further impact our ability to interact with the FDA or other regulatory authorities, and may result in delays in the conduct of inspections or review of pending submissions.</w:t>
      </w:r>
    </w:p>
    <w:p>
      <w:pPr>
        <w:spacing w:after="0" w:line="89"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The ongoing COVID-19 pandemic may further impact our suppliers and manufacturers. If any of our suppliers or manufacturers are adversely impacted by the COVID-19 pandemic, if they cannot obtain the necessary supplies, or if such third parties need to prioritize other products or customers over us, including under the Defense Production Act, we may experience delays or disruptions in our supply chain, which could have a material and adverse impact on our business and development plans. Third party manufacturers may also need to implement measures and changes, or deviate from typical requirements, because of the COVID-19 pandemic that may otherwise adversely impact our supply chains or the quality of the resulting products or supplies. Depending on the change, we may need to obtain FDA pre-approval or otherwise provide FDA with a notification of the change.</w:t>
      </w:r>
    </w:p>
    <w:p>
      <w:pPr>
        <w:spacing w:after="0" w:line="79"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The ongoing COVID-19 pandemic may result in changes in laws, policies, and regulations. By example, due to the potential impact of the COVID-19 pandemic on clinical trials, drug development, and manufacturing, FDA issued guidance several times concerning how sponsors and investigators may address these challenges. FDA’s guidance is continually evolving. By further example, in March 2020, the U.S. Congress passed the Coronavirus Aid, Relief, and Economic Security Act, or CARES Act, which includes various provisions regarding FDA drug shortage reporting requirements, as well as provisions regarding supply chain security, such as risk management plan requirements, and the promotion of supply chain redundancy and domestic manufacturing. This and any future changes in law may require that we change our internal processes and procedures to ensure continued compliance.</w:t>
      </w:r>
    </w:p>
    <w:p>
      <w:pPr>
        <w:spacing w:after="0" w:line="79"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The extent to which the ongoing COVID-19 pandemic may impact our business and clinical trials will depend on future developments, which are highly uncertain and cannot be predicted with confidence.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terms of our credit agreement may restrict the operation of our business and limit the cash available for investment in our business operations.</w:t>
      </w:r>
    </w:p>
    <w:p>
      <w:pPr>
        <w:spacing w:after="0" w:line="121"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In August 2020, we entered into a Credit and Security Agreement (the Credit Agreement), by and among us and certain of our subsidiaries as borrowers, MidCap Financial, as agent, and the lenders from time to time party thereto. The terms of the Credit Agreement and borrowings we may make under the Credit Agreement in the future, could have significant adverse consequences for our business, including:</w:t>
      </w:r>
    </w:p>
    <w:p>
      <w:pPr>
        <w:spacing w:after="0" w:line="68" w:lineRule="exact"/>
        <w:rPr>
          <w:sz w:val="20"/>
          <w:szCs w:val="20"/>
          <w:color w:val="auto"/>
        </w:rPr>
      </w:pPr>
    </w:p>
    <w:p>
      <w:pPr>
        <w:ind w:left="1000" w:hanging="493"/>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any cash flow from operations to payment on our debt, which would reduce the amounts available to fund other corporate initiatives;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amount of interest that we have to pay on borrowings under the Credit Agreement if market rates of interest increase;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1" w:name="page32"/>
    <w:bookmarkEnd w:id="31"/>
    <w:p>
      <w:pPr>
        <w:jc w:val="both"/>
        <w:ind w:left="1000" w:hanging="493"/>
        <w:spacing w:after="0" w:line="26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compliance with restrictive covenants restricting, among other things, certain indebtedness, liens, dividends and other distributions, repayment of subordinated indebtedness, mergers, dispositions, investments, acquisitions, transactions with affiliates and modification of organizational documents or certain other agreements, subject to certain exceptions;</w:t>
      </w:r>
    </w:p>
    <w:p>
      <w:pPr>
        <w:spacing w:after="0" w:line="6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compliance with affirmative covenants including payment and reporting covenants; and</w:t>
      </w:r>
    </w:p>
    <w:p>
      <w:pPr>
        <w:spacing w:after="0" w:line="144"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that have less debt, better debt servicing options or stronger debt servicing capacity.</w:t>
      </w:r>
    </w:p>
    <w:p>
      <w:pPr>
        <w:spacing w:after="0" w:line="54"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We may not have sufficient funds or be able to obtain additional financing to pay the amounts due under the Credit Agreement. In addition, failure to comply with the covenants under the Credit Agreement, including those outside of our control, could result in an event of default. An event of default could result in the acceleration of amounts due under the Credit Agreement, and we may not be able to obtain additional financing to make any accelerated payments. Under these circumstances, our lenders could seek to enforce security interests in our assets securing our indebtedness, including our intellectual property.</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transition away from the London Interbank Offered Rate ("LIBOR") benchmark interest rate and the adoption of alternative benchmark reference rates could adversely affect our business, financial condition, results of operations and cash flows.</w:t>
      </w:r>
    </w:p>
    <w:p>
      <w:pPr>
        <w:spacing w:after="0" w:line="51" w:lineRule="exact"/>
        <w:rPr>
          <w:sz w:val="20"/>
          <w:szCs w:val="20"/>
          <w:color w:val="auto"/>
        </w:rPr>
      </w:pPr>
    </w:p>
    <w:p>
      <w:pPr>
        <w:jc w:val="both"/>
        <w:ind w:firstLine="1203"/>
        <w:spacing w:after="0" w:line="253" w:lineRule="auto"/>
        <w:rPr>
          <w:sz w:val="20"/>
          <w:szCs w:val="20"/>
          <w:color w:val="auto"/>
        </w:rPr>
      </w:pPr>
      <w:r>
        <w:rPr>
          <w:rFonts w:ascii="Times New Roman" w:cs="Times New Roman" w:eastAsia="Times New Roman" w:hAnsi="Times New Roman"/>
          <w:sz w:val="18"/>
          <w:szCs w:val="18"/>
          <w:color w:val="auto"/>
        </w:rPr>
        <w:t>Our indebtedness bears interest at a variable rate based on LIBOR. For example, our Credit Agreement with MidCap Financial provides for interest at a rate of one month LIBOR plus 6.25% per annum, subject to a floor and cap. The United Kingdom’s Financial Conduct Authority, which regulates LIBOR, phased out one-week and two-month US Dollar LIBOR settings on December 31, 2021. All other US Dollar LIBOR settings, including the overnight, one-month, three-month, six-month and twelve-month, will be phased out on June 30, 2023. Our Credit Agreement with MidCap Financial provides that we may amend the Credit Agreement to reflect an alternative rate of interest upon the phase out of LIBOR. We anticipate that MidCap Financial will transition to the Secured Overnight Financing Rate ("SOFR"). At this time, the effects of the phase out of LIBOR and the adoption of alternative benchmark rates have not been fully determined. However, any changes may result in interest obligations which are more than, or do not otherwise correlate over time with, the payments that would have been made if LIBOR was available in its current form. As a result, there can be no assurance that discontinuation of LIBOR will not result in increases in benchmark interest rates or higher financing costs, any of which could have an adverse effect on us. A failure to properly transition away from LIBOR could adversely affect the Company’s borrowing costs or expose the Company to various financial, operational and regulatory risks, which could affect the Company’s results of operations and cash flows.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completed a Section 382 study and have concluded that we experienced an “ownership change” as defined in Section 382 of the U.S. Internal Revenue Code of 1986, as amended (the Code), and thus the tax benefits of our pre-“ownership change” net operating loss carryforwards and certain other tax attributes will be subject to an annual limitation under Sections 382 and 383 of the Code.</w:t>
      </w:r>
    </w:p>
    <w:p>
      <w:pPr>
        <w:spacing w:after="0" w:line="67"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In general, a corporation undergoes an “ownership change” under Section 382 of the Code if, among other things, the stockholders who own, directly or indirectly, 5% or more of the corporation’s stock (by value), or are otherwise treated as “5% stockholders” under Section 382 of the Code and the Treasury regulations promulgated thereunder, increase their aggregate percentage ownership (by value) of the corporation’s stock by more than 50 percentage points over the lowest percentage of stock owned by the 5% stockholders at any time during the applicable testing period, which is generally the rolling three-year period preceding the date of the potential ownership change testing event. Such potential ownership change testing events include changes involving a stockholder becoming a 5% stockholder or arising from a new issuance of capital stock or share repurchases by the corporation, subject to certain exceptions.</w:t>
      </w:r>
    </w:p>
    <w:p>
      <w:pPr>
        <w:spacing w:after="0" w:line="81"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In the event of an “ownership change,” Sections 382 and 383 of the Code impose an annual limitation on the amount of taxable income a corporation may offset with pre-change net operating loss carryforwards and certain other tax attributes. The annual limitation is generally equal to the value of the outstanding stock of the corporation immediately before the ownership change (excluding certain capital contributions), multiplied by the long-term tax-exempt rate as published by the IRS for the month in which the ownership change occurs (the long-term tax-exempt rate for November 2020 is 0.89%). Any unused annual limitation may generally be carried over to subsequent years until the pre-ownership change net operating loss carryforwards and certain other tax attributes expire or are fully utilized by the corporation. Similar provisions of state tax law may also apply to limit the use of state net operating loss carryforwards and certain other tax attributes.</w:t>
      </w:r>
    </w:p>
    <w:p>
      <w:pPr>
        <w:spacing w:after="0" w:line="81"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Additionally, Section 382 of the Code includes special rules that apply to a corporation with a significant amount of net unrealized built-in gains or net unrealized built-in losses in its assets immediately prior to ownership change under Section 382 of the Code. In general, certain built-in gains recognized during the five-year period beginning on the date of the ownership change increases the corporation’s annual limitation under Sections 382 and 383 of the Code in the taxable year that such built-in gains are recognized or deemed recognized (but only up to the amount of the net unrealized built-in gain), while certain built-in losses recognized during such five-year period are subject to the annual limitation under Section 382 of the Code (but only up to the amount of the net unrealized built-in loss).</w:t>
      </w:r>
    </w:p>
    <w:p>
      <w:pPr>
        <w:spacing w:after="0" w:line="79" w:lineRule="exact"/>
        <w:rPr>
          <w:sz w:val="20"/>
          <w:szCs w:val="20"/>
          <w:color w:val="auto"/>
        </w:rPr>
      </w:pPr>
    </w:p>
    <w:p>
      <w:pPr>
        <w:jc w:val="both"/>
        <w:ind w:right="20" w:firstLine="530"/>
        <w:spacing w:after="0" w:line="282" w:lineRule="auto"/>
        <w:rPr>
          <w:sz w:val="20"/>
          <w:szCs w:val="20"/>
          <w:color w:val="auto"/>
        </w:rPr>
      </w:pPr>
      <w:r>
        <w:rPr>
          <w:rFonts w:ascii="Times New Roman" w:cs="Times New Roman" w:eastAsia="Times New Roman" w:hAnsi="Times New Roman"/>
          <w:sz w:val="18"/>
          <w:szCs w:val="18"/>
          <w:color w:val="auto"/>
        </w:rPr>
        <w:t>As of December 31, 2021, we had approximately $159.6 million and $70.3 million of federal and state net operating loss carryforwards, respectively, available to reduce future taxable income that will begin to expire in 2037 for federal income tax purposes.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2" w:name="page33"/>
    <w:bookmarkEnd w:id="32"/>
    <w:p>
      <w:pPr>
        <w:jc w:val="both"/>
        <w:spacing w:after="0" w:line="258" w:lineRule="auto"/>
        <w:rPr>
          <w:sz w:val="20"/>
          <w:szCs w:val="20"/>
          <w:color w:val="auto"/>
        </w:rPr>
      </w:pPr>
      <w:r>
        <w:rPr>
          <w:rFonts w:ascii="Times New Roman" w:cs="Times New Roman" w:eastAsia="Times New Roman" w:hAnsi="Times New Roman"/>
          <w:sz w:val="18"/>
          <w:szCs w:val="18"/>
          <w:color w:val="auto"/>
        </w:rPr>
        <w:t>These net operating loss carryforwards could expire unused and be unavailable to offset future income tax liabilities. Federal net operating loss carryforwards incurred in 2018 and in future years may be carried forward indefinitely, but the usage of such federal net operating loss carryforwards is limited. We completed an IRC Section 382 study on our federal tax attributes in connection to the ownership change in 2020 and determined that the annual utilization of federal net operating loss and certain other tax attribute carryforwards is limited. It is not expected that the annual limitations will result in the expiration of tax attribute carryforwards prior to utilization assuming sufficient income.</w:t>
      </w:r>
    </w:p>
    <w:p>
      <w:pPr>
        <w:spacing w:after="0" w:line="75"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We cannot predict or control the occurrence or timing of another ownership change under Section 382 of the Code in the future. In addition, it is possible that any offering of securities by us could result in an ownership change. If another ownership change were to occur, future limitations could apply to our net operating losses and certain other tax attributes, which could result in a material amount of our net operating loss carryforwards and certain other tax attributes becoming unavailable to offset future income tax liabilities.</w:t>
      </w:r>
    </w:p>
    <w:p>
      <w:pPr>
        <w:spacing w:after="0" w:line="72"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The realization of all or a portion of our deferred income tax assets (including net operating loss carryforwards) is dependent upon the generation of future income during the statutory carryforward periods. Our inability to utilize our limited pre-ownership change net operating loss carryforwards and certain other tax attributes, or the occurrence of a future ownership change and resulting additional limitations to these tax attributes, could have a material adverse effect on our financial condition, results of operations and cash flows.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change to the deductibility of our research and development expenditrues enacted under the Tax Cubs and Jobs Act (“TCJA”) could increase the amount of taxes to which we are subject and our effective tax rate.</w:t>
      </w:r>
    </w:p>
    <w:p>
      <w:pPr>
        <w:spacing w:after="0" w:line="51"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Beginning in 2022, the TCJA eliminates the option to deduct research and development expenditures currently and requires taxpayers to capitalize and amortize these expenditures over five or fifteen years depending on the type of research and development expenditure pursuant to Section 174 of the Code. Although there is proposed legislation that would defer the capitalization requirement to later years, we have no assurance that the provision will be repealed or otherwise modified. Such change to the deductibility of our research and development expenditures could increase the amount of taxes to which we are subject and our effective tax rate.</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investments are subject to market and credit risks that could diminish their value and these risks could be greater during periods of extreme volatility or disruption in the financial and credit markets, which could adversely impact our business, financial condition, results of operations, liquidity and cash flows.</w:t>
      </w:r>
    </w:p>
    <w:p>
      <w:pPr>
        <w:spacing w:after="0" w:line="67"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Our investments are subject to risks of credit defaults and changes in market values. Periods of macroeconomic weakness or recession, heightened volatility or disruption in the financial and credit markets, such as the current macroeconomic environment, increases these risks, potentially resulting in other-than-temporary impairment of assets in our investment portfolio. The impact of geopolitical tension, such as a deterioration in the bilateral relationship between the US and China or Russia’s invasion of Ukraine, including any additional sanctions, export controls or other restrictive actions that may be imposed by the US and/or other countries against governmental or other entities in, for example, Russia, also could lead to disruption, instability and volatility in the global markets, which may have an impact on our investments across negatively impacted sectors or geographies.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Product Development Risks</w:t>
      </w:r>
    </w:p>
    <w:p>
      <w:pPr>
        <w:spacing w:after="0" w:line="131"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results of our current and planned preclinical studies and clinical trials may not satisfy the requirements of the FDA or non-U.S. regulatory authorities. Results from early preclinical studies and clinical trials may not be predictive of results from later-stage or other trials and interim or top line data may be subject to change or qualification based on the complete analysis of data.</w:t>
      </w:r>
    </w:p>
    <w:p>
      <w:pPr>
        <w:spacing w:after="0" w:line="67"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8"/>
          <w:szCs w:val="18"/>
          <w:color w:val="auto"/>
        </w:rPr>
        <w:t>We are early in our Phase 1b clinical trial with APVO436 and none of our other product candidates have entered clinical development. Clinical failure can occur at any stage of preclinical or clinical development. Preclinical studies and clinical trials may produce inconsistent, negative or inconclusive results. The FDA or a non-US regulatory authority may require us to conduct additional clinical or preclinical testing. Success in early preliminary data, preclinical studies and clinical trials does not mean that future larger registration clinical trials will be successful and interim results of a clinical trial do not necessarily predict final results. Product candidates in later-stage clinical trials may fail to demonstrate sufficient safety and efficacy to the satisfaction of the FDA and non-U.S. regulatory authorities despite having progressed through initial clinical trials.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adherence to the dosing regimen and other clinical trial protocols and the rate of dropout among clinical trial participants. In addition, preclinical and clinical data are often susceptible to various interpretations and analyses, and many companies whose product candidates performed satisfactorily in preclinical studies and clinical trials have nonetheless failed to obtain marketing approval. Product candidates in later stages of clinical trials may fail to show the desired safety and efficacy profile despite having progressed through preclinical studies and initial clinical trials. A number of companies in the pharmaceutical and biopharmaceutical industry have suffered significant setbacks in advanced clinical trials due to lack of efficacy or adverse safety profiles, notwithstanding promising results in earlier studies, and we cannot be certain that we will not face similar setbacks. Even if early-stage clinical trials are promising, we may need to conduct additional clinical trials of our product candidates in additional patient populations or under different treatment conditions before we are able to seek approvals from the FDA and regulatory authorities outside the United States to market and sell these product candidates.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3" w:name="page34"/>
    <w:bookmarkEnd w:id="33"/>
    <w:p>
      <w:pPr>
        <w:jc w:val="both"/>
        <w:spacing w:after="0" w:line="266" w:lineRule="auto"/>
        <w:rPr>
          <w:sz w:val="20"/>
          <w:szCs w:val="20"/>
          <w:color w:val="auto"/>
        </w:rPr>
      </w:pPr>
      <w:r>
        <w:rPr>
          <w:rFonts w:ascii="Times New Roman" w:cs="Times New Roman" w:eastAsia="Times New Roman" w:hAnsi="Times New Roman"/>
          <w:sz w:val="18"/>
          <w:szCs w:val="18"/>
          <w:color w:val="auto"/>
        </w:rPr>
        <w:t>Any of these events could limit the commercial potential of our product candidates and have a material adverse effect on our business, prospects, financial condition and results of operations. A number of companies in the pharmaceutical industry, including those with greater resources and experience than us, have suffered significant setbacks in advanced clinical trials, even after obtaining promising results in earlier clinical trials.</w:t>
      </w:r>
    </w:p>
    <w:p>
      <w:pPr>
        <w:spacing w:after="0" w:line="68"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In addition, our APVO436 clinical trials are open-label studies and are conducted at a limited number of clinical sites on a limited number of patients. An “open-label” clinical trial is one where both the patient and investigator know whether the patient is receiving the investigational product candidate or either an existing approved drug. Most typically, open-label clinical trials test only the investigational product candidate and sometimes may do so at different dose levels or in combination with other drugs.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these clinical trials may not be predictive of future clinical trial results with APVO436 or other product candidates.</w:t>
      </w:r>
    </w:p>
    <w:p>
      <w:pPr>
        <w:spacing w:after="0" w:line="80" w:lineRule="exact"/>
        <w:rPr>
          <w:sz w:val="20"/>
          <w:szCs w:val="20"/>
          <w:color w:val="auto"/>
        </w:rPr>
      </w:pPr>
    </w:p>
    <w:p>
      <w:pPr>
        <w:jc w:val="both"/>
        <w:ind w:firstLine="510"/>
        <w:spacing w:after="0" w:line="253" w:lineRule="auto"/>
        <w:rPr>
          <w:sz w:val="20"/>
          <w:szCs w:val="20"/>
          <w:color w:val="auto"/>
        </w:rPr>
      </w:pPr>
      <w:r>
        <w:rPr>
          <w:rFonts w:ascii="Times New Roman" w:cs="Times New Roman" w:eastAsia="Times New Roman" w:hAnsi="Times New Roman"/>
          <w:sz w:val="18"/>
          <w:szCs w:val="18"/>
          <w:color w:val="auto"/>
        </w:rPr>
        <w:t>We may publicly disclose top line or interim data from time to time, which is based on a preliminary analysis of then-available data, and the results and related findings and conclusions are subject to change following a more comprehensive review of the data related to the particular study or trial. The top line or interim results that we report may differ from future results of the same studies, or different conclusions or considerations may qualify such results once additional data have been received and fully evaluated. For example, we released preliminary data regarding our Phase 1b clinical trial study which may change or be inconsistent with future results. Even in situations where a clinical stage candidate appears to be benefiting a patient, that benefit may not be of a permanent nature. Top line and interim data also remain subject to audit and verification procedures, that may result in the final data being materially different from the preliminary data we previously published. In addition, the achievement of one primary endpoint for a trial does not guarantee that additional co-primary endpoints or secondary endpoints will be achieved.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82"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Our future clinical trials may not be successful. Moreover, should there be a flaw in a clinical trial, it may not become apparent until the clinical trial is well advanced. We may also experience numerous unforeseen events during, or as a result of, clinical trials that could delay or prevent our ability to receive marketing approval or commercialize our product candidates, including:</w:t>
      </w:r>
    </w:p>
    <w:p>
      <w:pPr>
        <w:spacing w:after="0" w:line="68" w:lineRule="exact"/>
        <w:rPr>
          <w:sz w:val="20"/>
          <w:szCs w:val="20"/>
          <w:color w:val="auto"/>
        </w:rPr>
      </w:pPr>
    </w:p>
    <w:p>
      <w:pPr>
        <w:jc w:val="both"/>
        <w:ind w:left="1000" w:hanging="493"/>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(IRBs) may not authorize us or our investigators to commence or continue a clinical trial, conduct a clinical trial at a prospective trial site, or amend trial protocols, or regulators or IRBs may require that we modify or amend our clinical trial protocols;</w:t>
      </w:r>
    </w:p>
    <w:p>
      <w:pPr>
        <w:spacing w:after="0" w:line="67"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 and our contract research organizations (CROs);</w:t>
      </w:r>
    </w:p>
    <w:p>
      <w:pPr>
        <w:spacing w:after="0" w:line="53"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require us to perform additional or unanticipated clinical trials to obtain approval or we may be subject to additional post-marketing testing, surveillance, or REMS requirements to maintain regulatory approval;</w:t>
      </w:r>
    </w:p>
    <w:p>
      <w:pPr>
        <w:spacing w:after="0" w:line="53"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or our studies may fail to reach the necessary level of statistical significance;</w:t>
      </w:r>
    </w:p>
    <w:p>
      <w:pPr>
        <w:spacing w:after="0" w:line="53"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marketing approval policies, laws, regulations, or the regulatory review process during the development period rendering our data insufficient to obtain marketing approval;</w:t>
      </w:r>
    </w:p>
    <w:p>
      <w:pPr>
        <w:spacing w:after="0" w:line="53"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or we may have insufficient funds for a clinical trial or to pay the substantial user fees required by the FDA upon the filing of a marketing application;</w:t>
      </w:r>
    </w:p>
    <w:p>
      <w:pPr>
        <w:spacing w:after="0" w:line="53"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reach an agreement with regulators or IRBs regarding the scope, design, or implementation of our clinical trials;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delays in adding new investigators or clinical trial sites, or we may experience a withdrawal of clinical trial sites;</w:t>
      </w:r>
    </w:p>
    <w:p>
      <w:pPr>
        <w:spacing w:after="0" w:line="144"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regulatory questions or disagreements regarding interpretations of data and results, or new information may emerge regarding our product candidates;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4" w:name="page35"/>
    <w:bookmarkEnd w:id="34"/>
    <w:p>
      <w:pPr>
        <w:ind w:left="1000" w:hanging="493"/>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study design, including endpoints, or our interpretation of data from non-clinical studies and clinical trials or find that a product candidate’s benefits do not outweigh its safety risks;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not accept data from studies with clinical trial sites in foreign countries;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regulatory authorities may disagree with our intended indications;</w:t>
      </w:r>
    </w:p>
    <w:p>
      <w:pPr>
        <w:spacing w:after="0" w:line="144"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or subsequently find fault with the manufacturing processes or our contract manufacturer’s manufacturing facility for clinical and future commercial supplies; and</w:t>
      </w:r>
    </w:p>
    <w:p>
      <w:pPr>
        <w:spacing w:after="0" w:line="53" w:lineRule="exact"/>
        <w:rPr>
          <w:rFonts w:ascii="Times New Roman" w:cs="Times New Roman" w:eastAsia="Times New Roman" w:hAnsi="Times New Roman"/>
          <w:sz w:val="18"/>
          <w:szCs w:val="18"/>
          <w:color w:val="auto"/>
        </w:rPr>
      </w:pPr>
    </w:p>
    <w:p>
      <w:pPr>
        <w:ind w:left="1000" w:right="20" w:hanging="493"/>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a product candidate provides an advantage over current standards of care or current or future competitive therapies in development.</w:t>
      </w:r>
    </w:p>
    <w:p>
      <w:pPr>
        <w:spacing w:after="0" w:line="54" w:lineRule="exact"/>
        <w:rPr>
          <w:sz w:val="20"/>
          <w:szCs w:val="20"/>
          <w:color w:val="auto"/>
        </w:rPr>
      </w:pPr>
    </w:p>
    <w:p>
      <w:pPr>
        <w:jc w:val="both"/>
        <w:ind w:firstLine="510"/>
        <w:spacing w:after="0" w:line="253" w:lineRule="auto"/>
        <w:rPr>
          <w:sz w:val="20"/>
          <w:szCs w:val="20"/>
          <w:color w:val="auto"/>
        </w:rPr>
      </w:pPr>
      <w:r>
        <w:rPr>
          <w:rFonts w:ascii="Times New Roman" w:cs="Times New Roman" w:eastAsia="Times New Roman" w:hAnsi="Times New Roman"/>
          <w:sz w:val="18"/>
          <w:szCs w:val="18"/>
          <w:color w:val="auto"/>
        </w:rPr>
        <w:t>Further, our product candidates may not be approved even if they achieve their primary endpoints in Phase 3 clinical trials or registration trials. Regardless of any advisory committee recommendation, the FDA may decline to approve the BLA for a number of reasons including, if the clinical benefit, safety profile or effectiveness of the drug is not deemed by the FDA to warrant approval. The FDA or other non-U.S. regulatory authorities may disagree with our trial design, and our interpretation of data from non-clinical studies and clinical trials. In particular, the FDA may not view our data as being clinically meaningful or statistically persuasive. The regulatory authorities and policies governing the development of our product candidates may also change at any time. In addition, any of these regulatory authorities may change requirements for the approval of a product candidate even after reviewing and providing comments or advice on a protocol for a pivotal Phase 3 clinical trial. Any of these regulatory authorities may also approve a product candidate for fewer or more limited indications than we request or may grant approval contingent on the performance of costly post-marketing clinical trials. The FDA or other non-U.S. regulatory authorities may not approve the labeling claims that we believe would be necessary or desirable for the successful commercialization of our product candidates.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file investigational new drug applications, or INDs, or IND amendments to commence additional clinical trials on the timelines we expect, and even if we are able to, the FDA may not permit us to proceed.</w:t>
      </w:r>
    </w:p>
    <w:p>
      <w:pPr>
        <w:spacing w:after="0" w:line="51"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We expect to submit an IND for ALG.APV-527 to the FDA in the second half of 2022, however, we may not be able to file future INDs for our product candidates on the timelines we expect. For example, we may experience manufacturing delays or other delays with IND-enabling studies. Moreover, we cannot be sure that submission of an IND will result in the FDA allowing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approvals for our trials may prevent us from completing our clinical trials or commercializing our products on a timely basis, if at all.</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commencement, enrollment of patients or completion of our clinical trials, the time to reach critical trial data and receipt of any necessary regulatory approvals could be delayed.</w:t>
      </w:r>
    </w:p>
    <w:p>
      <w:pPr>
        <w:spacing w:after="0" w:line="51"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our product candidates if we are unable to locate, enroll and maintain a sufficient number of eligible patients to participate in these trials as required by the FDA or similar regulatory authorities outside the United States. In addition,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Furthermore, APVO436 has received orphan drug designation for AML and thus has a relatively small patient population. Also, the eligibility criteria of our clinical trials may further limit the pool of available study participants as we require that patients have specific characteristics that we can measure to assure their disease is either severe enough or not too advanced to include them in a study. In addition, the global spread of the COVID-19 pandemic makes it more difficult to initiate clinical trials and enroll patients and the process of finding and diagnosing eligible patients under these conditions may prove costly.</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Patient enrollment is affected by other factors including:</w:t>
      </w:r>
    </w:p>
    <w:p>
      <w:pPr>
        <w:spacing w:after="0" w:line="117" w:lineRule="exact"/>
        <w:rPr>
          <w:sz w:val="20"/>
          <w:szCs w:val="20"/>
          <w:color w:val="auto"/>
        </w:rPr>
      </w:pPr>
    </w:p>
    <w:p>
      <w:pPr>
        <w:ind w:left="1000" w:hanging="49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 including the patient eligibility criteria for the study in question;</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study;</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payments for conducting clinical trials;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5" w:name="page36"/>
    <w:bookmarkEnd w:id="35"/>
    <w:p>
      <w:pPr>
        <w:ind w:left="1000" w:hanging="49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of preliminary results of any of our clinical trial sites;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 and</w:t>
      </w:r>
    </w:p>
    <w:p>
      <w:pPr>
        <w:spacing w:after="0" w:line="144"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we may not be able to control that may limit patients, principal investigators or staff or clinical site availability, such as the ongoing COVID-19 pandemic.</w:t>
      </w:r>
    </w:p>
    <w:p>
      <w:pPr>
        <w:spacing w:after="0" w:line="54"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clinical trials could result in significant delays and could require us to abandon one or more clinical trials altogether. Enrollment delays in our clinical trials may result in increased development costs for our product candidates, delays in the availability of preliminary or final results, and delays to commercially launching our product candidates, if approved, which may cause the value of our company to decline and limit our ability to obtain additional financing.</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Serious adverse events, undesirable side effects or other unexpected properties of our product candidates may be identified that could delay, prevent, or cause the withdrawal of regulatory approval, limit the commercial potential, or result in significant negative consequences following marketing approval.</w:t>
      </w:r>
    </w:p>
    <w:p>
      <w:pPr>
        <w:spacing w:after="0" w:line="67"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Serious adverse events or undesirable side effects caused by, or other unexpected properties of any of our product candidates, either when used alone or in combination with other approved or investigational therapies, could cause us or regulatory authorities to interrupt, delay or halt our development activities and manufacturing and distribution operations and could result in a more restrictive label, the imposition of a clinical hold, suspension, distribution or use restrictions or the delay or denial of regulatory approval by the FDA or comparable foreign regulatory authorities. If any of our product candidates are associated with serious adverse events or undesirable side effects or have properties that are unexpected, we may need to abandon their development or limit development to certain uses or subpopulations in which the undesirable side effects or other characteristics are less prevalent, less severe or more acceptable from a risk-benefit perspective. Many compounds that initially showed promise in clinical or earlier stage testing have later been found to cause undesirable or unexpected side effects that prevented further development of the compound.</w:t>
      </w:r>
    </w:p>
    <w:p>
      <w:pPr>
        <w:spacing w:after="0" w:line="84" w:lineRule="exact"/>
        <w:rPr>
          <w:sz w:val="20"/>
          <w:szCs w:val="20"/>
          <w:color w:val="auto"/>
        </w:rPr>
      </w:pPr>
    </w:p>
    <w:p>
      <w:pPr>
        <w:jc w:val="both"/>
        <w:ind w:firstLine="510"/>
        <w:spacing w:after="0" w:line="253" w:lineRule="auto"/>
        <w:rPr>
          <w:sz w:val="20"/>
          <w:szCs w:val="20"/>
          <w:color w:val="auto"/>
        </w:rPr>
      </w:pPr>
      <w:r>
        <w:rPr>
          <w:rFonts w:ascii="Times New Roman" w:cs="Times New Roman" w:eastAsia="Times New Roman" w:hAnsi="Times New Roman"/>
          <w:sz w:val="18"/>
          <w:szCs w:val="18"/>
          <w:color w:val="auto"/>
        </w:rPr>
        <w:t>As we continue developing our product candidates and conduct clinical trials of our product candidates, serious adverse events, or SAEs, undesirable side effects, relapse of disease or unexpected characteristics may emerge causing us to abandon these product candidates or limit their development to more narrow uses or subpopulations in which the SAEs or undesirable side effects or other characteristics are less prevalent, less severe or more acceptable from a risk-benefit perspective or in which efficacy is more pronounced or durable. Undesirable side effects, or other unexpected adverse events or properties of any of our product candidates, could arise or become known either during clinical development or, if approved, after the approved product has been marketed. If such an event occurs during development, the FDA or comparable foreign regulatory authorities could suspend or terminate a clinical trial or deny approval of our product candidates. Furthermore, we may need to evaluate our product candidates in combination with approved and/or experimental therapies. These combinations may have additional or more severe side effects than caused by our product candidate as monotherapies. The uncertainty resulting from the use of our product candidate in combination with other therapies may make it difficult to accurately predict side effects or efficacy in potential future clinical trials. If our product candidates receive marketing approval and we or others later identify undesirable side effects caused by such products, a number of potentially significant negative consequences may result, including:</w:t>
      </w:r>
    </w:p>
    <w:p>
      <w:pPr>
        <w:spacing w:after="0" w:line="84" w:lineRule="exact"/>
        <w:rPr>
          <w:sz w:val="20"/>
          <w:szCs w:val="20"/>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us to conduct additional clinical trials or abandon our research efforts for our other product candidates;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or impose distribution or use restrictions;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one or more post-market studies;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144" w:lineRule="exact"/>
        <w:rPr>
          <w:rFonts w:ascii="Times New Roman" w:cs="Times New Roman" w:eastAsia="Times New Roman" w:hAnsi="Times New Roman"/>
          <w:sz w:val="18"/>
          <w:szCs w:val="18"/>
          <w:color w:val="auto"/>
        </w:rPr>
      </w:pPr>
    </w:p>
    <w:p>
      <w:pPr>
        <w:jc w:val="both"/>
        <w:ind w:left="1000" w:hanging="493"/>
        <w:spacing w:after="0" w:line="261"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implementation of a Risk Evaluation and Mitigation Strategy, or REMS, Field Safety Corrective Actions or equivalent, which may include safety surveillance, restricted distribution and use, patient education, enhanced labeling, special packaging or labeling, expedited reporting of certain adverse events, preapproval of promotional materials and restrictions on direct-to-consumer advertising;</w:t>
      </w:r>
    </w:p>
    <w:p>
      <w:pPr>
        <w:spacing w:after="0" w:line="71"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44"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approval and acceptance of the affected product candidate, or could substantially increase commercialization costs and expenses, which could delay or prevent us from generating revenue from the sale of our products and materially harm our business and results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6" w:name="page37"/>
    <w:bookmarkEnd w:id="36"/>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third parties to conduct our clinical and non-clinical trials. If these third parties do not effectively carry out their contractual duties, comply with regulatory requirements or meet expected deadlines, we may not be able to obtain regulatory approval for or commercialize our product candidates and our business could be substantially harmed.</w:t>
      </w:r>
    </w:p>
    <w:p>
      <w:pPr>
        <w:spacing w:after="0" w:line="67"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We do not have the ability to independently conduct the clinical and preclinical trials required to obtain regulatory approval for our product candidates. We depend on third parties, such as independent clinical investigators, contract research organizations, or CROs, and other third-party service providers to conduct the clinical and preclinical trials of our product candidates, and we expect to continue to do so. For example, Dr. Dirk Huebner, Consultant and Chief Medical Officer, is providing clinical trial and medical affairs oversight duties as an independent consultant. We rely heavily on Dr. Huebner and these other third parties for successful execution and oversight of our clinical and non-clinical trials, but we do not exercise day to day control over their activities.</w:t>
      </w:r>
    </w:p>
    <w:p>
      <w:pPr>
        <w:spacing w:after="0" w:line="79" w:lineRule="exact"/>
        <w:rPr>
          <w:sz w:val="20"/>
          <w:szCs w:val="20"/>
          <w:color w:val="auto"/>
        </w:rPr>
      </w:pPr>
    </w:p>
    <w:p>
      <w:pPr>
        <w:jc w:val="both"/>
        <w:ind w:firstLine="510"/>
        <w:spacing w:after="0" w:line="253" w:lineRule="auto"/>
        <w:rPr>
          <w:sz w:val="20"/>
          <w:szCs w:val="20"/>
          <w:color w:val="auto"/>
        </w:rPr>
      </w:pPr>
      <w:r>
        <w:rPr>
          <w:rFonts w:ascii="Times New Roman" w:cs="Times New Roman" w:eastAsia="Times New Roman" w:hAnsi="Times New Roman"/>
          <w:sz w:val="18"/>
          <w:szCs w:val="18"/>
          <w:color w:val="auto"/>
        </w:rPr>
        <w:t>While we have agreements governing the activities of third parties, we have limited influence and control over their actual performance and activities. For instance, our third-party service providers are not our employees, and except for remedies available to us under our agreements with such third parties we cannot control whether or not they devote sufficient time and resources to our ongoing clinical, and non-clinical programs. Our third-party service providers may also have relationships with other entities, some of which may be our competitors, for whom they may also be conducting trials or other therapeutic development activities that could harm our competitive position. If these third parties do not successfully carry out their contractual duties, meet expected deadlines or conduct our non-clinical studies or clinical trials in accordance with regulatory requirements or our stated protocols, if they need to be replaced or if the quality or accuracy of the data they obtain is compromised due to the failure to adhere to our protocols, regulatory requirements or for other reasons, our trials may be repeated, extended, delayed, or terminated, we may not be able to obtain, or may be delayed in obtaining, marketing approvals for our product candidates, we may not be able to, or may be delayed in our efforts to, successfully commercialize our product candidates, or we or they may be subject to regulatory enforcement actions.</w:t>
      </w:r>
    </w:p>
    <w:p>
      <w:pPr>
        <w:spacing w:after="0" w:line="86"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Our reliance on third-party service providers does not relieve us of our regulatory responsibilities, including ensuring that our trials are conducted in accordance with the FDA-approved good clinical practices, or GCPs, and the plans and protocols contained in the relevant regulatory application. In addition, these organizations and individuals may not complete these activities on our anticipated or desired timeframe. We also may experience unexpected cost increases that are beyond our control. Problems with the timeliness or quality of the work of a contract research organization may lead us to seek to terminate the relationship and use an alternative service provider, which may prove difficult and/or costly and result in a delay of our trials. In addition, business disruptions arising from the ongoing COVID-19 pandemic could negatively affect the ability of some of the independent clinical investigators, contract research organizations and other third-party service providers that conduct our clinical and preclinical trials of our product candidates. Any delay in or inability to complete our trials could delay or prevent the development, approval, and commercialization of our product candidates.</w:t>
      </w:r>
    </w:p>
    <w:p>
      <w:pPr>
        <w:spacing w:after="0" w:line="80"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If CROs or other third parties assisting us or our study sites fail to comply with applicable GCPs, the clinical data generated in our clinical trials may be deemed unreliable and the FDA or its non-U.S. counterparts may require us to perform additional clinical trials before approving our marketing applications. We or they may also face regulatory enforcement action. We cannot assure you that, upon inspection, the FDA or non-U.S. regulatory agencies will determine that any of our clinical trials comply with GCPs. In addition, our clinical trials must be conducted with product produced under GMPs and similar regulations outside of the United States. Our failure, or the failure of our product manufacturers, to comply with these regulations may require us to repeat or redesign clinical trials, or conduct additional trials, which would increase our development costs and delay or impact the likelihood of regulatory approval.</w:t>
      </w:r>
    </w:p>
    <w:p>
      <w:pPr>
        <w:spacing w:after="0" w:line="81"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If third parties do not carry out their duties under their agreements with us, if the quality or accuracy of the data they obtain is compromised due to the failure to adhere to our clinical protocols, including dosing requirements, or regulatory requirements, or if they otherwise fail to comply with clinical trial protocols or meet expected deadlines, our clinical trials may not meet regulatory requirements. If our clinical trials do not meet regulatory requirements or if these third parties need to be replaced, our clinical trials may be extended, delayed, suspended or terminated.</w:t>
      </w:r>
    </w:p>
    <w:p>
      <w:pPr>
        <w:spacing w:after="0" w:line="72"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Agreements with third parties conducting or otherwise assisting with our clinical or non-clinical studies might terminate for a variety of reasons, including a failure to perform by the third parties. If any of our relationships with these third parties terminate, we may not be able to enter into arrangements with alternative providers or to do so on commercially reasonable terms. Switching or adding additional third parties involves additional cost and requires management time and focus. In addition, there is a natural transition period when a new third party commences work. As a result, if we need to enter into alternative arrangements, it could delay our product development activities and adversely affect our business. Though we carefully manage our relationships with our third parties, there can be no assurance that we will not encounter challenges or delays in the future or that these delays or challenges will not have a material adverse impact on our business, financial condition and prospects, and results of operations.</w:t>
      </w:r>
    </w:p>
    <w:p>
      <w:pPr>
        <w:spacing w:after="0" w:line="81"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If any of these events occur, we may not be able to obtain regulatory approval of our product candidates or succeed in our efforts to create approved line extensions for certain of our existing products or generate additional useful clinical data in support of these products. Moreover, if we are unable to obtain any necessary third-party services on acceptable terms or if these service providers do not successfully carry out their contractual duties or meet expected deadlines, our efforts to obtain regulatory approvals for our product candidates may be delayed or prevented.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7" w:name="page38"/>
    <w:bookmarkEnd w:id="37"/>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Manufacture of our product candidates, especially in large quantities, is complex and time consuming. The loss of any of our third-party manufacturers, or delays or problems in the manufacture of our product candidates, could result in product shortages and/or delays in clinical development.</w:t>
      </w:r>
    </w:p>
    <w:p>
      <w:pPr>
        <w:spacing w:after="0" w:line="67"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We do not have manufacturing capabilities and do not plan to develop such capacity in the foreseeable future. We depend on a limited number of third-party suppliers for our product candidates. Accordingly, our ability to develop and deliver products in a timely and competitive manner and to enable us to conduct our development programs depends on our third-party manufacturers being able to continue to meet our ongoing clinical trial needs and perform their contractual obligations. In order to successfully develop and commercialize our product candidates in a timely manner, we and our third-party manufacturers must be able to develop and execute on manufacturing processes and reach agreement on contract terms.</w:t>
      </w:r>
    </w:p>
    <w:p>
      <w:pPr>
        <w:spacing w:after="0" w:line="75"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any product that we develop may adversely affect our future profit margins and our ability to commercialize any products that receive marketing approval on a timely and competitive basis. In addition, any performance failure on the part of our existing or future manufacturers could delay clinical development or marketing approval.</w:t>
      </w:r>
    </w:p>
    <w:p>
      <w:pPr>
        <w:spacing w:after="0" w:line="68"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If these third-party manufacturers do not successfully carry out their contractual duties, meet expected deadlines or manufacture our product candidates in accordance with regulatory requirements, if there are disagreements between us and such parties, or if such parties are unable to expand capacities to support commercialization of any of our product candidates for which we obtain marketing approval, we may not be able to produce, or may be delayed in producing sufficient product candidates to meet our supply requirements. Any delays in obtaining adequate supplies with respect to our product candidates and components may delay the development or commercialization of our product candidates.</w:t>
      </w:r>
    </w:p>
    <w:p>
      <w:pPr>
        <w:spacing w:after="0" w:line="75"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We may not succeed in our efforts to establish manufacturing relationships or other alternative arrangements for any of our product candidates, components, and programs. Our product candidates may compete with other products and product candidates for access to manufacturing facilities. There are a limited number of manufacturers that operate under GMP regulations and that are both capable of manufacturing for us and willing to do so.</w:t>
      </w:r>
    </w:p>
    <w:p>
      <w:pPr>
        <w:spacing w:after="0" w:line="68"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If our existing third-party manufacturers, or the third parties that we engage in the future to manufacture a product or component for commercial sale or for our clinical trials should cease to continue to do so for any reason, we likely would experience delays in obtaining sufficient quantities of our product candidates for us to meet commercial demand or to advance our clinical trials while we identify and qualify replacement suppliers. These third-party facilities may also be affected by natural disasters, such as floods or fire, or such facilities could face manufacturing issues, such as contamination or regulatory findings following a regulatory inspection of such facility. In such instances, we may need to locate an appropriate replacement third-party relationship, which may not be readily available or on acceptable terms, which would cause additional delay and increased expense. In some cases, the technical skills required to manufacture our products or product candidates may be unique or proprietary to the original manufacturer and we may have difficulty, or there may be contractual restrictions prohibiting us from, transferring such skills to an alternate supplier in a timely fashion if at all. The addition of a new or alternative manufacturer may also require FDA approvals and may have a material adverse effect on our business.</w:t>
      </w:r>
    </w:p>
    <w:p>
      <w:pPr>
        <w:spacing w:after="0" w:line="80"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If for any reason we are unable to obtain adequate supplies of our product candidates or the components used to manufacture them, it will be more difficult for us to develop our product candidates and compete effectively. Further, even if we do establish such collaborations or arrangements, our third-party manufacturers may breach, terminate, or not renew these agreements.</w:t>
      </w:r>
    </w:p>
    <w:p>
      <w:pPr>
        <w:spacing w:after="0" w:line="68"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We or our third-party manufacturers may also encounter shortages in the raw materials or therapeutic substances necessary to produce our product candidates in the quantities needed for our clinical trials or, if our product candidates are approved, in sufficient quantities for commercialization or to meet an increase in demand. Such shortages may occur for a variety of reasons, including capacity constraints, delays or disruptions in the market, and shortages caused by the purchase of such materials by our competitors or others. We may also not be able to obtain such materials on favorable terms as a result of global trade policies. Our third-party manufacturers’ failure to obtain the raw materials, therapeutic substances, or active pharmaceutical ingredients necessary to manufacture sufficient quantities of our product candidates may have a material adverse effect on our business.</w:t>
      </w:r>
    </w:p>
    <w:p>
      <w:pPr>
        <w:spacing w:after="0" w:line="79"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All of our current product candidates are biologics. Our product candidates must be made consistently and in compliance with a clearly defined manufacturing process. Problems may arise during manufacturing for a variety of reasons, including problems with raw materials, equipment malfunction or replacement and failure to follow specific protocols and procedures. Slight deviations anywhere in the manufacturing process, including obtaining materials, maintaining master seed or cell banks and preventing genetic drift, seed or cell growth, fermentation and contamination including from, among other things, particulates, filtration, filling, labeling, packaging, storage and shipping, and quality control testing, may result in lot failures or manufacturing shut-down, delays in the release of lots, product recalls, spoilage or regulatory action. Due to the ongoing COVID-19 pandemic, our third-party manufacturers may experience difficulties, such as supply shortages, that impact our product candidates.</w:t>
      </w:r>
    </w:p>
    <w:p>
      <w:pPr>
        <w:spacing w:after="0" w:line="81"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Additionally, our development and commercialization strategy involves entering into arrangements with corporate and academic collaborators, contract research organizations, distributors, third-party manufacturers, licensors, licensees and others to conduct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8" w:name="page39"/>
    <w:bookmarkEnd w:id="38"/>
    <w:p>
      <w:pPr>
        <w:jc w:val="both"/>
        <w:spacing w:after="0" w:line="256" w:lineRule="auto"/>
        <w:rPr>
          <w:sz w:val="20"/>
          <w:szCs w:val="20"/>
          <w:color w:val="auto"/>
        </w:rPr>
      </w:pPr>
      <w:r>
        <w:rPr>
          <w:rFonts w:ascii="Times New Roman" w:cs="Times New Roman" w:eastAsia="Times New Roman" w:hAnsi="Times New Roman"/>
          <w:sz w:val="18"/>
          <w:szCs w:val="18"/>
          <w:color w:val="auto"/>
        </w:rPr>
        <w:t>development work, manage or conduct our clinical trials, manufacture our product candidates and market and sell our products outside of the United States and maintaining our existing arrangements with respect to the commercialization or manufacture of our products. We may not have the expertise or the resources to conduct all of these activities for all products and product candidates on our own and, as a result, are particularly dependent on third parties in many areas. Any current or future arrangements for development and commercialization may not be successful, as the amount and timing of resources that third parties devote to developing, manufacturing, and commercializing our products candidates are not within our control. If we are not able to establish or maintain agreements relating to our product candidates in development, our results of operations and prospects would be materially and adversely affected.</w:t>
      </w:r>
    </w:p>
    <w:p>
      <w:pPr>
        <w:spacing w:after="0" w:line="79"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Any loss of a third-party manufacturer, any delays, or problems in the manufacture of our products, or termination of any arrangements for development and commercialization of our products could have a material adverse effect on our business, operations, results of operations and financial condition. We may be required to replace our manufacturer and if this were to occur, we may incur added costs and delays in identifying and qualifying any such replacements. We may also not be able to enter into such arrangements on favorable commercial terms.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product candidate manufacturing or formulation may result in additional costs or delay.</w:t>
      </w:r>
    </w:p>
    <w:p>
      <w:pPr>
        <w:spacing w:after="0" w:line="121"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As product candidates are developed through preclinical studies to late-stage clinical trials toward approval and commercialization, it is common that various aspects of the development program, such as manufacturing methods, manufacturing sites, and formulation, are altered along the way in an effort to optimize processes and results. Any of these changes could cause our product candidates to perform differently and affect the results of planned clinical trials or other future clinical trials conducted with the altered materials. Such changes may also require additional testing, clinical trials, FDA notification, or FDA approval. Any of the foregoing could limit our future revenues and growth.</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of our third-party manufacturers to successfully manufacture material that conforms to our specifications and the FDA’s or foreign regulatory authorities’ strict regulatory requirements, may prevent regulatory approval of those manufacturing facilities.</w:t>
      </w:r>
    </w:p>
    <w:p>
      <w:pPr>
        <w:spacing w:after="0" w:line="51" w:lineRule="exact"/>
        <w:rPr>
          <w:sz w:val="20"/>
          <w:szCs w:val="20"/>
          <w:color w:val="auto"/>
        </w:rPr>
      </w:pPr>
    </w:p>
    <w:p>
      <w:pPr>
        <w:jc w:val="both"/>
        <w:ind w:firstLine="510"/>
        <w:spacing w:after="0" w:line="253" w:lineRule="auto"/>
        <w:rPr>
          <w:sz w:val="20"/>
          <w:szCs w:val="20"/>
          <w:color w:val="auto"/>
        </w:rPr>
      </w:pPr>
      <w:r>
        <w:rPr>
          <w:rFonts w:ascii="Times New Roman" w:cs="Times New Roman" w:eastAsia="Times New Roman" w:hAnsi="Times New Roman"/>
          <w:sz w:val="18"/>
          <w:szCs w:val="18"/>
          <w:color w:val="auto"/>
        </w:rPr>
        <w:t>We rely on third parties to manufacture all clinical trial materials for our product candidates, and we will rely on third parties to manufacture commercial supplies, if any such product candidates are ultimately approved for commercial sale. Manufacturers of our product candidates and therapeutic substances must comply with GMP requirements enforced by the FDA that are applicable to both finished products and their active components used both for clinical and commercial supply. The FDA enforces these requirements through its facilities inspection program. Our product candidates, including APVO436 and ALG.APV-527 will not be approved for marketing by the FDA or other foreign regulatory authorities unless the FDA or their foreign equivalents also approve the facilities used by our third-party manufacturers to produce them for commercialization. If our third-party manufacturers cannot successfully manufacture material that conforms to our specifications and the FDA’s or foreign regulatory authorities’ strict regulatory requirements, the FDA or their foreign counterparts will not approve their manufacturing facilities, which would result in significant delays in obtaining FDA or foreign marketing approvals for our product candidates. If this were to occur, we may also never receive marketing approval, we may need to repeat clinical trials, we may need to undertake costly corrective actions, including product recalls, we may risk harm to subjects or patients, and we may face enforcement actions.</w:t>
      </w:r>
    </w:p>
    <w:p>
      <w:pPr>
        <w:spacing w:after="0" w:line="84"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While we are ultimately responsible for the manufacture of our product candidates, other than through our contractual arrangements, we have little control over our manufacturers’ compliance with these regulations and standards.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and maintain regulatory approval for or market our product candidates, if approved. Any new manufacturers would need to either obtain or develop the necessary manufacturing know-how, and obtain the necessary equipment and materials, which may take substantial time and investment. We must also receive FDA approval for the use of any new manufacturers for commercial supply.</w:t>
      </w:r>
    </w:p>
    <w:p>
      <w:pPr>
        <w:spacing w:after="0" w:line="81"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We and our third-party manufacturers may not be able to meet these manufacturing process requirements for any of our current product candidates, all of which have complex manufacturing processes, which make meeting these requirements even more challenging. Due to the ongoing COVID-19 pandemic, our third-party manufacturers may experience difficulties that impact our product candidates. If we are unable to develop manufacturing processes for our clinical product candidates that satisfy these requirements, we will not be able to supply sufficient quantities of test material to conduct our clinical trials in a timely or cost effective manner, and as a result, our development programs will be delayed, our financial performance will be adversely impacted and we will be unable to meet our long-term goals.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of our product candidates have received orphan drug designation from the FDA. However, there is no guarantee that we will be able to maintain this designation, receive this designation for any of our other product candidates, or receive or maintain any corresponding benefits, including periods of exclusivity.</w:t>
      </w:r>
    </w:p>
    <w:p>
      <w:pPr>
        <w:spacing w:after="0" w:line="67"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Certain of our product candidates have received orphan drug designation. We may also seek orphan drug designation for our other product candidates, as appropriate. While orphan drug designation does provide us with certain advantages, it neither shortens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9" w:name="page40"/>
    <w:bookmarkEnd w:id="3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development time or regulatory review time of a product candidate nor gives the product candidate any advantage in the regulatory review or approval process.</w:t>
      </w:r>
    </w:p>
    <w:p>
      <w:pPr>
        <w:spacing w:after="0" w:line="54" w:lineRule="exact"/>
        <w:rPr>
          <w:sz w:val="20"/>
          <w:szCs w:val="20"/>
          <w:color w:val="auto"/>
        </w:rPr>
      </w:pPr>
    </w:p>
    <w:p>
      <w:pPr>
        <w:jc w:val="both"/>
        <w:ind w:right="20" w:firstLine="510"/>
        <w:spacing w:after="0" w:line="266" w:lineRule="auto"/>
        <w:rPr>
          <w:sz w:val="20"/>
          <w:szCs w:val="20"/>
          <w:color w:val="auto"/>
        </w:rPr>
      </w:pPr>
      <w:r>
        <w:rPr>
          <w:rFonts w:ascii="Times New Roman" w:cs="Times New Roman" w:eastAsia="Times New Roman" w:hAnsi="Times New Roman"/>
          <w:sz w:val="18"/>
          <w:szCs w:val="18"/>
          <w:color w:val="auto"/>
        </w:rPr>
        <w:t>Generally, if a product candidate with orphan drug designation subsequently receives marketing approval before another product considered by the FDA to be the same for the same orphan indication, the product is entitled to a period of marketing exclusivity, which precludes the FDA from approving another marketing application for the same drug or biologic for the same indication for a period of seven years in the United States.</w:t>
      </w:r>
    </w:p>
    <w:p>
      <w:pPr>
        <w:spacing w:after="0" w:line="68"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We may not be able to obtain any future orphan drug designations that we apply for. Orphan drug designations do not guarantee that we will be able to successfully develop our product candidates, and there is no guarantee that we will be able to maintain any orphan drug designations that we receive. For instance, orphan drug designations may be revoked if the FDA finds that the request for designation contained an untrue statement of material fact or omitted material information, or if the FDA finds that the product candidate was not eligible for designation at the time of the submission of the request.</w:t>
      </w:r>
    </w:p>
    <w:p>
      <w:pPr>
        <w:spacing w:after="0" w:line="72"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Moreover, even if we are able to receive and maintain orphan drug designations, we may ultimately not receive any period of regulatory exclusivity if our product candidates are approved. For instance, we may not receive orphan product regulatory exclusivity if the indication for which we receive FDA approval is broader than the orphan drug designation. Orphan exclusivity may also be lost for the same reasons that orphan drug designation may be lost. Orphan exclusivity may further be lost if we are unable to assure a sufficient quantity of the product to meet the needs of patients with the rare disease or condition.</w:t>
      </w:r>
    </w:p>
    <w:p>
      <w:pPr>
        <w:spacing w:after="0" w:line="75"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Even if we obtain orphan exclusivity for any of our current or future product candidates, that exclusivity may not effectively protect the product from competition as different products can be approved for the same condition or products that are the same as ours can be approved for different conditions. Even after an orphan product is approved, the FDA can also subsequently approve a product containing the same principal molecular features for the same condition if the FDA concludes that the later product is clinically superior. The FDA may further grant orphan drug designation to multiple sponsors for the same compound or active molecule and for the same indication. If another sponsor receives FDA approval for such product before we do, we would be prevented from launching our product in the United States for the orphan indication for a period of at least seven years, unless we can demonstrate clinical superiority. Moreover, third-party payors may reimburse for products off-label even if not indicated for the orphan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 the past and may in the future conduct clinical trials for our product candidates outside the United States, and the FDA or non-U.S.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authorities may not accept data from such trials in the development or approval of our product candidates in those jurisdictions.</w:t>
      </w:r>
    </w:p>
    <w:p>
      <w:pPr>
        <w:spacing w:after="0" w:line="99"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We have in the past and may in the future conduct clinical trials outside the U.S. and the FDA and foreign regulatory authorities may not accept those data in support of the further development or approval of our product candidates. The acceptance of trial data from clinical trials conducted outside the United States by the FDA or applicable foreign regulatory authority may be subject to certain conditions.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and (ii) the trials were performed by clinical investigators of recognized competence and pursuant to GCP regulations. Additionally, the FDA’s clinical trial requirements, including sufficient size of patient populations and statistical powering, must be met. Many foreign regulatory bodies have similar approval requirements.</w:t>
      </w:r>
    </w:p>
    <w:p>
      <w:pPr>
        <w:spacing w:after="0" w:line="81"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In addition, such foreign trials will be subject to the applicable local laws of the foreign jurisdictions where the trials are conducted. There can be no assurance that the FDA or any applicable foreign regulatory authority will accept data from trials conducted outside of the United States. If the FDA or any applicable foreign regulatory authority does not accept such data, it would result in the need to conduct additional trials beyond those we have planned, which would be costly and time-consuming and delay aspects of our business plan, and which may result in our product candidates not receiving marketing approval for commercialization in the applicable jurisdiction.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Commercialization Risks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grow revenues and execute on our long-term strategy depends heavily on our ability to discover, develop, and obtain marketing approval for our product candidates.</w:t>
      </w:r>
    </w:p>
    <w:p>
      <w:pPr>
        <w:spacing w:after="0" w:line="51"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We currently have no products approved for commercial distribution. We have invested a significant portion of our efforts and financial resources in the development of our product candidates. Our business depends on the successful development and commercialization of our product candidates, which will require additional clinical and preclinical development, regulatory approval, commercial manufacturing arrangements, establishment of a commercial organization, significant marketing efforts, and further investment, which may never occur. Our ability to generate revenues is substantially dependent on our ability to develop, obtain regulatory approval for, and then successfully commercialize our product candidates. Except for the revenues from previously sold products, we currently generate no revenues from sales of any products, and we may never be able to develop or commercialize a marketable product.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0" w:name="page41"/>
    <w:bookmarkEnd w:id="40"/>
    <w:p>
      <w:pPr>
        <w:jc w:val="both"/>
        <w:ind w:firstLine="510"/>
        <w:spacing w:after="0" w:line="252" w:lineRule="auto"/>
        <w:rPr>
          <w:sz w:val="20"/>
          <w:szCs w:val="20"/>
          <w:color w:val="auto"/>
        </w:rPr>
      </w:pPr>
      <w:r>
        <w:rPr>
          <w:rFonts w:ascii="Times New Roman" w:cs="Times New Roman" w:eastAsia="Times New Roman" w:hAnsi="Times New Roman"/>
          <w:sz w:val="18"/>
          <w:szCs w:val="18"/>
          <w:color w:val="auto"/>
        </w:rPr>
        <w:t>In order for us to achieve our long-term business objectives, we will need to successfully discover and/or develop and commercialize our product candidates. Although we have made, and expect to continue to make, significant investments in research and development, we have had only a limited number of our internally-discovered product candidates reach the clinical development stage. We currently have one clinical-stage candidate, APVO436, which is built on the ADAPTIR platform. Drug discovery and development is a complex, time-consuming and expensive process that is fraught with risk and a high rate of failure. Our product candidates are susceptible to the risks of failure inherent at any stage of product development, including the appearance of unexpected or unacceptable adverse events or failure to demonstrate efficacy in clinical trials. For example, in 2018, we announced the discontinuation of development of APVO414 and otlertuzumab as a result of clinical trial results. In addition, in October 2019, we announced our decision to discontinue development of APVO210, a novel investigational bispecific antibody candidate under development for the treatment of autoimmune diseases. The decision followed the review of data from Phase 1 multiple ascending dose (MAD) clinical study of APVO210 in healthy volunteers that suggests that APVO210 would not meet the desired target product profile for future commercialization. Specifically, the clinical data showed evidence of increasing titers of ADA with repeated doses of APVO210, which had varying impact on APVO210 drug levels in subjects’ blood. Failure to successfully discover and/or develop, obtain marketing approval for and commercialize additional products and product candidates would likely have a material adverse effect on our ability to grow revenues and improve our financial condition. If we are required to conduct additional clinical trials or other testing of our product candidates that we develop beyond those that we currently expect, if we are unable to successfully complete clinical trials of our product candidates or other testing, if the results of these trials or tests are not positive or are only modestly positive, or if there are safety concerns, we may be delayed in obtaining marketing approval for our product candidates, not obtain marketing approval at all, obtain approval for limited indications or patient populations, with a label without claims necessary for us to successfully market our products, or with significant labeled warnings. We may also be subject to additional post-marketing testing requirements, surveillance requirements, or REMS. To the extent any of the foregoing should occur, our business may be materially harmed.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use and further develop our ADAPTIR or ADAPTIR-FLEX platforms.</w:t>
      </w:r>
    </w:p>
    <w:p>
      <w:pPr>
        <w:spacing w:after="0" w:line="121" w:lineRule="exact"/>
        <w:rPr>
          <w:sz w:val="20"/>
          <w:szCs w:val="20"/>
          <w:color w:val="auto"/>
        </w:rPr>
      </w:pPr>
    </w:p>
    <w:p>
      <w:pPr>
        <w:jc w:val="both"/>
        <w:ind w:firstLine="510"/>
        <w:spacing w:after="0" w:line="253" w:lineRule="auto"/>
        <w:rPr>
          <w:sz w:val="20"/>
          <w:szCs w:val="20"/>
          <w:color w:val="auto"/>
        </w:rPr>
      </w:pPr>
      <w:r>
        <w:rPr>
          <w:rFonts w:ascii="Times New Roman" w:cs="Times New Roman" w:eastAsia="Times New Roman" w:hAnsi="Times New Roman"/>
          <w:sz w:val="18"/>
          <w:szCs w:val="18"/>
          <w:color w:val="auto"/>
        </w:rPr>
        <w:t>A key element of our strategy is to expand our product pipeline of immunotherapeutics based on our ADAPTIR and ADAPTIR-FLEX platform technologies. We plan to select and create product candidates for early development, potentially with other collaborative partners. We expect to continue to develop the platform to address unmet medical needs through directed cytokine delivery via monospecifics and bispecifics in areas including oncology, and multi-specific molecules in oncology and other therapeutic areas. Our goal is to leverage this technology to make targeted investment in monospecific, bispecific, and multi-specific ADAPTIR and ADAPTIR-FLEX therapeutics. Even if we are successful in continuing to build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and achieve market acceptance. If we do not successfully develop and commercialize product candidates based on our ADAPTIR and ADAPTIR-FLEX platform technologies, our ability to obtain product revenues in future periods may be adversely affected, which likely would result in harm to our financial position and our financial prospects, and adversely affect our stock price.</w:t>
      </w:r>
    </w:p>
    <w:p>
      <w:pPr>
        <w:spacing w:after="0" w:line="190" w:lineRule="exact"/>
        <w:rPr>
          <w:sz w:val="20"/>
          <w:szCs w:val="20"/>
          <w:color w:val="auto"/>
        </w:rPr>
      </w:pPr>
    </w:p>
    <w:p>
      <w:pPr>
        <w:jc w:val="both"/>
        <w:ind w:right="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and will continue to face substantial competition and our failure to effectively compete may prevent us from achieving significant market penetration for our product candidates, if approved.</w:t>
      </w:r>
    </w:p>
    <w:p>
      <w:pPr>
        <w:spacing w:after="0" w:line="51"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The development and commercialization of new biotechnology products is highly competitive and subject to rapid technological advances. We may face future competition with respect to our current product candidates and any product candidates we may seek to develop or commercialize in the future obtained from other companies and governments, universities, and other non-profit research organizations. Our competitors may develop products that are safer, more effective, more convenient, or less costly than any products that we may develop or market, or may obtain marketing approval for their products from the FDA, or equivalent foreign regulatory bodies more rapidly than we may obtain approval for our product candidates. Our competitors may have greater resources and may devote greater resources to research and develop their products, research and development capabilities, adapt more quickly to new technologies, scientific advances or patient preferences and needs, initiate or withstand substantial price competition or macroeconomic impacts more successfully, or more effectively negotiate third-party licensing and collaborative arrangements.</w:t>
      </w:r>
    </w:p>
    <w:p>
      <w:pPr>
        <w:spacing w:after="0" w:line="84"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We believe that our most significant competitors in the oncology market include: AbbVie Inc., Affimed, Amgen Inc., AnaptysBio, Inc., Astellas Pharma Inc., Bayer AG, Biogen Idec Inc., Boehringer Ingelheim GmbH, Bristol Myers Squibb, Cellectis, Chinook Therapeutics, F-Star Biotechnology Ltd., Genentech Inc. (a subsidiary of F. Hoffmann-La Roche Ltd.), Genmab A/S, GlaxoSmithKline plc, Grifols USA LLC, Harpoon Therapeutics, ImmunoGen, Inc., Immunomedics, Inc., Inhibrx Inc., Janssen BioTech Inc., Johnson &amp; Johnson, Macrogenics, Inc., Pieris Pharmaceuticals, Inc., ProMab Biotechnologies, Sanofi-Aventis US LLC, Strike Pharma, Takeda Pharmaceuticals U.S.A., Inc., Xencor, Inc. and Zymeworks Biopharmaceuticals, Inc. We expect to compete on the basis of product efficacy, safety, ease of administration, price and economic value compared to drugs used in current practice or currently being developed. If we are not successful in demonstrating these attributes, physicians and other key healthcare decision makers may choose other products over any products we successfully develop, switch from our products to new products or choose to use our products only in limited circumstances, which could adversely affect our business, financial condition and results of operations.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1" w:name="page42"/>
    <w:bookmarkEnd w:id="4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of our product candidates, if approved, may become subject to unfavorable pricing regulations or third-party coverage and reimbursement policies, which would harm our business</w:t>
      </w:r>
      <w:r>
        <w:rPr>
          <w:rFonts w:ascii="Times New Roman" w:cs="Times New Roman" w:eastAsia="Times New Roman" w:hAnsi="Times New Roman"/>
          <w:sz w:val="18"/>
          <w:szCs w:val="18"/>
          <w:b w:val="1"/>
          <w:bCs w:val="1"/>
          <w:color w:val="auto"/>
        </w:rPr>
        <w:t>.</w:t>
      </w:r>
    </w:p>
    <w:p>
      <w:pPr>
        <w:spacing w:after="0" w:line="51"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The success of our product candidates, if approved, will depend upon, among other things, their acceptance by physicians, patients, third-party payors, and other members of the medical community as a therapeutic and cost-effective alternative to competing products and treatments. If any of our product candidates do not achieve and maintain an adequate level of acceptance, we may not generate material revenues from sales of these products. The degree of market acceptance of our products will depend on a number of factors, including: our ability to provide acceptable evidence of safety and efficacy; the prevalence and severity of any side effects; availability, relative cost and relative efficacy of alternative and competing treatments; the ability to offer our products for sale at competitive prices; our ability to continuously supply the market without interruption; the relative convenience and ease of administration; the willingness of the target patient population to try new products and of physicians to prescribe these products; the strength of marketing and distribution support; publicity concerning our products or competing products and treatments; and the sufficiency of coverage or reimbursement by third parties.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Legislative or healthcare reform measures may have a material adverse effect on our business and results of operations.</w:t>
      </w:r>
    </w:p>
    <w:p>
      <w:pPr>
        <w:spacing w:after="0" w:line="121" w:lineRule="exact"/>
        <w:rPr>
          <w:sz w:val="20"/>
          <w:szCs w:val="20"/>
          <w:color w:val="auto"/>
        </w:rPr>
      </w:pPr>
    </w:p>
    <w:p>
      <w:pPr>
        <w:jc w:val="both"/>
        <w:ind w:firstLine="510"/>
        <w:spacing w:after="0" w:line="253"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For example, in March 2010, the ACA was enacted, which substantially changed the way health care is financed by both governmental and private insurers, and significantly impacted the U.S. pharmaceutical industry. However, some provisions of the ACA have yet to be fully implemented and certain provisions have been subject to legal and political challenges, as well as efforts to repeal, replace delay, circumvent, or loosen certain aspects of the ACA or mandates required thereby. Additionally, Congress has considered legislation that would repeal or repeal and replace all or part of the ACA. While Congress has not passed comprehensive repeal legislation, it has enacted laws that modify certain provisions of the ACA, such as removing penalties as of January 1, 2019 for not complying with the ACA’s individual mandate to carry health insurance, delaying the implementation of certain ACA-mandated fees, and increasing the point-of-sale discount that is owed by pharmaceutical manufacturers who participate in Medicare Part D. On June 17, 2021, the U.S. Supreme Court dismissed the most recent judicial challenge to the ACA brought by several states without specifically ruling on the constitutionality of the ACA. It is unclear how other healthcare reform measures of the Biden administration or other efforts, if any, to challenge, repeal or replace the ACA will impact our business. In addition, other legislative changes have been proposed and adopted in the United States since the ACA was enacted:</w:t>
      </w:r>
    </w:p>
    <w:p>
      <w:pPr>
        <w:spacing w:after="0" w:line="84" w:lineRule="exact"/>
        <w:rPr>
          <w:sz w:val="20"/>
          <w:szCs w:val="20"/>
          <w:color w:val="auto"/>
        </w:rPr>
      </w:pPr>
    </w:p>
    <w:p>
      <w:pPr>
        <w:jc w:val="both"/>
        <w:ind w:left="1000" w:hanging="493"/>
        <w:spacing w:after="0" w:line="258"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 2011, the Budget Control Act of 2011 among other things, included aggregate reductions of Medicare payments to providers of 2% per fiscal year. These reductions went into effect on April 1, 2013 and, due to subsequent legislative amendments to the statute, will remain in effect through 2030, with the exception of a temporary suspension from May 1, 2020 through March 31, 2022 due to the COVID-19 pandemic. Following the temporary suspension, a 1% payment reduction occurred beginning April 1, 2022 through June 30, 2022, and the 2% payment reduction will resume on July 1, 2022.</w:t>
      </w:r>
    </w:p>
    <w:p>
      <w:pPr>
        <w:spacing w:after="0" w:line="75" w:lineRule="exact"/>
        <w:rPr>
          <w:rFonts w:ascii="Times New Roman" w:cs="Times New Roman" w:eastAsia="Times New Roman" w:hAnsi="Times New Roman"/>
          <w:sz w:val="18"/>
          <w:szCs w:val="18"/>
          <w:color w:val="auto"/>
        </w:rPr>
      </w:pPr>
    </w:p>
    <w:p>
      <w:pPr>
        <w:jc w:val="both"/>
        <w:ind w:left="1000" w:hanging="493"/>
        <w:spacing w:after="0" w:line="258"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75"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percent per fiscal year. These reductions went into effect on April 1, 2013 and, due to subsequent legislative amendments to the statute, will remain in effect through 2030 unless additional Congressional action is taken.</w:t>
      </w:r>
    </w:p>
    <w:p>
      <w:pPr>
        <w:spacing w:after="0" w:line="79"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Additionally, there has been heightened governmental scrutiny recently over the manner in which manufacturers set prices for their marketed products. For example, there have been several recent Congressional inquiries and proposed and enacted federal and state legislation designed to, among other things, bring more transparency to drug pricing, review the relationship between pricing and manufacturer patient programs, and reform government program reimbursement methodologies for drug products, including by tying reimbursement to the price of products in other developed countries. For example, proposals have been made to increase drug manufacturer competition, increase the negotiating power of certain federal healthcare programs, incentivize manufacturers to lower the list price of their products, and reduce the out-of-pocket costs of drug products paid by consumers.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2" w:name="page43"/>
    <w:bookmarkEnd w:id="42"/>
    <w:p>
      <w:pPr>
        <w:jc w:val="both"/>
        <w:spacing w:after="0" w:line="253" w:lineRule="auto"/>
        <w:rPr>
          <w:sz w:val="20"/>
          <w:szCs w:val="20"/>
          <w:color w:val="auto"/>
        </w:rPr>
      </w:pPr>
      <w:r>
        <w:rPr>
          <w:rFonts w:ascii="Times New Roman" w:cs="Times New Roman" w:eastAsia="Times New Roman" w:hAnsi="Times New Roman"/>
          <w:sz w:val="18"/>
          <w:szCs w:val="18"/>
          <w:color w:val="auto"/>
        </w:rPr>
        <w:t>After Joe Biden was sworn in as the U.S. president, and the Democratic Party obtained an equal number of seats in the U.S. Senate as the Republican Party, as well as maintained control of the U.S. House of Representatives, many expect that the Biden administration will pursue stronger healthcare consumer protections, and overturn some of the prior Trump administration initiatives. However, the legislative and regulatory agendas, as they relate to the healthcare and pharmaceutical industries and the economy as a whole, of the Biden administration and the U.S. Congress currently remain uncertain. One example of President Biden’s priorities came via an executive order that he issued on July 9, 2021 directing the FDA to, among other things, continue to clarify and improve the approval framework for biosimilars, including the standards for interchangeability of biological products, facilitate the development and approval of biosimilar and interchangeable products, clarify existing requirements and procedures related to the review and submission of BLAs, and identify and address any efforts to impede biosimilar competition. Any new laws and initiatives may result in additional reductions in Medicare and other healthcare funding or impose additional regulatory requirements on drug development or approval, which could have a material adverse effect on our future customers and accordingly, our financial operations.</w:t>
      </w:r>
    </w:p>
    <w:p>
      <w:pPr>
        <w:spacing w:after="0" w:line="86"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any product candidates we successfully develop or additional pricing pressures.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Regulatory and Compliance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long-term success depends, in part, upon our ability to develop, receive regulatory approval for and commercialize our product candidates.</w:t>
      </w:r>
    </w:p>
    <w:p>
      <w:pPr>
        <w:spacing w:after="0" w:line="121"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including testing, manufacture, recordkeeping, storage, and approval, are subject to comprehensive regulation by the FDA and other regulatory agencies in the United States and by comparable authorities in other countries. Failure to obtain regulatory approval for a product candidate will prevent us from commercializing the product candidate. We have limited resources for use in preparing, filing, and supporting the applications necessary to gain regulatory approvals and expect to rely on third-party contract research organizations and consultants to assist us in this process.</w:t>
      </w:r>
    </w:p>
    <w:p>
      <w:pPr>
        <w:spacing w:after="0" w:line="75"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The FDA and other comparable regulatory agencies in foreign countries impose substantial and rigorous requirements for the development, production, marketing authorization and commercial introduction of drug products. These requirements include non-clinical, laboratory and clinical testing procedures, sampling activities, clinical trials, and other costly and time-consuming procedures. In addition, regulation is not static, and regulatory authorities, including the FDA evolve in their staff interpretations and practices and may impose more stringent or different requirements than currently in effect, which may adversely affect our planned and ongoing drug development and/or our sales and marketing efforts.</w:t>
      </w:r>
    </w:p>
    <w:p>
      <w:pPr>
        <w:spacing w:after="0" w:line="75"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In the United States, to obtain approval from the FDA to market any of our future biologic products, we will be required to submit a BLA to the FDA. Ordinarily, the FDA requires a sponsor to support a BLA with substantial evidence of the product’s safety, purity, and potency in treating the targeted indication based on data derived from adequate and well-controlled clinical trials, including Phase 3 safety and efficacy trials conducted in patients with the disease or condition being targeted.</w:t>
      </w:r>
    </w:p>
    <w:p>
      <w:pPr>
        <w:spacing w:after="0" w:line="72"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Developing and obtaining regulatory approval for product candidates is a lengthy process, often taking a number of years, is uncertain and expensive. All of the product candidates that we are developing, or may develop in the future, require research and development, non-clinical studies, non-clinical testing, and clinical trials prior to seeking regulatory approval, and commencing commercial sales. In addition, we may need to address a number of technological challenges in order to complete development of our product candidates. As a result, the development of product candidates may take longer than anticipated or not be successful at all.</w:t>
      </w:r>
    </w:p>
    <w:p>
      <w:pPr>
        <w:spacing w:after="0" w:line="75"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non-clinical tests or clinical trials above what we currently have planned will be required, will begin as planned, will need to be restructured, or will be completed on schedule, or at all. Significant delays relating to any preclinical or clinical trials also could shorten any periods during which we may have the exclusive right to commercialize our product candidates or allow our competitors to bring products to market before we do. This may prevent us from receiving marketing approvals and impair our ability to successfully commercialize our product candidates and may harm our business and results of operations. In addition, many of the factors that cause, or lead to, delays in clinical trials may ultimately lead to the denial of marketing approval of any of our product candidates. If any of this occurs, our business, financial condition, results of operations, and prospects will be materially harmed.</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Generally, no product can receive FDA approval, marketing authorization from the European Commission or the competent authorities of the EU Member States, or approval from comparable regulatory agencies in foreign countries unless data generated in human clinical trials demonstrates both safety and efficacy for each target indication in accordance with such authority’s standards.</w:t>
      </w:r>
    </w:p>
    <w:p>
      <w:pPr>
        <w:spacing w:after="0" w:line="67" w:lineRule="exact"/>
        <w:rPr>
          <w:sz w:val="20"/>
          <w:szCs w:val="20"/>
          <w:color w:val="auto"/>
        </w:rPr>
      </w:pPr>
    </w:p>
    <w:p>
      <w:pPr>
        <w:jc w:val="both"/>
        <w:ind w:right="20" w:firstLine="510"/>
        <w:spacing w:after="0" w:line="282" w:lineRule="auto"/>
        <w:rPr>
          <w:sz w:val="20"/>
          <w:szCs w:val="20"/>
          <w:color w:val="auto"/>
        </w:rPr>
      </w:pPr>
      <w:r>
        <w:rPr>
          <w:rFonts w:ascii="Times New Roman" w:cs="Times New Roman" w:eastAsia="Times New Roman" w:hAnsi="Times New Roman"/>
          <w:sz w:val="18"/>
          <w:szCs w:val="18"/>
          <w:color w:val="auto"/>
        </w:rPr>
        <w:t>The large majority of product candidates that begin human clinical trials fail to demonstrate the required safety and efficacy characteristics necessary for marketing approval. Failure to demonstrate the safety and efficacy of any of our product candidates for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3" w:name="page44"/>
    <w:bookmarkEnd w:id="43"/>
    <w:p>
      <w:pPr>
        <w:jc w:val="both"/>
        <w:spacing w:after="0" w:line="261" w:lineRule="auto"/>
        <w:rPr>
          <w:sz w:val="20"/>
          <w:szCs w:val="20"/>
          <w:color w:val="auto"/>
        </w:rPr>
      </w:pPr>
      <w:r>
        <w:rPr>
          <w:rFonts w:ascii="Times New Roman" w:cs="Times New Roman" w:eastAsia="Times New Roman" w:hAnsi="Times New Roman"/>
          <w:sz w:val="18"/>
          <w:szCs w:val="18"/>
          <w:color w:val="auto"/>
        </w:rPr>
        <w:t>each target indication in clinical trials would prevent us from obtaining required approvals from regulatory authorities, which would prevent us from commercializing those product candidates. Negative or inconclusive results from the clinical trials or adverse medical events during the trials could lead to requirements that trials be repeated or extended, or that additional trials be conducted, any of which may not be clinically feasible or financially practicable, that the conduct of trials be suspended, or that a program be terminated.</w:t>
      </w:r>
    </w:p>
    <w:p>
      <w:pPr>
        <w:spacing w:after="0" w:line="72"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Any regulatory approval we ultimately obtain may limit the indicated uses for the product or subject the product to restrictions or post-approval commitments that render the product commercially non-viable. Securing regulatory approval requires the submission of extensive non-clinical and clinical data, information about product manufacturing processes and inspection of facilities and supporting information to the regulatory authorities for each therapeutic indication to establish the product’s safety and efficacy. If we are unable to submit the necessary data and information, for example, because the results of clinical trials are not favorable, or if the applicable regulatory authority delays reviewing or does not approve our applications, we will be unable to obtain regulatory approval.</w:t>
      </w:r>
    </w:p>
    <w:p>
      <w:pPr>
        <w:spacing w:after="0" w:line="79"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Delays in obtaining or failure to obtain regulatory approvals may delay or prevent the successful commercialization of any of the products or product candidates in the jurisdiction for which approval is sought; diminish our competitive advantage; and defer or decrease our receipt of revenue.</w:t>
      </w:r>
    </w:p>
    <w:p>
      <w:pPr>
        <w:spacing w:after="0" w:line="54"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Some of our product candidates previously in development experienced regulatory and/or clinical setbacks. Clinical development has been discontinued for product candidates otlertuzumab, APVO414, and APVO210. Both APVO414 and APVO210 were discontinued after patients developed ADA. Most recently, in 2019, we elected to discontinue the APVO210 development program following the review of data from the Phase 1 multiple ascending dose (MAD) clinical study of APVO210 in healthy volunteers that suggests that APVO210 would not meet the desired target product profile for future commercialization. Specifically, the clinical data showed evidence of increasing titers of ADA with repeated doses of APVO210, which had varying impact on APVO210 drug levels in subjects’ blood. The cause of the ADA is uncertain; however, we believe that appearance of ADA is related to the mechanism of action of APVO210, and not due to the structure, or sequences characteristic of the ADAPTIR platform. Although we have re-designed certain components of the ADAPTIR platform based on what we have learned in prior clinical trials, there is no guarantee that the occurrence of ADA or other clinical setbacks will not occur in the development of our existing and future ADAPTIR product candidates.</w:t>
      </w:r>
    </w:p>
    <w:p>
      <w:pPr>
        <w:spacing w:after="0" w:line="80"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The procedures to obtain marketing approvals vary among countries and can involve additional clinical trials or other pre-filing requirements. The time required to obtain foreign regulatory approval may differ from that required to obtain FDA approval. The foreign regulatory approval process may include all the risks associated with obtaining FDA approval, or different or additional risks. Regulatory agencies may have varying interpretations of the same data, and approval by one regulatory authority does not ensure approval by regulatory authorities in other jurisdictions. Accordingly, approval by the FDA does not ensure approval by the regulatory authorities in other countries, and approval by one foreign regulatory authority does not ensure approval by the FDA or regulatory authorities in other foreign countries. Failure to obtain regulatory approval in one jurisdiction, however, may impact the decision of other jurisdictions. We may not be able to file for regulatory approvals and may not receive necessary approvals to commercialize our products and products in development in any market on a timely basis, if at all.</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are and will continue to be subject to ongoing obligations and continued regulatory review, which may result in significant additional expense. We may be subject to penalties if we fail to comply with regulatory requirements or experience unanticipated problems with our products.</w:t>
      </w:r>
    </w:p>
    <w:p>
      <w:pPr>
        <w:spacing w:after="0" w:line="67"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We and our product candidates are subject to extensive and ongoing requirements of and review by the FDA and other regulatory authorities, including requirements related to the conduct of clinical and non-clinical studies, manufacturing processes, post-approval clinical data, labeling, packaging, distribution, adverse event reporting, storage, recordkeeping, export, import, advertising, marketing, and promotional activities for such products. These requirements further include submissions of safety and other post-marketing information, including manufacturing deviations and reports, registration and listing requirements, the payment of annual fees, continued compliance with GMP-requirements relating to manufacturing, quality control, quality assurance, and corresponding maintenance of records and documents, and requirements regarding the distribution of samples to physicians. Manufacturers and manufacturers’ facilities are required to comply with extensive FDA, and comparable foreign regulatory authority requirements, including ensuring that quality control and manufacturing procedures conform to GMP requirements and applicable product tracking and tracing requirements.</w:t>
      </w:r>
    </w:p>
    <w:p>
      <w:pPr>
        <w:spacing w:after="0" w:line="84"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among other actions, withdraw approval,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75"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We and any of our collaborators could be subject to periodic unannounced inspections by the FDA to monitor and ensure compliance with GMPs and other FDA regulatory requirements. Application holders must further notify the FDA, and depending on the nature of the change, obtain FDA pre-approval for product and manufacturing changes. In addition, later discovery of previously unknown adverse events or that the product is less effective than previously thought or other problems with our products, manufacturers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or manufacturing processes, or failure to comply with regulatory requirements both before and after approval, may yield various results, including:</w:t>
      </w:r>
    </w:p>
    <w:p>
      <w:pPr>
        <w:spacing w:after="0" w:line="117" w:lineRule="exact"/>
        <w:rPr>
          <w:sz w:val="20"/>
          <w:szCs w:val="20"/>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manufacturing or distribution, or marketing of such products;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modifications to promotional pieces and product labels;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corrective information;</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other clinical trials;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or termination of clinical trials;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establish or modify a REMS or a similar strategy;</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way the product is administered;</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harm caused to patients or subjects;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harm;</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becoming less competitive;</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untitled, or cyber letters;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marketing or withdrawal of the products from the market;</w:t>
      </w:r>
    </w:p>
    <w:p>
      <w:pPr>
        <w:spacing w:after="0" w:line="144"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authority issuance of safety alerts, Dear Healthcare Provider letters, press releases, or other communications containing warnings or other safety information about the product;</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of products;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w:t>
      </w:r>
    </w:p>
    <w:p>
      <w:pPr>
        <w:spacing w:after="0" w:line="144" w:lineRule="exact"/>
        <w:rPr>
          <w:rFonts w:ascii="Times New Roman" w:cs="Times New Roman" w:eastAsia="Times New Roman" w:hAnsi="Times New Roman"/>
          <w:sz w:val="18"/>
          <w:szCs w:val="18"/>
          <w:color w:val="auto"/>
        </w:rPr>
      </w:pPr>
    </w:p>
    <w:p>
      <w:pPr>
        <w:ind w:left="1000" w:right="20" w:hanging="493"/>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debarment, suspension and debarment from government contracts, and refusal of orders under existing government contracts, exclusion from federal healthcare programs, consent decrees, or corporate integrity agreements; or</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including imprisonment.</w:t>
      </w:r>
    </w:p>
    <w:p>
      <w:pPr>
        <w:spacing w:after="0" w:line="144"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product approval and market acceptance of the particular product candidate, if approved, or could substantially increase the costs and expenses of developing and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72"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The FDA’s policies may change and additional government laws and regulations may be enacted that could prevent, limit, or delay regulatory approval of our product candidates, that could limit the marketability of our product candidates, or that could impose additional regulatory obligations on us. By example the change in the U.S. administration that occurred on January 20, 2021 may result in new or revised laws, regulatory requirements, and associated compliance obligations, as well as postponed or frozen regulatory requirements. Changes in medical practice and standard of care may also impact the marketability of our product candidates. If we are slow or unable to adapt to changes in existing requirements, standards of care, or the adoption of new requirements or policies, or if we are not able to maintain regulatory compliance, we may lose any marketing approval that we may have obtained and be subject to regulatory enforcement action.</w:t>
      </w:r>
    </w:p>
    <w:p>
      <w:pPr>
        <w:spacing w:after="0" w:line="81" w:lineRule="exact"/>
        <w:rPr>
          <w:sz w:val="20"/>
          <w:szCs w:val="20"/>
          <w:color w:val="auto"/>
        </w:rPr>
      </w:pPr>
    </w:p>
    <w:p>
      <w:pPr>
        <w:jc w:val="both"/>
        <w:ind w:right="20" w:firstLine="510"/>
        <w:spacing w:after="0" w:line="282" w:lineRule="auto"/>
        <w:rPr>
          <w:sz w:val="20"/>
          <w:szCs w:val="20"/>
          <w:color w:val="auto"/>
        </w:rPr>
      </w:pPr>
      <w:r>
        <w:rPr>
          <w:rFonts w:ascii="Times New Roman" w:cs="Times New Roman" w:eastAsia="Times New Roman" w:hAnsi="Times New Roman"/>
          <w:sz w:val="18"/>
          <w:szCs w:val="18"/>
          <w:color w:val="auto"/>
        </w:rPr>
        <w:t>Should any of the above actions take place, they could adversely affect our ability to achieve or sustain profitability. Further, the cost of compliance with post-approval regulations may have a negative effect on our operating results and financial condition.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5" w:name="page46"/>
    <w:bookmarkEnd w:id="4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foreign, federal, state, and local healthcare laws, including fraud and abuse and health information privacy and security laws, we could face substantial penalties and our business, results of operations, financial condition and prospects could be adversely affected.</w:t>
      </w:r>
    </w:p>
    <w:p>
      <w:pPr>
        <w:spacing w:after="0" w:line="51"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As a biotechnology company, even though we do not provide healthcare services or receive payments directly from or bill directly to Medicare, Medicaid, or other third-party payors for our products, certain federal, state, local and foreign healthcare laws and regulations pertaining to fraud and abuse and patients’ rights are applicable to our business. We are subject to healthcare fraud and abuse and patient privacy regulation by both the federal government and the states in which we conduct our business. The laws that may affect our ability to operate include:</w:t>
      </w:r>
    </w:p>
    <w:p>
      <w:pPr>
        <w:spacing w:after="0" w:line="72" w:lineRule="exact"/>
        <w:rPr>
          <w:sz w:val="20"/>
          <w:szCs w:val="20"/>
          <w:color w:val="auto"/>
        </w:rPr>
      </w:pPr>
    </w:p>
    <w:p>
      <w:pPr>
        <w:jc w:val="both"/>
        <w:ind w:left="1020" w:hanging="499"/>
        <w:spacing w:after="0" w:line="256" w:lineRule="auto"/>
        <w:tabs>
          <w:tab w:leader="none" w:pos="10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makes it illegal for any person or entity, including a prescription drug manufacturer (or a party acting on its behalf) to knowingly and willfully solicit, receive, offer or pay remuneration, directly or indirectly, overtly or covertly, to induce, or in return for, either the referral of an individual, or the purchase, lease, prescribing or recommendation of an item, good, facility or service reimbursable by a federally funded healthcare program, such as the Medicare or Medicaid program. The term “remuneration” has been interpreted broadly and may constrain our marketing practices, educational programs, pricing policies and relationships with healthcare providers or other entities, among other activities;</w:t>
      </w:r>
    </w:p>
    <w:p>
      <w:pPr>
        <w:spacing w:after="0" w:line="79" w:lineRule="exact"/>
        <w:rPr>
          <w:rFonts w:ascii="Times New Roman" w:cs="Times New Roman" w:eastAsia="Times New Roman" w:hAnsi="Times New Roman"/>
          <w:sz w:val="18"/>
          <w:szCs w:val="18"/>
          <w:color w:val="auto"/>
        </w:rPr>
      </w:pPr>
    </w:p>
    <w:p>
      <w:pPr>
        <w:jc w:val="both"/>
        <w:ind w:left="1020" w:hanging="499"/>
        <w:spacing w:after="0" w:line="258" w:lineRule="auto"/>
        <w:tabs>
          <w:tab w:leader="none" w:pos="10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including the federal False Claims Act, and false statement laws and civil monetary penalty laws, which impose criminal and civil penalties, including through civil whistleblower or qui tam actions, on individuals or entities for, among other things, knowingly presenting, or causing to be presented, claims for payment or approval from Medicare, Medicaid or other federal health care programs that are false or fraudulent or knowingly making any materially false statement in connection with the delivery or payment for healthcare benefits, items or services;</w:t>
      </w:r>
    </w:p>
    <w:p>
      <w:pPr>
        <w:spacing w:after="0" w:line="75" w:lineRule="exact"/>
        <w:rPr>
          <w:rFonts w:ascii="Times New Roman" w:cs="Times New Roman" w:eastAsia="Times New Roman" w:hAnsi="Times New Roman"/>
          <w:sz w:val="18"/>
          <w:szCs w:val="18"/>
          <w:color w:val="auto"/>
        </w:rPr>
      </w:pPr>
    </w:p>
    <w:p>
      <w:pPr>
        <w:jc w:val="both"/>
        <w:ind w:left="1020" w:hanging="499"/>
        <w:spacing w:after="0" w:line="255" w:lineRule="auto"/>
        <w:tabs>
          <w:tab w:leader="none" w:pos="10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Health Insurance Portability and Accountability Act of 1996, as amended, or HIPAA, which imposes criminal and civil liability for,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80" w:lineRule="exact"/>
        <w:rPr>
          <w:rFonts w:ascii="Times New Roman" w:cs="Times New Roman" w:eastAsia="Times New Roman" w:hAnsi="Times New Roman"/>
          <w:sz w:val="18"/>
          <w:szCs w:val="18"/>
          <w:color w:val="auto"/>
        </w:rPr>
      </w:pPr>
    </w:p>
    <w:p>
      <w:pPr>
        <w:jc w:val="both"/>
        <w:ind w:left="1020" w:hanging="499"/>
        <w:spacing w:after="0" w:line="274" w:lineRule="auto"/>
        <w:tabs>
          <w:tab w:leader="none" w:pos="102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HIPAA, as amended by the Health Information Technology for Economic and Clinical Health, or HITECH, and their respective implementing regulations mandates, among other things, the adoption of uniform standards for the electronic exchange of information in common healthcare transactions, as well as standards relating to the privacy, security and transmission of individually identifiable health information, which require the adoption of administrative, physical and technical safeguards to protect such information. Among other things, HITECH makes HIPAA's security standards directly applicable to "business associates", or independent contractors or agents of covered entities that create, receive or obtain protected health information in connection with providing a service for or on behalf of a covered entity;</w:t>
      </w:r>
    </w:p>
    <w:p>
      <w:pPr>
        <w:spacing w:after="0" w:line="64" w:lineRule="exact"/>
        <w:rPr>
          <w:rFonts w:ascii="Times New Roman" w:cs="Times New Roman" w:eastAsia="Times New Roman" w:hAnsi="Times New Roman"/>
          <w:sz w:val="17"/>
          <w:szCs w:val="17"/>
          <w:color w:val="auto"/>
        </w:rPr>
      </w:pPr>
    </w:p>
    <w:p>
      <w:pPr>
        <w:jc w:val="both"/>
        <w:ind w:left="1000" w:hanging="493"/>
        <w:spacing w:after="0" w:line="258"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and its implementing regulations, which requires certain manufacturers of drugs, biologics, medical devices and medical supplies for which payment is available under Medicare, Medicaid or the CMS, certain payments and transfers of value made to physicians and teaching hospitals, and ownership or investment interests held by physicians and their immediate family members. Effective January 1, 2022, applicable manufacturers are required to report information regarding payments and transfers of value provided to physician assistants, nurse practitioners, clinical nurse specialists, certified nurse anesthetists, and certified nurse-midwives; and,</w:t>
      </w:r>
    </w:p>
    <w:p>
      <w:pPr>
        <w:spacing w:after="0" w:line="75" w:lineRule="exact"/>
        <w:rPr>
          <w:rFonts w:ascii="Times New Roman" w:cs="Times New Roman" w:eastAsia="Times New Roman" w:hAnsi="Times New Roman"/>
          <w:sz w:val="18"/>
          <w:szCs w:val="18"/>
          <w:color w:val="auto"/>
        </w:rPr>
      </w:pPr>
    </w:p>
    <w:p>
      <w:pPr>
        <w:jc w:val="both"/>
        <w:ind w:left="1000" w:hanging="493"/>
        <w:spacing w:after="0" w:line="254"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which may apply to items or services reimbursed by any third-party payor, including commercial insurers; state and foreign laws governing the privacy and security of health information in certain circumstances, many of which differ from each other in significant ways and may not have the same effect, thus complicating compliance efforts; state, local and foreign laws that require pharmaceutical companies to comply with the pharmaceutical industry’s voluntary compliance guidelines and the relevant compliance guidance promulgated by the federal government, obtain pharmaceutical agent licensure, and/or otherwise restrict payments that may be made to healthcare providers and entities; and state, local and foreign laws and industry codes that require drug manufacturers to report information related to payments and other transfers of value to healthcare providers or entities, or marketing expenditures.</w:t>
      </w:r>
    </w:p>
    <w:p>
      <w:pPr>
        <w:spacing w:after="0" w:line="84"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under the U.S. federal Anti-Kickback Statute, it is possible that some of our business activities could be subject to challenge under one or more of such laws. Moreover, recent health care reform legislation has strengthened these laws. For example, the ACA, among other things, amends the intent requirement of the federal Anti-Kickback Statute and criminal health care fraud statutes, so that a person or entity no longer needs to have actual knowledge of the statute or specific intent to violate it. In addition, the ACA provides that the government may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6" w:name="page47"/>
    <w:bookmarkEnd w:id="46"/>
    <w:p>
      <w:pPr>
        <w:jc w:val="both"/>
        <w:spacing w:after="0" w:line="282" w:lineRule="auto"/>
        <w:rPr>
          <w:sz w:val="20"/>
          <w:szCs w:val="20"/>
          <w:color w:val="auto"/>
        </w:rPr>
      </w:pPr>
      <w:r>
        <w:rPr>
          <w:rFonts w:ascii="Times New Roman" w:cs="Times New Roman" w:eastAsia="Times New Roman" w:hAnsi="Times New Roman"/>
          <w:sz w:val="18"/>
          <w:szCs w:val="18"/>
          <w:color w:val="auto"/>
        </w:rPr>
        <w:t>assert that a claim including items or services resulting from a violation of the federal Anti-Kickback Statute constitutes a false or fraudulent claim for purposes of the False Claims Act.</w:t>
      </w:r>
    </w:p>
    <w:p>
      <w:pPr>
        <w:spacing w:after="0" w:line="54"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Recently, several pharmaceutical and other healthcare companies have been prosecuted under the federal false claims laws for allegedly inflating drug prices they report to pricing services, which in turn are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interactions with specialty pharmacies, and patient assistance programs may also violate fraud and abuse laws. To the extent that any product we make is sold in a foreign country, we may be subject to similar foreign laws and regulations.</w:t>
      </w:r>
    </w:p>
    <w:p>
      <w:pPr>
        <w:spacing w:after="0" w:line="75"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In addition, certain state and local laws mandate that we comply with a state code of conduct, adopt a company code of conduct under state criteria, disclose marketing payments made to health care professionals and entities, disclose drug pricing information and/or report compliance information to the state authorities. The shifting compliance environment and the need to build and maintain robust and expandable systems to comply in multiple jurisdictions with different compliance and reporting requirements increase the possibility that a pharmaceutical company may violate one or more of the requirements. Any failure to comply with these reporting requirements could result in significant fines and penalties.</w:t>
      </w:r>
    </w:p>
    <w:p>
      <w:pPr>
        <w:spacing w:after="0" w:line="75" w:lineRule="exact"/>
        <w:rPr>
          <w:sz w:val="20"/>
          <w:szCs w:val="20"/>
          <w:color w:val="auto"/>
        </w:rPr>
      </w:pPr>
    </w:p>
    <w:p>
      <w:pPr>
        <w:jc w:val="both"/>
        <w:ind w:firstLine="510"/>
        <w:spacing w:after="0" w:line="253" w:lineRule="auto"/>
        <w:rPr>
          <w:sz w:val="20"/>
          <w:szCs w:val="20"/>
          <w:color w:val="auto"/>
        </w:rPr>
      </w:pPr>
      <w:r>
        <w:rPr>
          <w:rFonts w:ascii="Times New Roman" w:cs="Times New Roman" w:eastAsia="Times New Roman" w:hAnsi="Times New Roman"/>
          <w:sz w:val="18"/>
          <w:szCs w:val="18"/>
          <w:color w:val="auto"/>
        </w:rPr>
        <w:t>The risks of complying with these laws cannot be entirely eliminated. The risk of violation of such laws is also increased because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state, local and foreign privacy, security, fraud and transparency laws may prove costly. If our past or present operations, or those of our distributors are found to be in violation of any of the laws described above or any other governmental regulations that apply to us, we may be subject to sanctions, including civil and administrative penalties, criminal fines, damages, disgorgement, exclusion from participation in U.S. federal or state health care programs, individual imprisonment, integrity obligations, and the curtailment or restructuring of our operations, any of which could materially adversely affect our ability to operate our business and our financial results. Similarly, if healthcare providers, distributors or other entities with whom we do business are found to be out of compliance with applicable laws and regulations, they may be subject to sanctions, which could also have a negative impact on us.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51" w:lineRule="exact"/>
        <w:rPr>
          <w:sz w:val="20"/>
          <w:szCs w:val="20"/>
          <w:color w:val="auto"/>
        </w:rPr>
      </w:pPr>
    </w:p>
    <w:p>
      <w:pPr>
        <w:jc w:val="both"/>
        <w:ind w:firstLine="510"/>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independent contractors, consultants, commercial partners, manufacturers, investigators, or CROs could include intentional, reckless, negligent, or unintentional failures to comply with FDA regulations or applicable fraud and abuse laws, provide accurate information to the FDA, properly calculate pricing information required by federal programs, comply with federal procurement rules or contract terms,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Moreover, it is possible for a whistleblower to pursue a False Claims Act case against us even if the government considers the claim unmeritorious and declines to intervene, which could require us to incur costs defending against such a claim. Further, due to the risk that a judgment in a False Claims Act case could result in exclusion from federal health programs or debarment from government contracts, whistleblower cases often result in large settlements.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including our use of hazardous materials, chemicals, bacteria, and viruses, require us to comply with regulatory requirements and expose us to significant potential liabilities.</w:t>
      </w:r>
    </w:p>
    <w:p>
      <w:pPr>
        <w:spacing w:after="0" w:line="51"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Our operations involve the use of hazardous materials, including chemicals, and may produce dangerous waste products. Accordingly, we, along with the third parties that conduct clinical trials and manufacture our products and product candidates on our behalf, are subject to federal, state, local and foreign laws and regulations that govern the use, manufacture, distribution, storage, handling, exposure, disposal and recordkeeping with respect to these materials. We are also subject to a variety of environmental and occupational health and safety laws. Compliance with current or future laws and regulations can require significant costs and we could be subject to substantial fines and penalties in the event of noncompliance. In addition, the risk of contamination or injury from these materials cannot be completely eliminated. In such event, we could be held liable for substantial civil damages or costs associated with the cleanup of hazardous materials.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Intellectual Property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intellectual proprietary rights, our business could be harmed.</w:t>
      </w:r>
    </w:p>
    <w:p>
      <w:pPr>
        <w:spacing w:after="0" w:line="121"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Our commercial success will depend, in large part, on our ability to obtain and maintain protection in the United States and other countries for the intellectual property covering or incorporated into our technology, products and product candidates. Obtaining and maintaining this protection is very costly. The patentability of technology in the biotechnology field generally is highly uncertain and involves complex legal and scientific questions. We cannot be certain that our patents and patent applications, including our own and those that we have rights through licenses from third parties, will adequately protect our intellectual property. Our success in protecting our intellectual property depends significantly on our ability to:</w:t>
      </w:r>
    </w:p>
    <w:p>
      <w:pPr>
        <w:spacing w:after="0" w:line="75" w:lineRule="exact"/>
        <w:rPr>
          <w:sz w:val="20"/>
          <w:szCs w:val="20"/>
          <w:color w:val="auto"/>
        </w:rPr>
      </w:pPr>
    </w:p>
    <w:p>
      <w:pPr>
        <w:ind w:left="1000" w:hanging="493"/>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U.S. and foreign patents, that are meaningful to our products, including defending those patents against adverse claims;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patent term extension for the patents covering our approved products;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trade secrets;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without infringing the proprietary rights of others; and,</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others from infringing our proprietary rights.</w:t>
      </w:r>
    </w:p>
    <w:p>
      <w:pPr>
        <w:spacing w:after="0" w:line="144"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We may not be able to obtain issued patents relating to our technology or product candidates. Even if issued, patents may inadvertently lapse or be challenged, narrowed, invalidated, or circumvented, which could limit our ability to stop competitors from marketing similar products or limit the duration of patent protection we may have for our product candidates. Further, patents may lapse prior to the regulatory approval of the underlying product in one or more territories. In the past, we have abandoned the prosecution and/or maintenance of patent applications related to patent families in the ordinary course of business. In the future, we may choose to abandon such prosecution and/or maintenance in a similar fashion. If these patent rights are later determined to be valuable or necessary to our business, our competitive position may be adversely affected. Changes in patent laws or administrative patent office rules or changes in interpretations of patent laws in the United States and in other countries may diminish the value of our intellectual property or narrow the scope of our patent protection, or result in costly defensive measures.</w:t>
      </w:r>
    </w:p>
    <w:p>
      <w:pPr>
        <w:spacing w:after="0" w:line="84"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Patent and other intellectual property laws outside the United States are even more uncertain than in the United States and are continually undergoing review and revisions in many countries. Further, the laws of some foreign countries may not protect our intellectual property rights to the same extent as the laws of the United States. For example, certain countries do not grant patent claims that are directed to business methods and processes. In addition, we may have to participate in additional opposition proceedings, like the proceedings described above, to determine the validity of our foreign patents or our competitors’ foreign patents, which could result in substantial costs and diversion of our efforts.</w:t>
      </w:r>
    </w:p>
    <w:p>
      <w:pPr>
        <w:spacing w:after="0" w:line="75"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Our collaborative partners and licensors may not adequately protect our intellectual property rights. These third parties may have the first right to maintain or defend intellectual property rights in which we have an interest and, although we may have the right to assume the maintenance and defense of such intellectual property rights if these third parties do not do so, our ability to maintain and defend such intellectual property rights may be compromised by the acts or omissions of these third parties.</w:t>
      </w:r>
    </w:p>
    <w:p>
      <w:pPr>
        <w:spacing w:after="0" w:line="72"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The cost of litigation to uphold the validity of patents, once obtained, to prevent infringement or to otherwise protect or enforce our proprietary rights could be substantial and, from time to time, our patents are subject to patent office proceedings. Some of our competitors may be better able to sustain the costs of complex patent litigation because they may have substantially greater financial resources. Intellectual property lawsuits are expensive and unpredictable and would consume management’s time and attention and other resources, even if the outcome were successful. In addition, there is a risk that a court would decide that our patents are not valid and that we do not have the right to stop the other party from using the inventions covered by or incorporating them. There is also a risk that, even if the validity of a patent were upheld, a court would refuse to stop the other party from using the invention(s), including on the grounds that its activities do not infringe the patent. If any of these events were to occur, our business, financial condition and operating results could be materially and adversely affected.</w:t>
      </w:r>
    </w:p>
    <w:p>
      <w:pPr>
        <w:spacing w:after="0" w:line="84"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In addition to patent litigation, we may be a party to adversarial proceedings before the Patent Trial and Appeal Board (PTAB) of the US Patent and Trademark Office (USPTO), or the Opposition Division of the European Patent Office (EPO). Potential proceedings before the PTAB include inter partes review proceedings, post-grant review proceedings and interference proceedings. Depending on our level of success at the PTAB and Opposition Division of the EPO, these proceedings could adversely impact our intellectual property rights with respect to our products and technology.</w:t>
      </w:r>
    </w:p>
    <w:p>
      <w:pPr>
        <w:spacing w:after="0" w:line="72"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In addition, the U.S. Supreme Court has ruled on several patent cases in recent years, either narrowing the scope of patent protection available in certain circumstances or weakening the rights of patent owners in certain situations. This combination of events has created uncertainty with respect to the value of patents, once obtained, and with regard to our ability to obtain patents in the future. Depending on decisions by the U.S. Congress, the federal courts, and the USPTO, the laws and regulations governing patents could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8" w:name="page49"/>
    <w:bookmarkEnd w:id="48"/>
    <w:p>
      <w:pPr>
        <w:jc w:val="both"/>
        <w:spacing w:after="0" w:line="282" w:lineRule="auto"/>
        <w:rPr>
          <w:sz w:val="20"/>
          <w:szCs w:val="20"/>
          <w:color w:val="auto"/>
        </w:rPr>
      </w:pPr>
      <w:r>
        <w:rPr>
          <w:rFonts w:ascii="Times New Roman" w:cs="Times New Roman" w:eastAsia="Times New Roman" w:hAnsi="Times New Roman"/>
          <w:sz w:val="18"/>
          <w:szCs w:val="18"/>
          <w:color w:val="auto"/>
        </w:rPr>
        <w:t>change in unpredictable ways that would weaken our ability to obtain new patents or to enforce our existing patents and patents that we might obtain in the future. Patent and intellectual property laws outside of the United States may also change and be uncertain.</w:t>
      </w:r>
    </w:p>
    <w:p>
      <w:pPr>
        <w:spacing w:after="0" w:line="54"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Our patents, once obtained, also may not afford us protection against competitors with similar technology. Because patent applications in the United States and many foreign jurisdictions are typically not published until eighteen months after filing, or in some cases not at all, and because publications of discoveries in the scientific literature often lag behind actual discoveries, neither we nor our licensors can be certain that others have not filed or maintained patent applications for technology used by us or covered by our pending patent applications without our being aware of these applications.</w:t>
      </w:r>
    </w:p>
    <w:p>
      <w:pPr>
        <w:spacing w:after="0" w:line="72"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We also will rely on current and future trademarks to establish and maintain recognized brands, including APTEVO THERAPEUTICS, APTEVO BIOTHERAPEUTICS, APTEVO RESEARCH AND DEVELOPMENT, the Aptevo logo, ADAPTIR, and ADAPTIR-FLEX in relevant jurisdictions. If we fail to acquire and protect such trademarks, our ability to market and sell our products, if approved for marketing, will be harmed. In addition, our current and future trademarks may be challenged, infringed, circumvented, declared generic, lapsed or determined to be infringing on or dilutive of other marks and we may not be able to protect our rights in these trademarks, which we need in order to build name recognition. Any of the foregoing could have a material and adverse effect on our business, financial condition and operating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approved, our products regulated as biologics may face competition from biosimilars approved through an abbreviated regulatory pathway.</w:t>
      </w:r>
    </w:p>
    <w:p>
      <w:pPr>
        <w:spacing w:after="0" w:line="121" w:lineRule="exact"/>
        <w:rPr>
          <w:sz w:val="20"/>
          <w:szCs w:val="20"/>
          <w:color w:val="auto"/>
        </w:rPr>
      </w:pPr>
    </w:p>
    <w:p>
      <w:pPr>
        <w:jc w:val="both"/>
        <w:ind w:firstLine="510"/>
        <w:spacing w:after="0" w:line="253"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Reconciliation Act of 2010, or collectively the ACA, includes a subtitle called the Biologics Price Competition and Innovation Act of 2009, or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 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investigational medicines to be reference products for competing products, potentially creating the opportunity for generic competition sooner than anticipated. Other aspects of the BPCIA, some of which may impact the BPCIA exclusivity provisions, have also been the subject of recent litigation.</w:t>
      </w:r>
    </w:p>
    <w:p>
      <w:pPr>
        <w:spacing w:after="0" w:line="79"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There is a similar abbreviated pathway for the approval of biosimilar products in the EU. Reference products in the EU benefit from an eight year data exclusivity period during which the data included in the dossier for the reference product may not be referenced for the purposes of an abbreviated biosimilar application. Following the expiration of the data exclusivity period, there is an additional two year period of market exclusivity during which a biosimilar marketing authorization application can be submitted, and the innovator’s data may be referenced, but no product can be placed on the market until the expiration of such period. The overall 10-year period can be extended to a maximum of 11 years in certain circumstances. As in the U.S., there is no guarantee that a product will qualify for the prescribed period of exclusivity and, even if a product does qualify, another company may market a competing version of the reference product if such company obtained a marketing authorization with a complete independent data package of pharmaceutical tests, preclinical tests and clinical trials.</w:t>
      </w:r>
    </w:p>
    <w:p>
      <w:pPr>
        <w:spacing w:after="0" w:line="84"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Moreover, the extent to which a biosimilar, once licensed, will be substituted for any one of our reference products in a way that is similar to traditional generic substitution for non-biological products, and will depend on a number of marketplace and regulatory factors that are still developing. If competitors are able to obtain marketing approval for biosimilars referencing any of our products, if approved, our products may become subject to competition from such biosimilars, which would impair our ability to successfully commercialize and generate revenues from sales of such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parties may choose to file patent infringement claims against us.</w:t>
      </w:r>
    </w:p>
    <w:p>
      <w:pPr>
        <w:spacing w:after="0" w:line="121"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Our development and commercialization activities, as well as any product candidates or products resulting from these activities, may infringe or be claimed to infringe patents and other intellectual property rights of third parties under which we do not hold sufficient licenses or other rights. Third parties may be successful in obtaining patent protection for technologies that cover development and commercialization activities in which we are already engaged. These third parties may have substantially greater financial resources than us and could bring claims against us that could cause us to incur substantial expenses to defend against these claims and, if successful against us, could cause us to pay substantial damages. If a patent infringement or other similar suit were brought against us, we could be forced to stop or delay development, manufacturing or sales of the product or product candidate that is the subject of the suit. Intellectual property litigation in the biotechnology industry is common, and we expect this trend to continue.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9" w:name="page50"/>
    <w:bookmarkEnd w:id="49"/>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As a result of patent infringement or other similar claims, or to avoid potential claims, we may choose or be required to seek a license from the third party and be required to pay license fees or royalties or both.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 if at all, or if an injunction is granted against us, which could harm our business significantly.</w:t>
      </w:r>
    </w:p>
    <w:p>
      <w:pPr>
        <w:spacing w:after="0" w:line="79"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There has been substantial litigation and other proceedings regarding patent and other intellectual property rights in the pharmaceutical and biotechnology industries. In addition to infringement claims against us, we may become a party to other patent litigation and other adversarial proceedings such as proceedings before the Patent Trial Appeals Board and opposition proceedings in the European Patent Office, regarding intellectual property rights that could impact our products and technology.</w:t>
      </w:r>
    </w:p>
    <w:p>
      <w:pPr>
        <w:spacing w:after="0" w:line="72"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Patent litigation and other proceedings may also absorb significant management time.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 material adverse effect on our ability to compete in the marketplace. Patent litigation and other proceedings may also absorb significant management time.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Aptevo trademarks may be opposed which could have a material and adverse effect on our business.</w:t>
      </w:r>
    </w:p>
    <w:p>
      <w:pPr>
        <w:spacing w:after="0" w:line="121"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We have applications pending that cover the APTEVO THERAPEUTICS, APTEVO BIOTHERAPEUTICS, and APTEVO RESEARCH AND DEVELOPMENT trademarks. We refer to these trademarks as our house marks. If a third party opposes any of these house marks and we are unable to reach settlement prior to the commencement of an opposition proceeding, we may incur significant expense in the course of participating in the opposition process, which can be expensive and lengthy. Any settlement with a third party may result in our agreeing to be subject to restrictions on our use of the relevant house mark. In addition, if we are unsuccessful in an opposition against a house mark, we would lose the ability to obtain trademark registration for one or more uses of the relevant mark both in the United States and in other territories which could have a material and adverse effect on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have wrongfully used or disclosed alleged trade secrets of their former employers.</w:t>
      </w:r>
    </w:p>
    <w:p>
      <w:pPr>
        <w:spacing w:after="0" w:line="121"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industry, we employ individuals who were previously employed at other biotechnology or pharmaceutical companies, including our competitors or potential competitors.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our obligations in our intellectual property licenses with third parties, could result in loss of license rights or other damages.</w:t>
      </w:r>
    </w:p>
    <w:p>
      <w:pPr>
        <w:spacing w:after="0" w:line="121"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We are a party to a number of license agreements and expect to enter into additional license agreements in the future. Our existing licenses impose, and we expect future licenses will impose, various diligence, milestone payment, royalty, insurance, and other obligations on us. If we fail to comply with these obligations, the licensor may have the right to terminate the license in whole or in part, terminate the exclusive nature of the license and/or sue us for breach, which could cause us to not be able to market any product that is covered by the licensed patents and may be subject to damages.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proprietary information and know-how, the value of our technology and product candidates could be adversely affected.</w:t>
      </w:r>
    </w:p>
    <w:p>
      <w:pPr>
        <w:spacing w:after="0" w:line="51"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In addition to patented technology, we rely upon unpatented proprietary technology, information processes and know-how. These types of trade secrets can be difficult to protect. We seek to protect this confidential information, in part, through agreements with our employees, consultants and third parties as well as confidentiality policies and audits, although these may not be successful in protecting our trade secrets and confidential information. These agreements may be breached, and we may not have adequate remedies for any such breach. In addition, our trade secrets may otherwise become known, including through a potential cyber security breach, or may be independently developed by competitors. If we are unable to protect the confidentiality of our proprietary information and know-how, competitors may be able to use this information to develop products that compete with our products, which could adversely impact our business.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Related to Collaborations and Other Agreements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establishing and maintaining collaborations that leverage our capabilities in pursuit of developing and commercializing our product candidates.</w:t>
      </w:r>
    </w:p>
    <w:p>
      <w:pPr>
        <w:spacing w:after="0" w:line="51" w:lineRule="exact"/>
        <w:rPr>
          <w:sz w:val="20"/>
          <w:szCs w:val="20"/>
          <w:color w:val="auto"/>
        </w:rPr>
      </w:pPr>
    </w:p>
    <w:p>
      <w:pPr>
        <w:jc w:val="both"/>
        <w:ind w:firstLine="510"/>
        <w:spacing w:after="0" w:line="253" w:lineRule="auto"/>
        <w:rPr>
          <w:sz w:val="20"/>
          <w:szCs w:val="20"/>
          <w:color w:val="auto"/>
        </w:rPr>
      </w:pPr>
      <w:r>
        <w:rPr>
          <w:rFonts w:ascii="Times New Roman" w:cs="Times New Roman" w:eastAsia="Times New Roman" w:hAnsi="Times New Roman"/>
          <w:sz w:val="18"/>
          <w:szCs w:val="18"/>
          <w:color w:val="auto"/>
        </w:rPr>
        <w:t>For each of our product candidates we plan to evaluate the merits of entering into collaboration arrangements with third parties, including leading biotechnology companies or non-governmental organizations. In July 2017, we entered into a collaboration agreement with Alligator pursuant to which Aptevo R&amp;D and Alligator will collaboratively develop ALG.APV-527, a lead bispecific antibody candidate simultaneously targeting 4-1BB (CD137), a member of the TNFR superfamily of a costimulatory receptor found on activated T-cells, and 5T4, a tumor antigen widely overexpressed in a number of different types of cancer. We intend to pursue collaboration arrangements with third parties that have particular technology, expertise or resources for the development or commercialization of our product candidates or for accessing particular markets. We face, and will continue to face, significant competition in seeking appropriate partners for our product candidates. If we are unable to identify partners whose capabilities complement and integrate well with ours and reach collaboration arrangements with such partners on a timely basis, on acceptable terms or at all, or if the arrangements we establish are unproductive for us, we may fail to meet our business objectives for the particular product candidate. Our ability to enter into such arrangements with respect to products in development that are subject to licenses may be limited by the terms of those licenses.</w:t>
      </w:r>
    </w:p>
    <w:p>
      <w:pPr>
        <w:spacing w:after="0" w:line="86"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Our collaboration agreement with Alligator, or any collaboration agreement we may consider entering into, may not be successful and the success of our collaboration arrangements will depend heavily on the efforts and activities of our collaborative partners. It is likely that our collaborative partners will have significant discretion in determining the efforts and resources that they will apply to these collaborations.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risks that we are subject to in any of our collaborations include, among others:</w:t>
      </w:r>
    </w:p>
    <w:p>
      <w:pPr>
        <w:spacing w:after="0" w:line="117" w:lineRule="exact"/>
        <w:rPr>
          <w:sz w:val="20"/>
          <w:szCs w:val="20"/>
          <w:color w:val="auto"/>
        </w:rPr>
      </w:pPr>
    </w:p>
    <w:p>
      <w:pPr>
        <w:ind w:left="1000" w:hanging="493"/>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collaborative partners may not commit adequate resources to the development, marketing and distribution of any collaboration products, limiting our potential revenues from these products;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collaborative partners may experience financial difficulties and may therefore be unable to meet their commitments to us;</w:t>
      </w:r>
    </w:p>
    <w:p>
      <w:pPr>
        <w:spacing w:after="0" w:line="144"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collaborative partners may pursue a competing product candidate developed either independently or in collaboration with others, including our competitors; and,</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collaborative partners may terminate our relationship.</w:t>
      </w:r>
    </w:p>
    <w:p>
      <w:pPr>
        <w:spacing w:after="0" w:line="144"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The failure of any of our current or future collaboration partners to perform as expected could place us at a competitive disadvantage and adversely affect us financially, including delay and increased costs of development, loss of market opportunities, lower than expected revenues and impairment of the value of the related product candidate. A loss of our collaboration agreement with Alligator would result in a burden of locating a replacement partner under potentially less favorable terms at an additional cost. Collaborations are a critical part of our business strategy, and any inability on our part to establish and successfully maintain such arrangements on terms favorable to us or to work successfully with our collaborative partners could have an adverse effect on our operations and financial performance. Due to the ongoing COVID-19 pandemic, we may experience delays in opportunities to develop our product candidates, due to financial and other impacts on potential partners.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our separation from Emergent, we and Emergent agreed to indemnify the other party for certain liabilities. The Emergent indemnity may not be sufficient to hold us harmless from the full amount of liabilities for which Emergent will be allocated responsibility, and Emergent may not be able to satisfy its indemnification obligations in the future.</w:t>
      </w:r>
    </w:p>
    <w:p>
      <w:pPr>
        <w:spacing w:after="0" w:line="67"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Pursuant to the separation agreement and certain other agreements with Emergent, Emergent has agreed to indemnify us for certain liabilities, and we agreed to indemnify Emergent for certain liabilities. Indemnities that we may be required to provide Emergent are not subject to any cap, may be significant and could negatively impact our business, particularly indemnities relating to our actions that could impact the tax-free nature of the distribution. Third parties could also seek to hold us responsible for any of the liabilities that Emergent has agreed to retain. Any amounts we are required to pay pursuant to these indemnification obligations and other liabilities could require us to divert cash that would otherwise have been used in furtherance of our operating business. Further, the indemnity from Emergent may not be sufficient to protect us against the full amount of such liabilities, and Emergent may not be able to fully satisfy its indemnification obligations. Moreover, even if we ultimately succeed in recovering from Emergent any amounts for which we are held liable, we may be temporarily required to bear these losses ourselves. Each of these risks could negatively affect our business, results of operations and financial condition.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Common Stock and General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w:t>
      </w:r>
    </w:p>
    <w:p>
      <w:pPr>
        <w:spacing w:after="0" w:line="121"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Our stock price has fluctuated in the past and is likely to be volatile in the future. Since August 1, 2016, the reported closing price of our common stock has fluctuated between $3.11 and $83.16 per share (as adjusted to reflect our 1-for-14 reverse stock split of our outstanding common stock that was effective on March 26, 2020). The stock market in general, and the market for biotechnology companies in particular, have experienced extreme volatility that has often been unrelated to the operating performance of particular companies. In particular, the stock market has experienced extreme volatility in recent months as a result of the geopolitical climate, including the war in Ukraine, and macroeconomic conditions, including rising inflation and interest rates and reduced consumer confidence. The market price of our common stock may fluctuate significantly due to a number of factors, some of which may be beyond our control or unrelated to our operations, including, among others:</w:t>
      </w:r>
    </w:p>
    <w:p>
      <w:pPr>
        <w:spacing w:after="0" w:line="81" w:lineRule="exact"/>
        <w:rPr>
          <w:sz w:val="20"/>
          <w:szCs w:val="20"/>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estimated by securities analysts or management, or our ability to meet those estimates;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or negative announcements by our competitors, suppliers, or partners regarding their own performance;</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expenses, and results of clinical and preclinical trials of our product candidates;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clinical trial results and product introductions by us or our competitors;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acquisitions, collaborations, financings or other transactions by us or our competitors;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as to the safety of our product candidates;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delay of a development program;</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or actual sales of IXINITY by Medexus;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to what extent future milestone payments are received under our Amendment to Royalty Purchase Agreement with HCR;</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cash flows or results of operations;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and stock price performance of comparable companies;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COVID-19 pandemic or similar global health challenges;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industry conditions and domestic and global financial, economic, and geopolitical instability; and,</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144"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Biotechnology company stock prices have declined significantly in certain instances where companies have failed to obtain FDA or foreign regulatory authority approval of a product candidate or if the timing of FDA or foreign regulatory authority approval is delayed. If the FDA’s or any foreign regulatory authority’s response to any application for approval is delayed or not favorable for any of our product candidates, our stock price could decline significantly.</w:t>
      </w:r>
    </w:p>
    <w:p>
      <w:pPr>
        <w:spacing w:after="0" w:line="72"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In addition, when the market price of a company’s common stock drops significantly, stockholders often institute securities class action lawsuits against the company. A lawsuit against us could cause us to incur substantial costs and could divert the time and attention of our management and other resources.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the event that coverage under our directors’ and officers’ liability insurance is reduced or terminated as a result of an ownership change or otherwise, our indemnification obligations and limitations of our directors’ and officers’ liability insurance may have a material adverse effect on our financial condition, results of operations and cash flows.</w:t>
      </w:r>
    </w:p>
    <w:p>
      <w:pPr>
        <w:spacing w:after="0" w:line="67"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Under Delaware law, our certificate of incorporation, and our bylaws and certain indemnification agreements to which we are a party, we have an obligation to indemnify, or we have otherwise agreed to indemnify, certain of our current and former directors and officers with respect to past, current, and future investigations and litigation. In order to reduce the risk of expense of these obligations, we maintain directors’ and officers’ liability insurance. However, as a result of the Tang Ownership Change, the cost to us of our directors’ and officers’ liability insurance coverage has increased, and it may continue to increase in the future, or the coverage thereunder may be reduced or terminated in full. In the event that the coverage under our directors’ and officers’ liability insurance is reduced or terminated, we will be required to pay the expenses of indemnifying our current and former directors and officers in their defense of current and future investigations and litigation, which expenses may be significant. The increased costs to us of our directors’ and officers’ liability insurance coverage, or our indemnification obligations if our directors’ and officers’ liability insurance coverage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2" w:name="page53"/>
    <w:bookmarkEnd w:id="52"/>
    <w:p>
      <w:pPr>
        <w:jc w:val="both"/>
        <w:spacing w:after="0" w:line="282" w:lineRule="auto"/>
        <w:rPr>
          <w:sz w:val="20"/>
          <w:szCs w:val="20"/>
          <w:color w:val="auto"/>
        </w:rPr>
      </w:pPr>
      <w:r>
        <w:rPr>
          <w:rFonts w:ascii="Times New Roman" w:cs="Times New Roman" w:eastAsia="Times New Roman" w:hAnsi="Times New Roman"/>
          <w:sz w:val="18"/>
          <w:szCs w:val="18"/>
          <w:color w:val="auto"/>
        </w:rPr>
        <w:t>is reduced or terminated, could result in the diversion of our financial resources, and may have a material adverse effect on our financial condition, results of operations and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maintain effective internal controls, we may not be able to accurately report our financial results and our business could be harmed.</w:t>
      </w:r>
    </w:p>
    <w:p>
      <w:pPr>
        <w:spacing w:after="0" w:line="121"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8"/>
          <w:szCs w:val="18"/>
          <w:color w:val="auto"/>
        </w:rPr>
        <w:t>The Sarbanes-Oxley Act requires, among other things, that we assess the effectiveness of our internal control over financial reporting annually and the effectiveness of our disclosure controls and procedures quarterly. In particular, Section 404 of the Sarbanes-Oxley Act, or Section 404, requires us to perform system and process evaluation and testing of our internal control over financial reporting to allow management to report on, and our independent registered public accounting firm potentially to attest to, the effectiveness of our internal control over financial reporting. In the past, we were an emerging growth company and availed ourselves of the exemption from the requirement that our independent registered public accounting firm attest to the effectiveness of our internal control over financial reporting under Section 404. However, we will no longer avail ourselves of this exemption since we ceased to be an emerging growth company since August 2021. When our independent registered public accounting firm is required to undertake an assessment of our internal control over financial reporting, the cost of our compliance with Section 404 will correspondingly increase. Our compliance with applicable provisions of Section 404 will require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89"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Investor perceptions of our company may suffer if material weaknesses are found, and this could cause a decline in the market price of our common stock. Irrespective of compliance with Section 404, any failure of our internal control over financial reporting could harm our operating results and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public announcement of data from clinical trials or news of any developments related to our product pipeline may cause significant volatility in our stock price.</w:t>
      </w:r>
    </w:p>
    <w:p>
      <w:pPr>
        <w:spacing w:after="0" w:line="51"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The announcement of data from clinical trials by us or our collaborative partners or news of any developments related to our key pipeline product candidates may cause significant volatility in our stock price. Furthermore, the announcement of any negative or unexpected data or the discontinuation of development of any of our key pipeline product candidates, or any delay in our anticipated timelines for filing for regulatory approval, could cause our stock price to decline significantly. There can be no assurance that data from clinical trials will support a filing for regulatory approval or even if approved, that any of our key pipeline products will become commercially successful.</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common stock may be at risk for delisting from the Nasdaq Capital Market in the future if we do not maintain compliance with NASDAQ’s continued listing requirements. Delisting could adversely affect the liquidity of our common stock and the market price of our common stock could decrease.</w:t>
      </w:r>
    </w:p>
    <w:p>
      <w:pPr>
        <w:spacing w:after="0" w:line="67"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LLC (“Nasdaq”). The Nasdaq Stock Market LLC has minimum requirements that a company must meet in order to remain listed on Nasdaq, including corporate governance standards and a requirement that we maintain a minimum closing bid price of $1.00 per share.</w:t>
      </w:r>
    </w:p>
    <w:p>
      <w:pPr>
        <w:spacing w:after="0" w:line="68"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On April 1, 2022, the Company received a letter from Nasdaq indicating that it was not in compliance with Nasdaq Listing Rule 5550(b)(1), which requires companies listed on The Nasdaq Capital Market to maintain a minimum of $2,500,000 in stockholders’ equity for continued listing. On its annual report for the year ended December 31, 2021, the Company reported stockholders’ equity of $1,216,000, and, as a result, did not satisfy Listing Rule 5550(b)(1). In the second quarter, the Company regained compliance with the Nasdaq Listing Rule.</w:t>
      </w:r>
    </w:p>
    <w:p>
      <w:pPr>
        <w:spacing w:after="0" w:line="72"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In the future, if we fail to maintain such minimum requirements and a final determination is made by Nasdaq that our common stock must be delisted, the liquidity of our common stock would be adversely affected and the market price of our common stock could decrease. In addition, if delisted, we would no longer be subject to Nasdaq rules, including rules requiring us to have a certain number of independent directors and to meet other corporate governance standards. Our failure to be listed on Nasdaq or another established securities market would have a material adverse effect on the value of your investment in us.</w:t>
      </w:r>
    </w:p>
    <w:p>
      <w:pPr>
        <w:spacing w:after="0" w:line="75"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If our common stock is not listed on Nasdaq or another national exchange, the trading price of our common stock is below $5.00 per share and we have net tangible assets of $6,000,000 or less, the open-market trading of our common stock will be subject to the “penny stock” rules promulgated under the Securities Exchange Act of 1934, as amended. If our shares become subject to the “penny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stock” rules, broker-dealers may find it difficult to effectuate customer transactions and trading activity in our securities may be adversely affected.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percentage of ownership in Aptevo may be diluted in the future.</w:t>
      </w:r>
    </w:p>
    <w:p>
      <w:pPr>
        <w:spacing w:after="0" w:line="121"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In the future, your percentage ownership in Aptevo may be diluted because of equity issuances for acquisitions, capital market transactions or otherwise, including, but not limited to, equity issuances under our existing Purchase Agreement with Lincoln Park, under our Equity Distribution Agreement with Piper Sandler, under our Rights Plan with Broadridge Corporate Issuer Solutions, Inc., upon the exercise of warrants issued in connection with our March 2019 public offering, and equity awards to our directors, officers and employees. Our employees have options to purchase shares of our common stock and from time to time, we expect to issue additional options, restricted stock units, or other stock-based awards to our employees under our employee benefits plans.</w:t>
      </w:r>
    </w:p>
    <w:p>
      <w:pPr>
        <w:spacing w:after="0" w:line="79"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In addition, our restated certificate of incorporation authorizes us to issue, without the approval of our stockholders, one or more classes or series of preferred stock having such designation, powers, preferences and relative, participating, optional and other special rights, including preferences over our common stock respecting dividends and distributions, as our board of directors generally may determine. The terms of one or more classes or series of preferred stock could dilute the voting power or reduce the value of our common stock. For example, we could grant the holders of preferred stock the right to elect some number of our directors in all events or on the happening of specified events or the right to veto specified transactions. Similarly, the repurchase or redemption rights or liquidation preferences we could assign to holders of preferred stock could affect the residual value of the common stock.</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under Delaware law and in our restated certificate of incorporation, amended and restated by-laws and rights agreement may discourage acquisition proposals, delay a change in control or prevent transactions that stockholders may consider favorable.</w:t>
      </w:r>
    </w:p>
    <w:p>
      <w:pPr>
        <w:spacing w:after="0" w:line="51"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Certain provisions in our restated certificate of incorporation and amended and restated by-laws, and under Delaware law, may discourage, delay, or prevent a merger, acquisition or other changes in control that stockholders may consider favorable, including transactions in which stockholders might otherwise receive a premium for their shares. These provisions may also prevent or frustrate attempts by our stockholders to replace or remove our incumbent directors and management.</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provisions include:</w:t>
      </w:r>
    </w:p>
    <w:p>
      <w:pPr>
        <w:spacing w:after="0" w:line="117" w:lineRule="exact"/>
        <w:rPr>
          <w:sz w:val="20"/>
          <w:szCs w:val="20"/>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classification of our directors;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removal of directors;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filling vacancies on the board;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nominations of candidates for election to the Board of Directors and other proposals;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stockholders to act by written consent;</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stockholders to call special meetings;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designate the terms of and issue a new series of preferred stock without stockholder approval.</w:t>
      </w:r>
    </w:p>
    <w:p>
      <w:pPr>
        <w:spacing w:after="0" w:line="117"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The affirmative vote of holders of our capital stock representing at least 75% of the voting power of all outstanding stock entitled to vote is required to amend or repeal the above provisions of our certificate of incorporation. The affirmative vote of either a majority of the directors present at a meeting of our Board of Directors or holders of our capital stock representing at least 75% of the voting power of all outstanding stock entitled to vote is required to amend or repeal our by-laws.</w:t>
      </w:r>
    </w:p>
    <w:p>
      <w:pPr>
        <w:spacing w:after="0" w:line="72"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In addition, Section 203 of the General Corporation Law of Delaware prohibits a corporation from engaging in a business combination with an interested stockholder, generally a person which, together with its affiliates, owns or within the last three years has owned 15% or more of the corporation’s voting stock, for a period of three years after the date of the transaction in which the person became an interested stockholder, unless the business combination is approved in a prescribed manner. Accordingly, Section 203 may discourage, delay or prevent a change in control of us. Tang is an interested stockholder for purposes of Section 203.</w:t>
      </w:r>
    </w:p>
    <w:p>
      <w:pPr>
        <w:spacing w:after="0" w:line="75"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Moreover, we currently have a short-term stockholder rights agreement in effect. This rights agreement was amended on November 4, 2021 to extend the expiration date of such agreement from November 8, 2021 to November 5, 2022. This rights agreement could render more difficult, or discourage a merger, tender offer, or assumption of control of the Company that is not approved by our Board that some stockholders may consider favorable. The rights agreement, however, should not interfere with any merger, tender or exchange offer or other business combination approved by our Board. Nor does the rights agreement prevent our Board from considering any offer that it considers to be in the best interest of our stockholders.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Our bylaws include a forum selection clause, which may impact your ability to bring actions against us.</w:t>
      </w:r>
    </w:p>
    <w:p>
      <w:pPr>
        <w:spacing w:after="0" w:line="121"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Subject to certain limitations, our bylaws provide that, unless we consent in writing to the selection of an alternative forum, the Court of Chancery in the State of Delaware will be the sole and exclusive forum for any stockholder (including a beneficial owner) to bring: (a) any derivative action or proceeding brought on our behalf; (b) any action asserting a claim of breach of fiduciary duty owed by any of our directors, officers or other employees or our stockholders; (c) any action asserting a claim arising pursuant to any provision of the DGCL or our certificate of incorporation or bylaws; or (d) any action asserting a claim governed by the internal affairs doctrine. In addition, our bylaws provide that unless we consent in writing to the selection of an alternative forum, the federal district courts of the United States will be the exclusive forum for resolving any complaint asserting a cause of action arising under the federal securities laws of the United States against us, our officers, directors, employees or underwriters. These limitations on the forum in which stockholders may initiate action against us could create costs, inconvenience or otherwise adversely affect your ability to seek legal redress.</w:t>
      </w:r>
    </w:p>
    <w:p>
      <w:pPr>
        <w:spacing w:after="0" w:line="84"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suits brought to enforce any duty or liability created by the Securities Act or the rules and regulations thereunder. As a result, a court may decline to enforce these exclusive forum provisions with respect to suits brought to enforce any duty or liability created by the Securities Act or any other claim for which the federal and state courts have concurrent jurisdiction, and our stockholders may not be deemed to have waived our compliance with the federal securities laws and the rules and regulations thereunder. If a court were to find the exclusive forum provisions to be inapplicable or unenforceable in an action, we may incur additional costs associated with resolving such action in other jurisdictions.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periodic litigation, which could result in losses or unexpected expenditure of time and resources.</w:t>
      </w:r>
    </w:p>
    <w:p>
      <w:pPr>
        <w:spacing w:after="0" w:line="121"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From time to time, we may be called upon to defend ourselves against lawsuits relating to our business. Any litigation, regardless of its merits, could result in substantial costs and a diversion of management’s attention and resources that are needed to successfully run our business. Due to the inherent uncertainties of litigation, we cannot accurately predict the ultimate outcome of any such proceedings. An unfavorable outcome in any such proceedings could have an adverse impact on our business, financial condition and results of operations. If our stock price is volatile, we may become involved in securities class action lawsuits in the future.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data protection laws and regulations could lead to government enforcement actions and significant penalties against us, and adversely impact our operating results.</w:t>
      </w:r>
    </w:p>
    <w:p>
      <w:pPr>
        <w:spacing w:after="0" w:line="51"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8"/>
          <w:szCs w:val="18"/>
          <w:color w:val="auto"/>
        </w:rPr>
        <w:t>EU Member States, Switzerland and other countries have adopted data protection laws and regulations, which impose significant compliance obligations. For example, European Union, or EU, member states and other foreign jurisdictions, including Switzerland, have adopted data protection laws and regulations which impose significant compliance obligations. Moreover, the collection and use of personal health data in the EU is now governed under the EU General Data Protection Regulation, or the GDPR, effective in May 2018. The GDPR, which is wide-ranging in scope, imposed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GDPR increases our responsibility and liability in relation to personal data that we process, including in clinical trials, and we may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However, despite our ongoing efforts, we may not be successful either due to various factors within our control, such as limited financial or human resources, or other factors outside our control. It is also possible that local data protection authorities may have different interpretations of the GDPR, leading to potential inconsistencies amongst various EU member states. Any failure or alleged failure (including as a result of deficiencies in our policies, procedures, or measures relating to privacy, data security, marketing, or communications) by us to comply with laws, regulations, policies, legal or contractual obligations, industry standards, or regulatory guidance relating to privacy or data security, may result in governmental investigations and enforcement actions, litigation, fines and penalties or adverse publicity. In addition, we expect that there will continue to be new proposed laws, regulations and industry standards relating to privacy and data protection in the United States, the EU and other jurisdictions, such as the California Consumer Privacy Act of 2018, which has been characterized as the first “GDPR-like” privacy statute to be enacted in the United States, and we cannot determine the impact such future laws, regulations and standards may have on our business.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5" w:name="page56"/>
    <w:bookmarkEnd w:id="5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a significant disruption in our information technology systems or breaches of data security, including due to a cyber-security incident, our business could be adversely affected.</w:t>
      </w:r>
    </w:p>
    <w:p>
      <w:pPr>
        <w:spacing w:after="0" w:line="51"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We rely on information technology systems to keep financial records, capture laboratory data, maintain clinical trial data and corporate records, communicate with staff and external parties and operate other critical functions. Our information technology systems are potentially vulnerable to disruption due to breakdown, malicious intrusion and computer viruses or other disruptive events including but not limited to natural disaster. The impact of the ongoing COVID-19 pandemic also poses an increased security risk, due to the remote working environment.</w:t>
      </w:r>
    </w:p>
    <w:p>
      <w:pPr>
        <w:spacing w:after="0" w:line="72"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We also face the challenge of promptly detecting and remediating any cyber-security breaches. Our information technology systems security measures are focused on the prevention, detection and remediation of damage from computer viruses, unauthorized access, cyber-attack and other similar disruptions. However, our information technology systems protection measures may not be successful in preventing unauthorized access, intrusion and damage. Threats to our systems can derive from human error, fraud or malice on the part of employees or third parties, including computer hackers, encryption by ransomware, or may result from technological failure.</w:t>
      </w:r>
    </w:p>
    <w:p>
      <w:pPr>
        <w:spacing w:after="0" w:line="75"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If we were to experience a prolonged system disruption in our information technology systems or those of certain of our vendors, it could delay or negatively impact our development and commercialization of our product candidates, which could adversely impact our business. If operations at our facilities were disrupted, it may cause a material disruption in our business if we are not capable of restoring function on an acceptable timeframe.</w:t>
      </w:r>
    </w:p>
    <w:p>
      <w:pPr>
        <w:spacing w:after="0" w:line="68"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In addition, as discussed above, our information technology systems are potentially vulnerable to data security breaches—whether by employees or others, intentionally or unintentionally—which may expose sensitive or personal data to unauthorized persons. Such data security breaches could lead to the loss of trade secrets or other intellectual property, or could lead to the public exposure of personal information (including sensitive personal information) of our employees, customers and others, any of which could have a material adverse effect on our business, financial condition and results of operations.</w:t>
      </w:r>
    </w:p>
    <w:p>
      <w:pPr>
        <w:spacing w:after="0" w:line="75"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Moreover, a security breach or privacy violation that leads to destruction, loss, alteration, unauthorized use or access, disclosure or modification of, personally identifiable information or personal data, could harm our reputation, compel us to comply with federal, state and/or international breach notification laws, subject us to mandatory corrective or regulatory action, require us to verify the correctness of database contents and otherwise subject us to liability under laws and regulations that protect personal data, including the GDPR and the California Consumer Privacy Act of 2018, which could disrupt our business, result in increased costs or loss, and/or result in significant legal and financial exposure. In addition, a data security breach could result in loss of clinical trial data or damage to the integrity of that data.</w:t>
      </w:r>
    </w:p>
    <w:p>
      <w:pPr>
        <w:spacing w:after="0" w:line="79"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If we are unable to implement and maintain adequate organizational and technical measures to prevent such security breaches or privacy violations, or to respond adequately in the event of a breach, our operations could be disrupted, and we may suffer loss of reputation, problems with regulatory authorities, financial loss and other negative consequences. In addition, these breaches and other inappropriate access can be difficult to detect, and any delay in identifying them may lead to increased harm of the type described above.</w:t>
      </w:r>
    </w:p>
    <w:p>
      <w:pPr>
        <w:spacing w:after="0" w:line="72"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If a breach of our information technology systems occurs, we may incur additional costs related to repairing or rebuilding our internal systems, complying with breach notification laws, defending legal claims or proceedings, responding to regulatory actions, incurring penalties, and paying damages. Moreover, it may be determined that as a result of such a breach there was a material weakness or significant deficiency in our internal controls or other failure of our control environment. If such a breach occurs, it may have a material adverse effect on our business, results of operations, and financial condition, and it may also negatively impact our reputation.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portion of our shares may be sold into the market at any time which could depress our stock price.</w:t>
      </w:r>
    </w:p>
    <w:p>
      <w:pPr>
        <w:spacing w:after="0" w:line="121"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If our stockholders sell a substantial number of shares of our common stock in the public market, our market price could decline. In connection with the transaction with Lincoln Park, we have agreed to register under the Securities Act of 1933, as amended, the resale of shares of common stock that have been and may be issued under the Purchase Agreement with Lincoln Park. Any perception that such sales may occur, whether under the Lincoln Park Purchase Agreement or otherwise, could decrease the market price of our common stock.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This disclosure is intended to satisfy any obligation to provide disclosures pursuant to Item 5.07(d) of Form 8-K.</w:t>
      </w:r>
    </w:p>
    <w:p>
      <w:pPr>
        <w:spacing w:after="0" w:line="117"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Based on the voting results on the proposal at the 2022 Annual Meeting of Stockholders regarding the preferred frequency with which stockholders are to be provided an advisory vote on executive compensation, the Board has determined that the Company will hold a vote on named executive officer compensation every year.</w:t>
      </w:r>
    </w:p>
    <w:p>
      <w:pPr>
        <w:spacing w:after="0" w:line="68"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On August 9, 2022, Jeffrey G. Lamothe, the Company’s Chief Financial Officer, and SoYoung Kwon, the Company’s General Counsel, were granted a special recognition award of RSUs under the Company’s Amended and Restated 2018 SIP. Mr. Lamothe was granted 23,958 RSUs and Ms. Kwon was granted 18,750 RSUs, each award subject to a two-year ratable vesting period.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0" w:type="dxa"/>
            <w:vAlign w:val="bottom"/>
            <w:gridSpan w:val="6"/>
          </w:tcPr>
          <w:p>
            <w:pPr>
              <w:ind w:left="32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8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64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tcPr>
          <w:p>
            <w:pPr>
              <w:spacing w:after="0"/>
              <w:rPr>
                <w:sz w:val="24"/>
                <w:szCs w:val="24"/>
                <w:color w:val="auto"/>
              </w:rPr>
            </w:pPr>
          </w:p>
        </w:tc>
        <w:tc>
          <w:tcPr>
            <w:tcW w:w="103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Amendment to Royalty Purchase Agreement dated June 7, 2022.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w:t>
            </w:r>
          </w:p>
        </w:tc>
        <w:tc>
          <w:tcPr>
            <w:tcW w:w="60" w:type="dxa"/>
            <w:vAlign w:val="bottom"/>
          </w:tcPr>
          <w:p>
            <w:pPr>
              <w:spacing w:after="0"/>
              <w:rPr>
                <w:sz w:val="24"/>
                <w:szCs w:val="24"/>
                <w:color w:val="auto"/>
              </w:rPr>
            </w:pPr>
          </w:p>
        </w:tc>
        <w:tc>
          <w:tcPr>
            <w:tcW w:w="69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Limited Consent and Second Amendment to Credit and Security Agreement dated June 7, 2022.</w:t>
            </w:r>
          </w:p>
        </w:tc>
        <w:tc>
          <w:tcPr>
            <w:tcW w:w="33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w:t>
            </w:r>
          </w:p>
        </w:tc>
        <w:tc>
          <w:tcPr>
            <w:tcW w:w="60" w:type="dxa"/>
            <w:vAlign w:val="bottom"/>
          </w:tcPr>
          <w:p>
            <w:pPr>
              <w:spacing w:after="0"/>
              <w:rPr>
                <w:sz w:val="24"/>
                <w:szCs w:val="24"/>
                <w:color w:val="auto"/>
              </w:rPr>
            </w:pPr>
          </w:p>
        </w:tc>
        <w:tc>
          <w:tcPr>
            <w:tcW w:w="103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Ninth Amendment to Office Lease, dated May 26, 2022, by and between Aptevo Therapeutics Inc. and Selig Real Estate Holdings Eight</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L.L.C.</w:t>
            </w:r>
          </w:p>
        </w:tc>
        <w:tc>
          <w:tcPr>
            <w:tcW w:w="98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60" w:type="dxa"/>
            <w:vAlign w:val="bottom"/>
          </w:tcPr>
          <w:p>
            <w:pPr>
              <w:spacing w:after="0"/>
              <w:rPr>
                <w:sz w:val="24"/>
                <w:szCs w:val="24"/>
                <w:color w:val="auto"/>
              </w:rPr>
            </w:pPr>
          </w:p>
        </w:tc>
        <w:tc>
          <w:tcPr>
            <w:tcW w:w="103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Rules 13a-14(a) and 15d-14(a) under the Securities Exchange Act of 1934, as Adopted</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3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302 of the Sarbanes Oxley Act of 2002.</w:t>
            </w:r>
          </w:p>
        </w:tc>
        <w:tc>
          <w:tcPr>
            <w:tcW w:w="59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60" w:type="dxa"/>
            <w:vAlign w:val="bottom"/>
          </w:tcPr>
          <w:p>
            <w:pPr>
              <w:spacing w:after="0"/>
              <w:rPr>
                <w:sz w:val="24"/>
                <w:szCs w:val="24"/>
                <w:color w:val="auto"/>
              </w:rPr>
            </w:pPr>
          </w:p>
        </w:tc>
        <w:tc>
          <w:tcPr>
            <w:tcW w:w="103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Rules 13a-14(a) and 15d-14(a) under the Securities Exchange Act of 1934, as Adopted</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3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302 of the Sarbanes Oxley Act of 2002.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59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60" w:type="dxa"/>
            <w:vAlign w:val="bottom"/>
          </w:tcPr>
          <w:p>
            <w:pPr>
              <w:spacing w:after="0"/>
              <w:rPr>
                <w:sz w:val="24"/>
                <w:szCs w:val="24"/>
                <w:color w:val="auto"/>
              </w:rPr>
            </w:pPr>
          </w:p>
        </w:tc>
        <w:tc>
          <w:tcPr>
            <w:tcW w:w="103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8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60" w:type="dxa"/>
            <w:vAlign w:val="bottom"/>
          </w:tcPr>
          <w:p>
            <w:pPr>
              <w:spacing w:after="0"/>
              <w:rPr>
                <w:sz w:val="24"/>
                <w:szCs w:val="24"/>
                <w:color w:val="auto"/>
              </w:rPr>
            </w:pPr>
          </w:p>
        </w:tc>
        <w:tc>
          <w:tcPr>
            <w:tcW w:w="103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18 U.S.C. Section 1350, as Adopted Pursuant to Section 906 of the Sarbanes-Oxley Act</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of 2002.</w:t>
            </w:r>
          </w:p>
        </w:tc>
        <w:tc>
          <w:tcPr>
            <w:tcW w:w="97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4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60" w:type="dxa"/>
            <w:vAlign w:val="bottom"/>
          </w:tcPr>
          <w:p>
            <w:pPr>
              <w:spacing w:after="0"/>
              <w:rPr>
                <w:sz w:val="24"/>
                <w:szCs w:val="24"/>
                <w:color w:val="auto"/>
              </w:rPr>
            </w:pPr>
          </w:p>
        </w:tc>
        <w:tc>
          <w:tcPr>
            <w:tcW w:w="103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60" w:type="dxa"/>
            <w:vAlign w:val="bottom"/>
          </w:tcPr>
          <w:p>
            <w:pPr>
              <w:spacing w:after="0"/>
              <w:rPr>
                <w:sz w:val="18"/>
                <w:szCs w:val="18"/>
                <w:color w:val="auto"/>
              </w:rPr>
            </w:pPr>
          </w:p>
        </w:tc>
        <w:tc>
          <w:tcPr>
            <w:tcW w:w="103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60" w:type="dxa"/>
            <w:vAlign w:val="bottom"/>
          </w:tcPr>
          <w:p>
            <w:pPr>
              <w:spacing w:after="0"/>
              <w:rPr>
                <w:sz w:val="18"/>
                <w:szCs w:val="18"/>
                <w:color w:val="auto"/>
              </w:rPr>
            </w:pPr>
          </w:p>
        </w:tc>
        <w:tc>
          <w:tcPr>
            <w:tcW w:w="103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60" w:type="dxa"/>
            <w:vAlign w:val="bottom"/>
          </w:tcPr>
          <w:p>
            <w:pPr>
              <w:spacing w:after="0"/>
              <w:rPr>
                <w:sz w:val="18"/>
                <w:szCs w:val="18"/>
                <w:color w:val="auto"/>
              </w:rPr>
            </w:pPr>
          </w:p>
        </w:tc>
        <w:tc>
          <w:tcPr>
            <w:tcW w:w="103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60" w:type="dxa"/>
            <w:vAlign w:val="bottom"/>
          </w:tcPr>
          <w:p>
            <w:pPr>
              <w:spacing w:after="0"/>
              <w:rPr>
                <w:sz w:val="18"/>
                <w:szCs w:val="18"/>
                <w:color w:val="auto"/>
              </w:rPr>
            </w:pPr>
          </w:p>
        </w:tc>
        <w:tc>
          <w:tcPr>
            <w:tcW w:w="103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60" w:type="dxa"/>
            <w:vAlign w:val="bottom"/>
          </w:tcPr>
          <w:p>
            <w:pPr>
              <w:spacing w:after="0"/>
              <w:rPr>
                <w:sz w:val="18"/>
                <w:szCs w:val="18"/>
                <w:color w:val="auto"/>
              </w:rPr>
            </w:pPr>
          </w:p>
        </w:tc>
        <w:tc>
          <w:tcPr>
            <w:tcW w:w="103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0" w:type="dxa"/>
            <w:vAlign w:val="bottom"/>
          </w:tcPr>
          <w:p>
            <w:pPr>
              <w:spacing w:after="0"/>
              <w:rPr>
                <w:sz w:val="20"/>
                <w:szCs w:val="20"/>
                <w:color w:val="auto"/>
              </w:rPr>
            </w:pPr>
          </w:p>
        </w:tc>
        <w:tc>
          <w:tcPr>
            <w:tcW w:w="103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1912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51" w:lineRule="exact"/>
        <w:rPr>
          <w:sz w:val="20"/>
          <w:szCs w:val="20"/>
          <w:color w:val="auto"/>
        </w:rPr>
      </w:pPr>
    </w:p>
    <w:p>
      <w:pPr>
        <w:ind w:left="500" w:hanging="492"/>
        <w:spacing w:after="0"/>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50" w:lineRule="exact"/>
        <w:rPr>
          <w:sz w:val="20"/>
          <w:szCs w:val="20"/>
          <w:color w:val="auto"/>
        </w:rPr>
      </w:pPr>
    </w:p>
    <w:p>
      <w:pPr>
        <w:ind w:left="500" w:hanging="492"/>
        <w:spacing w:after="0" w:line="282" w:lineRule="auto"/>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other similar attachments have been omitted pursuant to Item 601(a)(5) of Regulation S-K. Aptevo will furnish copies of any such schedules and attachments to the securities and Exchange Comission upon request.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APTEVO THERAPEUTICS INC.</w:t>
      </w:r>
    </w:p>
    <w:p>
      <w:pPr>
        <w:spacing w:after="0" w:line="293" w:lineRule="exact"/>
        <w:rPr>
          <w:sz w:val="20"/>
          <w:szCs w:val="20"/>
          <w:color w:val="auto"/>
        </w:rPr>
      </w:pPr>
    </w:p>
    <w:p>
      <w:pPr>
        <w:spacing w:after="0"/>
        <w:tabs>
          <w:tab w:leader="none" w:pos="6180" w:val="left"/>
          <w:tab w:leader="none" w:pos="8200" w:val="left"/>
        </w:tabs>
        <w:rPr>
          <w:sz w:val="20"/>
          <w:szCs w:val="20"/>
          <w:color w:val="auto"/>
        </w:rPr>
      </w:pPr>
      <w:r>
        <w:rPr>
          <w:rFonts w:ascii="Times New Roman" w:cs="Times New Roman" w:eastAsia="Times New Roman" w:hAnsi="Times New Roman"/>
          <w:sz w:val="18"/>
          <w:szCs w:val="18"/>
          <w:color w:val="auto"/>
        </w:rPr>
        <w:t>Date: August 11,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Marvin L.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17145</wp:posOffset>
            </wp:positionV>
            <wp:extent cx="29229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2"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color w:val="auto"/>
        </w:rPr>
        <w:t>Marvin L. White</w:t>
      </w:r>
    </w:p>
    <w:p>
      <w:pPr>
        <w:spacing w:after="0" w:line="31"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74" w:lineRule="exact"/>
        <w:rPr>
          <w:sz w:val="20"/>
          <w:szCs w:val="20"/>
          <w:color w:val="auto"/>
        </w:rPr>
      </w:pPr>
    </w:p>
    <w:p>
      <w:pPr>
        <w:spacing w:after="0"/>
        <w:tabs>
          <w:tab w:leader="none" w:pos="6180" w:val="left"/>
          <w:tab w:leader="none" w:pos="8100" w:val="left"/>
        </w:tabs>
        <w:rPr>
          <w:sz w:val="20"/>
          <w:szCs w:val="20"/>
          <w:color w:val="auto"/>
        </w:rPr>
      </w:pPr>
      <w:r>
        <w:rPr>
          <w:rFonts w:ascii="Times New Roman" w:cs="Times New Roman" w:eastAsia="Times New Roman" w:hAnsi="Times New Roman"/>
          <w:sz w:val="18"/>
          <w:szCs w:val="18"/>
          <w:color w:val="auto"/>
        </w:rPr>
        <w:t>Date: August 11,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Jeffrey G.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17145</wp:posOffset>
            </wp:positionV>
            <wp:extent cx="292290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2"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color w:val="auto"/>
        </w:rPr>
        <w:t>Jeffrey G. Lamothe</w:t>
      </w:r>
    </w:p>
    <w:p>
      <w:pPr>
        <w:spacing w:after="0" w:line="31"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549"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 TO ROYALTY PURCHASE AGREEMENT</w:t>
      </w:r>
    </w:p>
    <w:p>
      <w:pPr>
        <w:spacing w:after="0" w:line="216" w:lineRule="exact"/>
        <w:rPr>
          <w:sz w:val="20"/>
          <w:szCs w:val="20"/>
          <w:color w:val="auto"/>
        </w:rPr>
      </w:pPr>
    </w:p>
    <w:p>
      <w:pPr>
        <w:jc w:val="both"/>
        <w:ind w:firstLine="864"/>
        <w:spacing w:after="0" w:line="247" w:lineRule="auto"/>
        <w:rPr>
          <w:sz w:val="20"/>
          <w:szCs w:val="20"/>
          <w:color w:val="auto"/>
        </w:rPr>
      </w:pPr>
      <w:r>
        <w:rPr>
          <w:rFonts w:ascii="Times New Roman" w:cs="Times New Roman" w:eastAsia="Times New Roman" w:hAnsi="Times New Roman"/>
          <w:sz w:val="20"/>
          <w:szCs w:val="20"/>
          <w:color w:val="auto"/>
        </w:rPr>
        <w:t>This Amendment, dated as of June 7, 2022 (this “</w:t>
      </w:r>
      <w:r>
        <w:rPr>
          <w:rFonts w:ascii="Times New Roman" w:cs="Times New Roman" w:eastAsia="Times New Roman" w:hAnsi="Times New Roman"/>
          <w:sz w:val="20"/>
          <w:szCs w:val="20"/>
          <w:b w:val="1"/>
          <w:bCs w:val="1"/>
          <w:u w:val="single" w:color="auto"/>
          <w:color w:val="auto"/>
        </w:rPr>
        <w:t>Amendment</w:t>
      </w:r>
      <w:r>
        <w:rPr>
          <w:rFonts w:ascii="Times New Roman" w:cs="Times New Roman" w:eastAsia="Times New Roman" w:hAnsi="Times New Roman"/>
          <w:sz w:val="20"/>
          <w:szCs w:val="20"/>
          <w:color w:val="auto"/>
        </w:rPr>
        <w:t>”), to the Royalty Purchase Agreement, dated as of March 30, 2021 (the “</w:t>
      </w:r>
      <w:r>
        <w:rPr>
          <w:rFonts w:ascii="Times New Roman" w:cs="Times New Roman" w:eastAsia="Times New Roman" w:hAnsi="Times New Roman"/>
          <w:sz w:val="20"/>
          <w:szCs w:val="20"/>
          <w:b w:val="1"/>
          <w:bCs w:val="1"/>
          <w:u w:val="single" w:color="auto"/>
          <w:color w:val="auto"/>
        </w:rPr>
        <w:t>Purchase Agreement</w:t>
      </w:r>
      <w:r>
        <w:rPr>
          <w:rFonts w:ascii="Times New Roman" w:cs="Times New Roman" w:eastAsia="Times New Roman" w:hAnsi="Times New Roman"/>
          <w:sz w:val="20"/>
          <w:szCs w:val="20"/>
          <w:color w:val="auto"/>
        </w:rPr>
        <w:t>”), is made and entered into by and among Aptevo Therapeutics Inc., a Delaware corporation (“</w:t>
      </w:r>
      <w:r>
        <w:rPr>
          <w:rFonts w:ascii="Times New Roman" w:cs="Times New Roman" w:eastAsia="Times New Roman" w:hAnsi="Times New Roman"/>
          <w:sz w:val="20"/>
          <w:szCs w:val="20"/>
          <w:b w:val="1"/>
          <w:bCs w:val="1"/>
          <w:u w:val="single" w:color="auto"/>
          <w:color w:val="auto"/>
        </w:rPr>
        <w:t>Seller</w:t>
      </w:r>
      <w:r>
        <w:rPr>
          <w:rFonts w:ascii="Times New Roman" w:cs="Times New Roman" w:eastAsia="Times New Roman" w:hAnsi="Times New Roman"/>
          <w:sz w:val="20"/>
          <w:szCs w:val="20"/>
          <w:color w:val="auto"/>
        </w:rPr>
        <w:t>”) and Healthcare Royalty Partners IV, L.P., a Delaware limited partnership (“</w:t>
      </w:r>
      <w:r>
        <w:rPr>
          <w:rFonts w:ascii="Times New Roman" w:cs="Times New Roman" w:eastAsia="Times New Roman" w:hAnsi="Times New Roman"/>
          <w:sz w:val="20"/>
          <w:szCs w:val="20"/>
          <w:b w:val="1"/>
          <w:bCs w:val="1"/>
          <w:u w:val="single" w:color="auto"/>
          <w:color w:val="auto"/>
        </w:rPr>
        <w:t>Buyer</w:t>
      </w:r>
      <w:r>
        <w:rPr>
          <w:rFonts w:ascii="Times New Roman" w:cs="Times New Roman" w:eastAsia="Times New Roman" w:hAnsi="Times New Roman"/>
          <w:sz w:val="20"/>
          <w:szCs w:val="20"/>
          <w:color w:val="auto"/>
        </w:rPr>
        <w:t>”). Buyer and Seller are each individually referred to herein as a “</w:t>
      </w:r>
      <w:r>
        <w:rPr>
          <w:rFonts w:ascii="Times New Roman" w:cs="Times New Roman" w:eastAsia="Times New Roman" w:hAnsi="Times New Roman"/>
          <w:sz w:val="20"/>
          <w:szCs w:val="20"/>
          <w:b w:val="1"/>
          <w:bCs w:val="1"/>
          <w:u w:val="single" w:color="auto"/>
          <w:color w:val="auto"/>
        </w:rPr>
        <w:t>Party</w:t>
      </w:r>
      <w:r>
        <w:rPr>
          <w:rFonts w:ascii="Times New Roman" w:cs="Times New Roman" w:eastAsia="Times New Roman" w:hAnsi="Times New Roman"/>
          <w:sz w:val="20"/>
          <w:szCs w:val="20"/>
          <w:color w:val="auto"/>
        </w:rPr>
        <w:t>” and, collectively, as the “</w:t>
      </w:r>
      <w:r>
        <w:rPr>
          <w:rFonts w:ascii="Times New Roman" w:cs="Times New Roman" w:eastAsia="Times New Roman" w:hAnsi="Times New Roman"/>
          <w:sz w:val="20"/>
          <w:szCs w:val="20"/>
          <w:b w:val="1"/>
          <w:bCs w:val="1"/>
          <w:u w:val="single" w:color="auto"/>
          <w:color w:val="auto"/>
        </w:rPr>
        <w:t>Parties</w:t>
      </w:r>
      <w:r>
        <w:rPr>
          <w:rFonts w:ascii="Times New Roman" w:cs="Times New Roman" w:eastAsia="Times New Roman" w:hAnsi="Times New Roman"/>
          <w:sz w:val="20"/>
          <w:szCs w:val="20"/>
          <w:color w:val="auto"/>
        </w:rPr>
        <w:t>”. Capitalized terms used but not defined herein (including capitalized terms used in the preamble and recitals hereto) shall have the meanings ascribed to such terms in the Purchase Agreement.</w:t>
      </w:r>
    </w:p>
    <w:p>
      <w:pPr>
        <w:spacing w:after="0" w:line="184"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WHEREAS, the Parties have previously entered into the Purchase Agreement, pursuant to which, among other things, Buyer acquired the Purchased Assets from Seller, subject to the terms and conditions and for the consideration set forth in the Purchase Agreement; and</w:t>
      </w:r>
    </w:p>
    <w:p>
      <w:pPr>
        <w:spacing w:after="0" w:line="174" w:lineRule="exact"/>
        <w:rPr>
          <w:sz w:val="20"/>
          <w:szCs w:val="20"/>
          <w:color w:val="auto"/>
        </w:rPr>
      </w:pPr>
    </w:p>
    <w:p>
      <w:pPr>
        <w:jc w:val="both"/>
        <w:ind w:firstLine="864"/>
        <w:spacing w:after="0" w:line="269" w:lineRule="auto"/>
        <w:rPr>
          <w:sz w:val="20"/>
          <w:szCs w:val="20"/>
          <w:color w:val="auto"/>
        </w:rPr>
      </w:pPr>
      <w:r>
        <w:rPr>
          <w:rFonts w:ascii="Times New Roman" w:cs="Times New Roman" w:eastAsia="Times New Roman" w:hAnsi="Times New Roman"/>
          <w:sz w:val="20"/>
          <w:szCs w:val="20"/>
          <w:color w:val="auto"/>
        </w:rPr>
        <w:t>WHEREAS, pursuant to Section 9.6 of the Purchase Agreement, the Parties desire to amend the Purchase Agreement on the terms and conditions set forth herein.</w:t>
      </w:r>
    </w:p>
    <w:p>
      <w:pPr>
        <w:spacing w:after="0" w:line="159" w:lineRule="exact"/>
        <w:rPr>
          <w:sz w:val="20"/>
          <w:szCs w:val="20"/>
          <w:color w:val="auto"/>
        </w:rPr>
      </w:pPr>
    </w:p>
    <w:p>
      <w:pPr>
        <w:jc w:val="both"/>
        <w:ind w:firstLine="864"/>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foregoing recitals and the agreements contained herein, and for other good and valuable consideration, the receipt and sufficiency of which is hereby acknowledged, the Parties agree as follows:</w:t>
      </w:r>
    </w:p>
    <w:p>
      <w:pPr>
        <w:spacing w:after="0" w:line="155" w:lineRule="exact"/>
        <w:rPr>
          <w:sz w:val="20"/>
          <w:szCs w:val="20"/>
          <w:color w:val="auto"/>
        </w:rPr>
      </w:pPr>
    </w:p>
    <w:p>
      <w:pPr>
        <w:ind w:left="800" w:hanging="792"/>
        <w:spacing w:after="0"/>
        <w:tabs>
          <w:tab w:leader="none" w:pos="8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Amendments to Purchase Agreement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firstLine="864"/>
        <w:spacing w:after="0" w:line="269" w:lineRule="auto"/>
        <w:rPr>
          <w:sz w:val="20"/>
          <w:szCs w:val="20"/>
          <w:color w:val="auto"/>
        </w:rPr>
      </w:pPr>
      <w:r>
        <w:rPr>
          <w:rFonts w:ascii="Times New Roman" w:cs="Times New Roman" w:eastAsia="Times New Roman" w:hAnsi="Times New Roman"/>
          <w:sz w:val="20"/>
          <w:szCs w:val="20"/>
          <w:color w:val="auto"/>
        </w:rPr>
        <w:t>1.1 The definition of “Applicable Percentage” set forth in Section 1.1 of the Purchase Agreement is hereby deleted in its entirety and restated in full as follows: “</w:t>
      </w:r>
      <w:r>
        <w:rPr>
          <w:rFonts w:ascii="Times New Roman" w:cs="Times New Roman" w:eastAsia="Times New Roman" w:hAnsi="Times New Roman"/>
          <w:sz w:val="20"/>
          <w:szCs w:val="20"/>
          <w:u w:val="single" w:color="auto"/>
          <w:color w:val="auto"/>
        </w:rPr>
        <w:t>Applicable Percentage</w:t>
      </w:r>
      <w:r>
        <w:rPr>
          <w:rFonts w:ascii="Times New Roman" w:cs="Times New Roman" w:eastAsia="Times New Roman" w:hAnsi="Times New Roman"/>
          <w:sz w:val="20"/>
          <w:szCs w:val="20"/>
          <w:color w:val="auto"/>
        </w:rPr>
        <w:t>” means 100%.</w:t>
      </w:r>
    </w:p>
    <w:p>
      <w:pPr>
        <w:spacing w:after="0" w:line="159" w:lineRule="exact"/>
        <w:rPr>
          <w:sz w:val="20"/>
          <w:szCs w:val="20"/>
          <w:color w:val="auto"/>
        </w:rPr>
      </w:pPr>
    </w:p>
    <w:tbl>
      <w:tblPr>
        <w:tblLayout w:type="fixed"/>
        <w:tblInd w:w="880" w:type="dxa"/>
        <w:tblCellMar>
          <w:top w:w="0" w:type="dxa"/>
          <w:left w:w="0" w:type="dxa"/>
          <w:bottom w:w="0" w:type="dxa"/>
          <w:right w:w="0" w:type="dxa"/>
        </w:tblCellMar>
      </w:tblPr>
      <w:tr>
        <w:trPr>
          <w:trHeight w:val="258"/>
        </w:trPr>
        <w:tc>
          <w:tcPr>
            <w:tcW w:w="56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w w:val="87"/>
              </w:rPr>
              <w:t>1.2</w:t>
            </w:r>
          </w:p>
        </w:tc>
        <w:tc>
          <w:tcPr>
            <w:tcW w:w="98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The definition of “Cap Amount” set forth in Section 1.1 of the Purchase Agreement is hereby deleted in its entirety.</w:t>
            </w:r>
          </w:p>
        </w:tc>
      </w:tr>
      <w:tr>
        <w:trPr>
          <w:trHeight w:val="445"/>
        </w:trPr>
        <w:tc>
          <w:tcPr>
            <w:tcW w:w="56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w w:val="87"/>
              </w:rPr>
              <w:t>1.3</w:t>
            </w:r>
          </w:p>
        </w:tc>
        <w:tc>
          <w:tcPr>
            <w:tcW w:w="9800" w:type="dxa"/>
            <w:vAlign w:val="bottom"/>
          </w:tcPr>
          <w:p>
            <w:pPr>
              <w:ind w:left="320"/>
              <w:spacing w:after="0"/>
              <w:rPr>
                <w:sz w:val="20"/>
                <w:szCs w:val="20"/>
                <w:color w:val="auto"/>
              </w:rPr>
            </w:pPr>
            <w:r>
              <w:rPr>
                <w:rFonts w:ascii="Times New Roman" w:cs="Times New Roman" w:eastAsia="Times New Roman" w:hAnsi="Times New Roman"/>
                <w:sz w:val="20"/>
                <w:szCs w:val="20"/>
                <w:color w:val="auto"/>
                <w:w w:val="98"/>
              </w:rPr>
              <w:t>The definition of “Escrow Account” set forth in Section 1.1 of the Purchase Agreement is hereby deleted in its entirety.</w:t>
            </w:r>
          </w:p>
        </w:tc>
      </w:tr>
      <w:tr>
        <w:trPr>
          <w:trHeight w:val="445"/>
        </w:trPr>
        <w:tc>
          <w:tcPr>
            <w:tcW w:w="56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w w:val="87"/>
              </w:rPr>
              <w:t>1.4</w:t>
            </w:r>
          </w:p>
        </w:tc>
        <w:tc>
          <w:tcPr>
            <w:tcW w:w="98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The definition of “Escrow Agent” set forth in Section 1.1 of the Purchase Agreement is hereby deleted in its entirety.</w:t>
            </w:r>
          </w:p>
        </w:tc>
      </w:tr>
      <w:tr>
        <w:trPr>
          <w:trHeight w:val="439"/>
        </w:trPr>
        <w:tc>
          <w:tcPr>
            <w:tcW w:w="56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w w:val="87"/>
              </w:rPr>
              <w:t>1.5</w:t>
            </w:r>
          </w:p>
        </w:tc>
        <w:tc>
          <w:tcPr>
            <w:tcW w:w="9800" w:type="dxa"/>
            <w:vAlign w:val="bottom"/>
          </w:tcPr>
          <w:p>
            <w:pPr>
              <w:ind w:left="320"/>
              <w:spacing w:after="0"/>
              <w:rPr>
                <w:sz w:val="20"/>
                <w:szCs w:val="20"/>
                <w:color w:val="auto"/>
              </w:rPr>
            </w:pPr>
            <w:r>
              <w:rPr>
                <w:rFonts w:ascii="Times New Roman" w:cs="Times New Roman" w:eastAsia="Times New Roman" w:hAnsi="Times New Roman"/>
                <w:sz w:val="20"/>
                <w:szCs w:val="20"/>
                <w:color w:val="auto"/>
                <w:w w:val="98"/>
              </w:rPr>
              <w:t>The final paragraph set forth in Section 2.1(a) of the Purchase Agreement, which is set forth below, is hereby deleted in</w:t>
            </w:r>
          </w:p>
        </w:tc>
      </w:tr>
    </w:tbl>
    <w:p>
      <w:pPr>
        <w:spacing w:after="0"/>
        <w:rPr>
          <w:sz w:val="20"/>
          <w:szCs w:val="20"/>
          <w:color w:val="auto"/>
        </w:rPr>
      </w:pPr>
      <w:r>
        <w:rPr>
          <w:rFonts w:ascii="Times New Roman" w:cs="Times New Roman" w:eastAsia="Times New Roman" w:hAnsi="Times New Roman"/>
          <w:sz w:val="20"/>
          <w:szCs w:val="20"/>
          <w:color w:val="auto"/>
        </w:rPr>
        <w:t>its entirety:</w:t>
      </w:r>
    </w:p>
    <w:p>
      <w:pPr>
        <w:spacing w:after="0" w:line="194" w:lineRule="exact"/>
        <w:rPr>
          <w:sz w:val="20"/>
          <w:szCs w:val="20"/>
          <w:color w:val="auto"/>
        </w:rPr>
      </w:pPr>
    </w:p>
    <w:p>
      <w:pPr>
        <w:jc w:val="both"/>
        <w:ind w:left="880" w:firstLine="797"/>
        <w:spacing w:after="0" w:line="249" w:lineRule="auto"/>
        <w:rPr>
          <w:sz w:val="20"/>
          <w:szCs w:val="20"/>
          <w:color w:val="auto"/>
        </w:rPr>
      </w:pPr>
      <w:r>
        <w:rPr>
          <w:rFonts w:ascii="Times New Roman" w:cs="Times New Roman" w:eastAsia="Times New Roman" w:hAnsi="Times New Roman"/>
          <w:sz w:val="20"/>
          <w:szCs w:val="20"/>
          <w:color w:val="auto"/>
        </w:rPr>
        <w:t>For the avoidance of doubt, in determining whether the amount received by Buyer in respect of the Purchased Receivables exceeds the Cap Amount, such amount will include any Additional Amounts received by the Buyer and not include any Indemnified Taxes payable (whether payable through withholding or directly by the Buyer) in respect of any amounts payable to the Buyer under this Agreement (including in respect of any Additional Amounts).</w:t>
      </w:r>
    </w:p>
    <w:p>
      <w:pPr>
        <w:spacing w:after="0" w:line="180"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1.6</w:t>
      </w:r>
      <w:r>
        <w:rPr>
          <w:sz w:val="20"/>
          <w:szCs w:val="20"/>
          <w:color w:val="auto"/>
        </w:rPr>
        <w:tab/>
      </w:r>
      <w:r>
        <w:rPr>
          <w:rFonts w:ascii="Times New Roman" w:cs="Times New Roman" w:eastAsia="Times New Roman" w:hAnsi="Times New Roman"/>
          <w:sz w:val="19"/>
          <w:szCs w:val="19"/>
          <w:color w:val="auto"/>
        </w:rPr>
        <w:t>Section 3.9 of the Purchase Agreement is hereby deleted in its entirety.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60" w:name="page61"/>
    <w:bookmarkEnd w:id="60"/>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1.7</w:t>
      </w:r>
      <w:r>
        <w:rPr>
          <w:sz w:val="20"/>
          <w:szCs w:val="20"/>
          <w:color w:val="auto"/>
        </w:rPr>
        <w:tab/>
      </w:r>
      <w:r>
        <w:rPr>
          <w:rFonts w:ascii="Times New Roman" w:cs="Times New Roman" w:eastAsia="Times New Roman" w:hAnsi="Times New Roman"/>
          <w:sz w:val="19"/>
          <w:szCs w:val="19"/>
          <w:color w:val="auto"/>
        </w:rPr>
        <w:t>Section 6.5 of the Purchase Agreement is hereby deleted in its entirety and restated in full as follows:</w:t>
      </w:r>
    </w:p>
    <w:p>
      <w:pPr>
        <w:spacing w:after="0" w:line="216" w:lineRule="exact"/>
        <w:rPr>
          <w:sz w:val="20"/>
          <w:szCs w:val="20"/>
          <w:color w:val="auto"/>
        </w:rPr>
      </w:pPr>
    </w:p>
    <w:p>
      <w:pPr>
        <w:jc w:val="both"/>
        <w:ind w:left="880" w:firstLine="797"/>
        <w:spacing w:after="0" w:line="254" w:lineRule="auto"/>
        <w:rPr>
          <w:sz w:val="20"/>
          <w:szCs w:val="20"/>
          <w:color w:val="auto"/>
        </w:rPr>
      </w:pPr>
      <w:r>
        <w:rPr>
          <w:rFonts w:ascii="Times New Roman" w:cs="Times New Roman" w:eastAsia="Times New Roman" w:hAnsi="Times New Roman"/>
          <w:sz w:val="20"/>
          <w:szCs w:val="20"/>
          <w:color w:val="auto"/>
        </w:rPr>
        <w:t xml:space="preserve">Section 6.5 </w:t>
      </w:r>
      <w:r>
        <w:rPr>
          <w:rFonts w:ascii="Times New Roman" w:cs="Times New Roman" w:eastAsia="Times New Roman" w:hAnsi="Times New Roman"/>
          <w:sz w:val="20"/>
          <w:szCs w:val="20"/>
          <w:u w:val="single" w:color="auto"/>
          <w:color w:val="auto"/>
        </w:rPr>
        <w:t>Distribution of Purchased Receivables</w:t>
      </w:r>
      <w:r>
        <w:rPr>
          <w:rFonts w:ascii="Times New Roman" w:cs="Times New Roman" w:eastAsia="Times New Roman" w:hAnsi="Times New Roman"/>
          <w:sz w:val="20"/>
          <w:szCs w:val="20"/>
          <w:color w:val="auto"/>
        </w:rPr>
        <w:t>. In accordance with the Pfizer Payment Instructions, from and after the date of this Agreement, Seller shall direct Pfizer to pay all Purchased Receivables directly to Buyer according to the instructions set forth in the Pfizer Payment Instructions.</w:t>
      </w:r>
    </w:p>
    <w:p>
      <w:pPr>
        <w:spacing w:after="0" w:line="188"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1.8</w:t>
      </w:r>
      <w:r>
        <w:rPr>
          <w:sz w:val="20"/>
          <w:szCs w:val="20"/>
          <w:color w:val="auto"/>
        </w:rPr>
        <w:tab/>
      </w:r>
      <w:r>
        <w:rPr>
          <w:rFonts w:ascii="Times New Roman" w:cs="Times New Roman" w:eastAsia="Times New Roman" w:hAnsi="Times New Roman"/>
          <w:sz w:val="19"/>
          <w:szCs w:val="19"/>
          <w:color w:val="auto"/>
        </w:rPr>
        <w:t>Section 7.2(a) of the Purchase Agreement is hereby deleted in its entirety and restated in full as follows:</w:t>
      </w:r>
    </w:p>
    <w:p>
      <w:pPr>
        <w:spacing w:after="0" w:line="212" w:lineRule="exact"/>
        <w:rPr>
          <w:sz w:val="20"/>
          <w:szCs w:val="20"/>
          <w:color w:val="auto"/>
        </w:rPr>
      </w:pPr>
    </w:p>
    <w:p>
      <w:pPr>
        <w:jc w:val="both"/>
        <w:ind w:left="880" w:firstLine="789"/>
        <w:spacing w:after="0" w:line="248" w:lineRule="auto"/>
        <w:tabs>
          <w:tab w:leader="none" w:pos="1946"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Misdirected Royalty Payments</w:t>
      </w:r>
      <w:r>
        <w:rPr>
          <w:rFonts w:ascii="Times New Roman" w:cs="Times New Roman" w:eastAsia="Times New Roman" w:hAnsi="Times New Roman"/>
          <w:sz w:val="20"/>
          <w:szCs w:val="20"/>
          <w:color w:val="auto"/>
        </w:rPr>
        <w:t>. If Seller shall, notwithstanding the provisions of the Pfizer Instruction Letter, receive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any Purchased Receivables, Seller shall promptly, and in any event no later than five Business Days, remit to Buyer, to the account designated in writing by Buyer, such Purchased Receivables.</w:t>
      </w:r>
    </w:p>
    <w:tbl>
      <w:tblPr>
        <w:tblLayout w:type="fixed"/>
        <w:tblInd w:w="0" w:type="dxa"/>
        <w:tblCellMar>
          <w:top w:w="0" w:type="dxa"/>
          <w:left w:w="0" w:type="dxa"/>
          <w:bottom w:w="0" w:type="dxa"/>
          <w:right w:w="0" w:type="dxa"/>
        </w:tblCellMar>
      </w:tblPr>
      <w:tr>
        <w:trPr>
          <w:trHeight w:val="191"/>
        </w:trPr>
        <w:tc>
          <w:tcPr>
            <w:tcW w:w="1500" w:type="dxa"/>
            <w:vAlign w:val="bottom"/>
            <w:gridSpan w:val="2"/>
          </w:tcPr>
          <w:p>
            <w:pPr>
              <w:ind w:left="880"/>
              <w:spacing w:after="0" w:line="191" w:lineRule="exact"/>
              <w:rPr>
                <w:sz w:val="20"/>
                <w:szCs w:val="20"/>
                <w:color w:val="auto"/>
              </w:rPr>
            </w:pPr>
            <w:r>
              <w:rPr>
                <w:rFonts w:ascii="Times New Roman" w:cs="Times New Roman" w:eastAsia="Times New Roman" w:hAnsi="Times New Roman"/>
                <w:sz w:val="20"/>
                <w:szCs w:val="20"/>
                <w:color w:val="auto"/>
              </w:rPr>
              <w:t>1.9</w:t>
            </w:r>
          </w:p>
        </w:tc>
        <w:tc>
          <w:tcPr>
            <w:tcW w:w="9740" w:type="dxa"/>
            <w:vAlign w:val="bottom"/>
            <w:gridSpan w:val="4"/>
          </w:tcPr>
          <w:p>
            <w:pPr>
              <w:ind w:left="260"/>
              <w:spacing w:after="0" w:line="191" w:lineRule="exact"/>
              <w:rPr>
                <w:sz w:val="20"/>
                <w:szCs w:val="20"/>
                <w:color w:val="auto"/>
              </w:rPr>
            </w:pPr>
            <w:r>
              <w:rPr>
                <w:rFonts w:ascii="Times New Roman" w:cs="Times New Roman" w:eastAsia="Times New Roman" w:hAnsi="Times New Roman"/>
                <w:sz w:val="20"/>
                <w:szCs w:val="20"/>
                <w:color w:val="auto"/>
                <w:w w:val="99"/>
              </w:rPr>
              <w:t>Exhibit A to the Purchase Agreement is hereby deleted in its entirety and restated in full as attached hereto as Annex I.</w:t>
            </w:r>
          </w:p>
        </w:tc>
      </w:tr>
      <w:tr>
        <w:trPr>
          <w:trHeight w:val="20"/>
        </w:trPr>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5"/>
        </w:trPr>
        <w:tc>
          <w:tcPr>
            <w:tcW w:w="150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1.10</w:t>
            </w:r>
          </w:p>
        </w:tc>
        <w:tc>
          <w:tcPr>
            <w:tcW w:w="9740" w:type="dxa"/>
            <w:vAlign w:val="bottom"/>
            <w:gridSpan w:val="4"/>
          </w:tcPr>
          <w:p>
            <w:pPr>
              <w:ind w:left="360"/>
              <w:spacing w:after="0"/>
              <w:rPr>
                <w:sz w:val="20"/>
                <w:szCs w:val="20"/>
                <w:color w:val="auto"/>
              </w:rPr>
            </w:pPr>
            <w:r>
              <w:rPr>
                <w:rFonts w:ascii="Times New Roman" w:cs="Times New Roman" w:eastAsia="Times New Roman" w:hAnsi="Times New Roman"/>
                <w:sz w:val="20"/>
                <w:szCs w:val="20"/>
                <w:color w:val="auto"/>
              </w:rPr>
              <w:t>Exhibit C to the Purchase Agreement is hereby deleted in its entirety and restated in full as attached hereto as Annex</w:t>
            </w:r>
          </w:p>
        </w:tc>
      </w:tr>
      <w:tr>
        <w:trPr>
          <w:trHeight w:val="210"/>
        </w:trPr>
        <w:tc>
          <w:tcPr>
            <w:tcW w:w="150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auto"/>
              </w:rPr>
              <w:t>II.</w:t>
            </w:r>
          </w:p>
        </w:tc>
        <w:tc>
          <w:tcPr>
            <w:tcW w:w="8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r>
      <w:tr>
        <w:trPr>
          <w:trHeight w:val="472"/>
        </w:trPr>
        <w:tc>
          <w:tcPr>
            <w:tcW w:w="140" w:type="dxa"/>
            <w:vAlign w:val="bottom"/>
            <w:tcBorders>
              <w:top w:val="single" w:sz="8" w:color="auto"/>
            </w:tcBorders>
          </w:tcPr>
          <w:p>
            <w:pPr>
              <w:spacing w:after="0"/>
              <w:rPr>
                <w:sz w:val="24"/>
                <w:szCs w:val="24"/>
                <w:color w:val="auto"/>
              </w:rPr>
            </w:pPr>
          </w:p>
        </w:tc>
        <w:tc>
          <w:tcPr>
            <w:tcW w:w="136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1.11</w:t>
            </w:r>
          </w:p>
        </w:tc>
        <w:tc>
          <w:tcPr>
            <w:tcW w:w="9740" w:type="dxa"/>
            <w:vAlign w:val="bottom"/>
            <w:gridSpan w:val="4"/>
          </w:tcPr>
          <w:p>
            <w:pPr>
              <w:ind w:left="360"/>
              <w:spacing w:after="0"/>
              <w:rPr>
                <w:sz w:val="20"/>
                <w:szCs w:val="20"/>
                <w:color w:val="auto"/>
              </w:rPr>
            </w:pPr>
            <w:r>
              <w:rPr>
                <w:rFonts w:ascii="Times New Roman" w:cs="Times New Roman" w:eastAsia="Times New Roman" w:hAnsi="Times New Roman"/>
                <w:sz w:val="20"/>
                <w:szCs w:val="20"/>
                <w:color w:val="auto"/>
              </w:rPr>
              <w:t>Exhibit E to the Purchase Agreement is hereby deleted in its entirety.</w:t>
            </w:r>
          </w:p>
        </w:tc>
      </w:tr>
      <w:tr>
        <w:trPr>
          <w:trHeight w:val="446"/>
        </w:trPr>
        <w:tc>
          <w:tcPr>
            <w:tcW w:w="150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1.12</w:t>
            </w:r>
          </w:p>
        </w:tc>
        <w:tc>
          <w:tcPr>
            <w:tcW w:w="9740" w:type="dxa"/>
            <w:vAlign w:val="bottom"/>
            <w:gridSpan w:val="4"/>
          </w:tcPr>
          <w:p>
            <w:pPr>
              <w:ind w:left="360"/>
              <w:spacing w:after="0"/>
              <w:rPr>
                <w:sz w:val="20"/>
                <w:szCs w:val="20"/>
                <w:color w:val="auto"/>
              </w:rPr>
            </w:pPr>
            <w:r>
              <w:rPr>
                <w:rFonts w:ascii="Times New Roman" w:cs="Times New Roman" w:eastAsia="Times New Roman" w:hAnsi="Times New Roman"/>
                <w:sz w:val="20"/>
                <w:szCs w:val="20"/>
                <w:color w:val="auto"/>
              </w:rPr>
              <w:t>The reference to “E</w:t>
            </w:r>
            <w:r>
              <w:rPr>
                <w:rFonts w:ascii="Times New Roman" w:cs="Times New Roman" w:eastAsia="Times New Roman" w:hAnsi="Times New Roman"/>
                <w:sz w:val="13"/>
                <w:szCs w:val="13"/>
                <w:color w:val="auto"/>
              </w:rPr>
              <w:t>xhibit</w:t>
            </w:r>
            <w:r>
              <w:rPr>
                <w:rFonts w:ascii="Times New Roman" w:cs="Times New Roman" w:eastAsia="Times New Roman" w:hAnsi="Times New Roman"/>
                <w:sz w:val="20"/>
                <w:szCs w:val="20"/>
                <w:color w:val="auto"/>
              </w:rPr>
              <w:t xml:space="preserve"> F” in Exhibit F to the Purchase Agreement is hereby restated to refer to “E</w:t>
            </w:r>
            <w:r>
              <w:rPr>
                <w:rFonts w:ascii="Times New Roman" w:cs="Times New Roman" w:eastAsia="Times New Roman" w:hAnsi="Times New Roman"/>
                <w:sz w:val="13"/>
                <w:szCs w:val="13"/>
                <w:color w:val="auto"/>
              </w:rPr>
              <w:t>xhibit</w:t>
            </w:r>
            <w:r>
              <w:rPr>
                <w:rFonts w:ascii="Times New Roman" w:cs="Times New Roman" w:eastAsia="Times New Roman" w:hAnsi="Times New Roman"/>
                <w:sz w:val="20"/>
                <w:szCs w:val="20"/>
                <w:color w:val="auto"/>
              </w:rPr>
              <w:t xml:space="preserve"> E”.</w:t>
            </w:r>
          </w:p>
        </w:tc>
      </w:tr>
    </w:tbl>
    <w:p>
      <w:pPr>
        <w:spacing w:after="0" w:line="183" w:lineRule="exact"/>
        <w:rPr>
          <w:sz w:val="20"/>
          <w:szCs w:val="20"/>
          <w:color w:val="auto"/>
        </w:rPr>
      </w:pPr>
    </w:p>
    <w:p>
      <w:pPr>
        <w:ind w:left="800" w:hanging="792"/>
        <w:spacing w:after="0"/>
        <w:tabs>
          <w:tab w:leader="none" w:pos="8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Closing</w:t>
      </w:r>
      <w:r>
        <w:rPr>
          <w:rFonts w:ascii="Times New Roman" w:cs="Times New Roman" w:eastAsia="Times New Roman" w:hAnsi="Times New Roman"/>
          <w:sz w:val="20"/>
          <w:szCs w:val="20"/>
          <w:color w:val="auto"/>
        </w:rPr>
        <w:t>. As of the execution and delivery of this Amendment:</w:t>
      </w:r>
    </w:p>
    <w:p>
      <w:pPr>
        <w:spacing w:after="0" w:line="220"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 xml:space="preserve">2.1 Seller and Buyer shall each deliver to the other party hereto a duly executed counterpart to the Bill of Sale and Assignment, as amended and restated pursuant to Section 1.9 of this Amendment and in substantially the form as attached hereto as </w:t>
      </w:r>
      <w:r>
        <w:rPr>
          <w:rFonts w:ascii="Times New Roman" w:cs="Times New Roman" w:eastAsia="Times New Roman" w:hAnsi="Times New Roman"/>
          <w:sz w:val="20"/>
          <w:szCs w:val="20"/>
          <w:u w:val="single" w:color="auto"/>
          <w:color w:val="auto"/>
        </w:rPr>
        <w:t>Annex I</w:t>
      </w:r>
      <w:r>
        <w:rPr>
          <w:rFonts w:ascii="Times New Roman" w:cs="Times New Roman" w:eastAsia="Times New Roman" w:hAnsi="Times New Roman"/>
          <w:sz w:val="20"/>
          <w:szCs w:val="20"/>
          <w:color w:val="auto"/>
        </w:rPr>
        <w:t>, evidencing the sale and assignment to Buyer of the Purchased Assets.</w:t>
      </w:r>
    </w:p>
    <w:p>
      <w:pPr>
        <w:spacing w:after="0" w:line="174" w:lineRule="exact"/>
        <w:rPr>
          <w:sz w:val="20"/>
          <w:szCs w:val="20"/>
          <w:color w:val="auto"/>
        </w:rPr>
      </w:pPr>
    </w:p>
    <w:p>
      <w:pPr>
        <w:jc w:val="both"/>
        <w:ind w:firstLine="864"/>
        <w:spacing w:after="0" w:line="269" w:lineRule="auto"/>
        <w:rPr>
          <w:sz w:val="20"/>
          <w:szCs w:val="20"/>
          <w:color w:val="auto"/>
        </w:rPr>
      </w:pPr>
      <w:r>
        <w:rPr>
          <w:rFonts w:ascii="Times New Roman" w:cs="Times New Roman" w:eastAsia="Times New Roman" w:hAnsi="Times New Roman"/>
          <w:sz w:val="20"/>
          <w:szCs w:val="20"/>
          <w:color w:val="auto"/>
        </w:rPr>
        <w:t xml:space="preserve">2.2 Seller shall deliver to Pfizer a duly executed Pfizer Instruction Letter, as amended and restated pursuant to Section 1.10 of this Amendment and in substantially the form as attached hereto as </w:t>
      </w:r>
      <w:r>
        <w:rPr>
          <w:rFonts w:ascii="Times New Roman" w:cs="Times New Roman" w:eastAsia="Times New Roman" w:hAnsi="Times New Roman"/>
          <w:sz w:val="20"/>
          <w:szCs w:val="20"/>
          <w:u w:val="single" w:color="auto"/>
          <w:color w:val="auto"/>
        </w:rPr>
        <w:t>Annex II</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864"/>
        <w:spacing w:after="0" w:line="269" w:lineRule="auto"/>
        <w:rPr>
          <w:sz w:val="20"/>
          <w:szCs w:val="20"/>
          <w:color w:val="auto"/>
        </w:rPr>
      </w:pPr>
      <w:r>
        <w:rPr>
          <w:rFonts w:ascii="Times New Roman" w:cs="Times New Roman" w:eastAsia="Times New Roman" w:hAnsi="Times New Roman"/>
          <w:sz w:val="20"/>
          <w:szCs w:val="20"/>
          <w:color w:val="auto"/>
        </w:rPr>
        <w:t xml:space="preserve">2.3 Seller shall deliver to Buyer a MidCap Consent, in substantially the form as attached hereto as </w:t>
      </w:r>
      <w:r>
        <w:rPr>
          <w:rFonts w:ascii="Times New Roman" w:cs="Times New Roman" w:eastAsia="Times New Roman" w:hAnsi="Times New Roman"/>
          <w:sz w:val="20"/>
          <w:szCs w:val="20"/>
          <w:u w:val="single" w:color="auto"/>
          <w:color w:val="auto"/>
        </w:rPr>
        <w:t>Annex III</w:t>
      </w:r>
      <w:r>
        <w:rPr>
          <w:rFonts w:ascii="Times New Roman" w:cs="Times New Roman" w:eastAsia="Times New Roman" w:hAnsi="Times New Roman"/>
          <w:sz w:val="20"/>
          <w:szCs w:val="20"/>
          <w:color w:val="auto"/>
        </w:rPr>
        <w:t>, evidencing the consent by MidCap to this Amendment pursuant to the MidCap Credit Agreement and the MidCap Collateral Assignment.</w:t>
      </w:r>
    </w:p>
    <w:p>
      <w:pPr>
        <w:spacing w:after="0" w:line="159" w:lineRule="exact"/>
        <w:rPr>
          <w:sz w:val="20"/>
          <w:szCs w:val="20"/>
          <w:color w:val="auto"/>
        </w:rPr>
      </w:pPr>
    </w:p>
    <w:p>
      <w:pPr>
        <w:ind w:left="880"/>
        <w:spacing w:after="0"/>
        <w:tabs>
          <w:tab w:leader="none" w:pos="1740" w:val="left"/>
        </w:tabs>
        <w:rPr>
          <w:sz w:val="20"/>
          <w:szCs w:val="20"/>
          <w:color w:val="auto"/>
        </w:rPr>
      </w:pPr>
      <w:r>
        <w:rPr>
          <w:rFonts w:ascii="Times New Roman" w:cs="Times New Roman" w:eastAsia="Times New Roman" w:hAnsi="Times New Roman"/>
          <w:sz w:val="20"/>
          <w:szCs w:val="20"/>
          <w:color w:val="auto"/>
        </w:rPr>
        <w:t>2.5</w:t>
      </w:r>
      <w:r>
        <w:rPr>
          <w:sz w:val="20"/>
          <w:szCs w:val="20"/>
          <w:color w:val="auto"/>
        </w:rPr>
        <w:tab/>
      </w:r>
      <w:r>
        <w:rPr>
          <w:rFonts w:ascii="Times New Roman" w:cs="Times New Roman" w:eastAsia="Times New Roman" w:hAnsi="Times New Roman"/>
          <w:sz w:val="19"/>
          <w:szCs w:val="19"/>
          <w:color w:val="auto"/>
        </w:rPr>
        <w:t>Seller and Buyer shall deliver a joint written instruction to the Escrow Agent to terminate the Escrow Agreement.</w:t>
      </w:r>
    </w:p>
    <w:p>
      <w:pPr>
        <w:spacing w:after="0" w:line="212" w:lineRule="exact"/>
        <w:rPr>
          <w:sz w:val="20"/>
          <w:szCs w:val="20"/>
          <w:color w:val="auto"/>
        </w:rPr>
      </w:pPr>
    </w:p>
    <w:p>
      <w:pPr>
        <w:jc w:val="both"/>
        <w:ind w:firstLine="8"/>
        <w:spacing w:after="0" w:line="247" w:lineRule="auto"/>
        <w:tabs>
          <w:tab w:leader="none" w:pos="796"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Full Force and Effect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Except as amended pursuant to the terms hereof, the Purchase Agreement remains in full force and effect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is hereby ratified by the parties hereto. Nothing herein shall be deemed to be a waiver of any provisions of the Purchase Agreement or cure any breaches under the Purchase Agreement. Each party represents and warrants to the other parties that this Amendment has been duly and validly executed and delivered by such party and constitutes the valid and legally binding obligations of such party enforceable in accordance with its terms.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1" w:name="page62"/>
    <w:bookmarkEnd w:id="61"/>
    <w:p>
      <w:pPr>
        <w:ind w:firstLine="8"/>
        <w:spacing w:after="0" w:line="273" w:lineRule="auto"/>
        <w:tabs>
          <w:tab w:leader="none" w:pos="796"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Expenses</w:t>
      </w:r>
      <w:r>
        <w:rPr>
          <w:rFonts w:ascii="Times New Roman" w:cs="Times New Roman" w:eastAsia="Times New Roman" w:hAnsi="Times New Roman"/>
          <w:sz w:val="20"/>
          <w:szCs w:val="20"/>
          <w:color w:val="auto"/>
        </w:rPr>
        <w:t>. Seller shall bear Buyer’s reasonable and documented out-of-pocket fees and expenses incurred in connection with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Amendment.</w:t>
      </w:r>
    </w:p>
    <w:p>
      <w:pPr>
        <w:spacing w:after="0" w:line="165" w:lineRule="exact"/>
        <w:rPr>
          <w:rFonts w:ascii="Times New Roman" w:cs="Times New Roman" w:eastAsia="Times New Roman" w:hAnsi="Times New Roman"/>
          <w:sz w:val="20"/>
          <w:szCs w:val="20"/>
          <w:color w:val="auto"/>
        </w:rPr>
      </w:pPr>
    </w:p>
    <w:p>
      <w:pPr>
        <w:ind w:right="140" w:firstLine="8"/>
        <w:spacing w:after="0" w:line="256" w:lineRule="auto"/>
        <w:tabs>
          <w:tab w:leader="none" w:pos="796"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Miscellaneous</w:t>
      </w:r>
      <w:r>
        <w:rPr>
          <w:rFonts w:ascii="Times New Roman" w:cs="Times New Roman" w:eastAsia="Times New Roman" w:hAnsi="Times New Roman"/>
          <w:sz w:val="20"/>
          <w:szCs w:val="20"/>
          <w:color w:val="auto"/>
        </w:rPr>
        <w:t>. Section 9.1 (Headings), Section 9.2 (Notices), Section 9.5 (Assignment), Section 9.6 (Amendment and Waiver),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Section 9.10 (Governing Law), Section 9.11 (Jurisdiction; Venue; Service of Process) and Section 9.13 (Counterparts) of the Purchase Agreement are incorporated herein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80"/>
          </w:cols>
          <w:pgMar w:left="320" w:top="329" w:right="499" w:bottom="1440" w:gutter="0" w:footer="0" w:header="0"/>
        </w:sectPr>
      </w:pPr>
    </w:p>
    <w:bookmarkStart w:id="62" w:name="page63"/>
    <w:bookmarkEnd w:id="62"/>
    <w:p>
      <w:pPr>
        <w:jc w:val="center"/>
        <w:ind w:left="720"/>
        <w:spacing w:after="0"/>
        <w:rPr>
          <w:sz w:val="20"/>
          <w:szCs w:val="20"/>
          <w:color w:val="auto"/>
        </w:rPr>
      </w:pPr>
      <w:r>
        <w:rPr>
          <w:rFonts w:ascii="Times New Roman" w:cs="Times New Roman" w:eastAsia="Times New Roman" w:hAnsi="Times New Roman"/>
          <w:sz w:val="20"/>
          <w:szCs w:val="20"/>
          <w:color w:val="auto"/>
        </w:rPr>
        <w:t>IN WITNESS WHEREOF, the parties hereto have caused this Amendment to be duly executed, as of the date first above written.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b w:val="1"/>
          <w:bCs w:val="1"/>
          <w:color w:val="auto"/>
        </w:rPr>
        <w:t>SELLER</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APTEVO THERAPEUTICS INC.</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360" w:type="dxa"/>
            <w:vAlign w:val="bottom"/>
          </w:tcPr>
          <w:p>
            <w:pPr>
              <w:ind w:left="5620"/>
              <w:spacing w:after="0"/>
              <w:rPr>
                <w:sz w:val="20"/>
                <w:szCs w:val="20"/>
                <w:color w:val="auto"/>
              </w:rPr>
            </w:pPr>
            <w:r>
              <w:rPr>
                <w:rFonts w:ascii="Times New Roman" w:cs="Times New Roman" w:eastAsia="Times New Roman" w:hAnsi="Times New Roman"/>
                <w:sz w:val="20"/>
                <w:szCs w:val="20"/>
                <w:color w:val="auto"/>
              </w:rPr>
              <w:t>By:</w:t>
            </w:r>
          </w:p>
        </w:tc>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Jeff Lamothe</w:t>
            </w:r>
          </w:p>
        </w:tc>
        <w:tc>
          <w:tcPr>
            <w:tcW w:w="20" w:type="dxa"/>
            <w:vAlign w:val="bottom"/>
          </w:tcPr>
          <w:p>
            <w:pPr>
              <w:spacing w:after="0"/>
              <w:rPr>
                <w:sz w:val="21"/>
                <w:szCs w:val="21"/>
                <w:color w:val="auto"/>
              </w:rPr>
            </w:pPr>
          </w:p>
        </w:tc>
      </w:tr>
      <w:tr>
        <w:trPr>
          <w:trHeight w:val="200"/>
        </w:trPr>
        <w:tc>
          <w:tcPr>
            <w:tcW w:w="6360" w:type="dxa"/>
            <w:vAlign w:val="bottom"/>
          </w:tcPr>
          <w:p>
            <w:pPr>
              <w:ind w:left="5620"/>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48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Jeff Lamothe</w:t>
            </w:r>
          </w:p>
        </w:tc>
        <w:tc>
          <w:tcPr>
            <w:tcW w:w="20" w:type="dxa"/>
            <w:vAlign w:val="bottom"/>
          </w:tcPr>
          <w:p>
            <w:pPr>
              <w:spacing w:after="0"/>
              <w:rPr>
                <w:sz w:val="17"/>
                <w:szCs w:val="17"/>
                <w:color w:val="auto"/>
              </w:rPr>
            </w:pPr>
          </w:p>
        </w:tc>
      </w:tr>
      <w:tr>
        <w:trPr>
          <w:trHeight w:val="258"/>
        </w:trPr>
        <w:tc>
          <w:tcPr>
            <w:tcW w:w="6360" w:type="dxa"/>
            <w:vAlign w:val="bottom"/>
          </w:tcPr>
          <w:p>
            <w:pPr>
              <w:ind w:left="5620"/>
              <w:spacing w:after="0"/>
              <w:rPr>
                <w:sz w:val="20"/>
                <w:szCs w:val="20"/>
                <w:color w:val="auto"/>
              </w:rPr>
            </w:pPr>
            <w:r>
              <w:rPr>
                <w:rFonts w:ascii="Times New Roman" w:cs="Times New Roman" w:eastAsia="Times New Roman" w:hAnsi="Times New Roman"/>
                <w:sz w:val="20"/>
                <w:szCs w:val="20"/>
                <w:color w:val="auto"/>
              </w:rPr>
              <w:t>Title:</w:t>
            </w:r>
          </w:p>
        </w:tc>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tc>
        <w:tc>
          <w:tcPr>
            <w:tcW w:w="20" w:type="dxa"/>
            <w:vAlign w:val="bottom"/>
          </w:tcPr>
          <w:p>
            <w:pPr>
              <w:spacing w:after="0"/>
              <w:rPr>
                <w:sz w:val="22"/>
                <w:szCs w:val="22"/>
                <w:color w:val="auto"/>
              </w:rPr>
            </w:pPr>
          </w:p>
        </w:tc>
      </w:tr>
      <w:tr>
        <w:trPr>
          <w:trHeight w:val="1230"/>
        </w:trPr>
        <w:tc>
          <w:tcPr>
            <w:tcW w:w="636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49" w:right="319" w:bottom="1440" w:gutter="0" w:footer="0" w:header="0"/>
        </w:sectPr>
      </w:pPr>
    </w:p>
    <w:bookmarkStart w:id="63" w:name="page64"/>
    <w:bookmarkEnd w:id="63"/>
    <w:p>
      <w:pPr>
        <w:ind w:left="5620"/>
        <w:spacing w:after="0"/>
        <w:rPr>
          <w:sz w:val="20"/>
          <w:szCs w:val="20"/>
          <w:color w:val="auto"/>
        </w:rPr>
      </w:pPr>
      <w:r>
        <w:rPr>
          <w:rFonts w:ascii="Times New Roman" w:cs="Times New Roman" w:eastAsia="Times New Roman" w:hAnsi="Times New Roman"/>
          <w:sz w:val="20"/>
          <w:szCs w:val="20"/>
          <w:b w:val="1"/>
          <w:bCs w:val="1"/>
          <w:color w:val="auto"/>
        </w:rPr>
        <w:t>BUYER</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HEALTHCARE ROYALTY PARTNERS IV,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By: HealthCare Royalty GP IV, LLC, its general partner</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360" w:type="dxa"/>
            <w:vAlign w:val="bottom"/>
          </w:tcPr>
          <w:p>
            <w:pPr>
              <w:ind w:left="5620"/>
              <w:spacing w:after="0"/>
              <w:rPr>
                <w:sz w:val="20"/>
                <w:szCs w:val="20"/>
                <w:color w:val="auto"/>
              </w:rPr>
            </w:pPr>
            <w:r>
              <w:rPr>
                <w:rFonts w:ascii="Times New Roman" w:cs="Times New Roman" w:eastAsia="Times New Roman" w:hAnsi="Times New Roman"/>
                <w:sz w:val="20"/>
                <w:szCs w:val="20"/>
                <w:color w:val="auto"/>
              </w:rPr>
              <w:t>By:</w:t>
            </w:r>
          </w:p>
        </w:tc>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Clarke B Futch</w:t>
            </w:r>
          </w:p>
        </w:tc>
        <w:tc>
          <w:tcPr>
            <w:tcW w:w="20" w:type="dxa"/>
            <w:vAlign w:val="bottom"/>
          </w:tcPr>
          <w:p>
            <w:pPr>
              <w:spacing w:after="0"/>
              <w:rPr>
                <w:sz w:val="21"/>
                <w:szCs w:val="21"/>
                <w:color w:val="auto"/>
              </w:rPr>
            </w:pPr>
          </w:p>
        </w:tc>
      </w:tr>
      <w:tr>
        <w:trPr>
          <w:trHeight w:val="200"/>
        </w:trPr>
        <w:tc>
          <w:tcPr>
            <w:tcW w:w="6360" w:type="dxa"/>
            <w:vAlign w:val="bottom"/>
          </w:tcPr>
          <w:p>
            <w:pPr>
              <w:ind w:left="5620"/>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48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Clarke B. Futch</w:t>
            </w:r>
          </w:p>
        </w:tc>
        <w:tc>
          <w:tcPr>
            <w:tcW w:w="20" w:type="dxa"/>
            <w:vAlign w:val="bottom"/>
          </w:tcPr>
          <w:p>
            <w:pPr>
              <w:spacing w:after="0"/>
              <w:rPr>
                <w:sz w:val="17"/>
                <w:szCs w:val="17"/>
                <w:color w:val="auto"/>
              </w:rPr>
            </w:pPr>
          </w:p>
        </w:tc>
      </w:tr>
      <w:tr>
        <w:trPr>
          <w:trHeight w:val="258"/>
        </w:trPr>
        <w:tc>
          <w:tcPr>
            <w:tcW w:w="6360" w:type="dxa"/>
            <w:vAlign w:val="bottom"/>
          </w:tcPr>
          <w:p>
            <w:pPr>
              <w:ind w:left="5620"/>
              <w:spacing w:after="0"/>
              <w:rPr>
                <w:sz w:val="20"/>
                <w:szCs w:val="20"/>
                <w:color w:val="auto"/>
              </w:rPr>
            </w:pPr>
            <w:r>
              <w:rPr>
                <w:rFonts w:ascii="Times New Roman" w:cs="Times New Roman" w:eastAsia="Times New Roman" w:hAnsi="Times New Roman"/>
                <w:sz w:val="20"/>
                <w:szCs w:val="20"/>
                <w:color w:val="auto"/>
              </w:rPr>
              <w:t>Title:</w:t>
            </w:r>
          </w:p>
        </w:tc>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Authorized Signatory</w:t>
            </w:r>
          </w:p>
        </w:tc>
        <w:tc>
          <w:tcPr>
            <w:tcW w:w="20" w:type="dxa"/>
            <w:vAlign w:val="bottom"/>
          </w:tcPr>
          <w:p>
            <w:pPr>
              <w:spacing w:after="0"/>
              <w:rPr>
                <w:sz w:val="22"/>
                <w:szCs w:val="22"/>
                <w:color w:val="auto"/>
              </w:rPr>
            </w:pPr>
          </w:p>
        </w:tc>
      </w:tr>
      <w:tr>
        <w:trPr>
          <w:trHeight w:val="1229"/>
        </w:trPr>
        <w:tc>
          <w:tcPr>
            <w:tcW w:w="636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774" w:right="319"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Annex I</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Exhibit A to Royalty Purchase Agreement</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Amended and Restated Bill of Sale</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490220</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545" w:right="1440"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Annex 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C to Royalty Purchase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Amended and Restated Pfizer Instruction Letter</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490220</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545" w:right="1440" w:bottom="1440" w:gutter="0" w:footer="0" w:header="0"/>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Annex III</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MidCap Consent</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Omitted.</w:t>
      </w:r>
    </w:p>
    <w:p>
      <w:pPr>
        <w:sectPr>
          <w:pgSz w:w="11900" w:h="16838" w:orient="portrait"/>
          <w:cols w:equalWidth="0" w:num="1">
            <w:col w:w="9019"/>
          </w:cols>
          <w:pgMar w:left="1440" w:top="545" w:right="1440"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LIMITED CONSENT AND SECOND AMENDMENT TO CREDIT AND SECURITY AGREEMENT</w:t>
      </w:r>
    </w:p>
    <w:p>
      <w:pPr>
        <w:spacing w:after="0" w:line="216"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color w:val="auto"/>
        </w:rPr>
        <w:t>This LIMITED CONSENT AND SECOND AMENDMENT TO CREDIT AND SECURITY AGREEMENT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xml:space="preserve">”) is made as of June 7, 2022, by and among </w:t>
      </w:r>
      <w:r>
        <w:rPr>
          <w:rFonts w:ascii="Times New Roman" w:cs="Times New Roman" w:eastAsia="Times New Roman" w:hAnsi="Times New Roman"/>
          <w:sz w:val="20"/>
          <w:szCs w:val="20"/>
          <w:b w:val="1"/>
          <w:bCs w:val="1"/>
          <w:color w:val="auto"/>
        </w:rPr>
        <w:t>APTEVO THERAPEUTICS INC.</w:t>
      </w:r>
      <w:r>
        <w:rPr>
          <w:rFonts w:ascii="Times New Roman" w:cs="Times New Roman" w:eastAsia="Times New Roman" w:hAnsi="Times New Roman"/>
          <w:sz w:val="20"/>
          <w:szCs w:val="20"/>
          <w:color w:val="auto"/>
        </w:rPr>
        <w:t>, a Delaware corporation (“</w:t>
      </w:r>
      <w:r>
        <w:rPr>
          <w:rFonts w:ascii="Times New Roman" w:cs="Times New Roman" w:eastAsia="Times New Roman" w:hAnsi="Times New Roman"/>
          <w:sz w:val="20"/>
          <w:szCs w:val="20"/>
          <w:b w:val="1"/>
          <w:bCs w:val="1"/>
          <w:color w:val="auto"/>
        </w:rPr>
        <w:t>Aptevo Therapeutics</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APTEVO RESEARCH AND DEVELOPMENT LLC</w:t>
      </w:r>
      <w:r>
        <w:rPr>
          <w:rFonts w:ascii="Times New Roman" w:cs="Times New Roman" w:eastAsia="Times New Roman" w:hAnsi="Times New Roman"/>
          <w:sz w:val="20"/>
          <w:szCs w:val="20"/>
          <w:color w:val="auto"/>
        </w:rPr>
        <w:t>, a Delaware limited liability company (“</w:t>
      </w:r>
      <w:r>
        <w:rPr>
          <w:rFonts w:ascii="Times New Roman" w:cs="Times New Roman" w:eastAsia="Times New Roman" w:hAnsi="Times New Roman"/>
          <w:sz w:val="20"/>
          <w:szCs w:val="20"/>
          <w:b w:val="1"/>
          <w:bCs w:val="1"/>
          <w:color w:val="auto"/>
        </w:rPr>
        <w:t>Aptevo R&amp;D</w:t>
      </w:r>
      <w:r>
        <w:rPr>
          <w:rFonts w:ascii="Times New Roman" w:cs="Times New Roman" w:eastAsia="Times New Roman" w:hAnsi="Times New Roman"/>
          <w:sz w:val="20"/>
          <w:szCs w:val="20"/>
          <w:color w:val="auto"/>
        </w:rPr>
        <w:t>”, and together with Aptevo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Therapeutics, each individually, a “</w:t>
      </w:r>
      <w:r>
        <w:rPr>
          <w:rFonts w:ascii="Times New Roman" w:cs="Times New Roman" w:eastAsia="Times New Roman" w:hAnsi="Times New Roman"/>
          <w:sz w:val="20"/>
          <w:szCs w:val="20"/>
          <w:b w:val="1"/>
          <w:bCs w:val="1"/>
          <w:color w:val="auto"/>
        </w:rPr>
        <w:t>Borrower</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b w:val="1"/>
          <w:bCs w:val="1"/>
          <w:color w:val="auto"/>
        </w:rPr>
        <w:t>Borrowers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MIDCAP FINANCIAL TRUST</w:t>
      </w:r>
      <w:r>
        <w:rPr>
          <w:rFonts w:ascii="Times New Roman" w:cs="Times New Roman" w:eastAsia="Times New Roman" w:hAnsi="Times New Roman"/>
          <w:sz w:val="20"/>
          <w:szCs w:val="20"/>
          <w:color w:val="auto"/>
        </w:rPr>
        <w:t>, a Delaware statutory trust, as Agent (in such capacity, together with its successors and assigns, “</w:t>
      </w:r>
      <w:r>
        <w:rPr>
          <w:rFonts w:ascii="Times New Roman" w:cs="Times New Roman" w:eastAsia="Times New Roman" w:hAnsi="Times New Roman"/>
          <w:sz w:val="20"/>
          <w:szCs w:val="20"/>
          <w:b w:val="1"/>
          <w:bCs w:val="1"/>
          <w:color w:val="auto"/>
        </w:rPr>
        <w:t>Agent</w:t>
      </w:r>
      <w:r>
        <w:rPr>
          <w:rFonts w:ascii="Times New Roman" w:cs="Times New Roman" w:eastAsia="Times New Roman" w:hAnsi="Times New Roman"/>
          <w:sz w:val="20"/>
          <w:szCs w:val="20"/>
          <w:color w:val="auto"/>
        </w:rPr>
        <w:t>”) and the financial institutions or other entities from time to time parties to the Credit Agreement referenced below, each as a Lender.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20" w:lineRule="exact"/>
        <w:rPr>
          <w:sz w:val="20"/>
          <w:szCs w:val="20"/>
          <w:color w:val="auto"/>
        </w:rPr>
      </w:pPr>
    </w:p>
    <w:p>
      <w:pPr>
        <w:jc w:val="both"/>
        <w:ind w:firstLine="872"/>
        <w:spacing w:after="0" w:line="246" w:lineRule="auto"/>
        <w:tabs>
          <w:tab w:leader="none" w:pos="1704"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Lenders and Borrowers have entered into that certain Credit and Security Agreement, dated as of August 5, 2020 (as amended by that certain First Amendment to Credit and Security Agreement, dated as of March 30, 2021 and as further amended, modified, supplemented and restated prior to the date hereof, the “</w:t>
      </w:r>
      <w:r>
        <w:rPr>
          <w:rFonts w:ascii="Times New Roman" w:cs="Times New Roman" w:eastAsia="Times New Roman" w:hAnsi="Times New Roman"/>
          <w:sz w:val="20"/>
          <w:szCs w:val="20"/>
          <w:b w:val="1"/>
          <w:bCs w:val="1"/>
          <w:color w:val="auto"/>
        </w:rPr>
        <w:t>Existing Credit Agreement</w:t>
      </w:r>
      <w:r>
        <w:rPr>
          <w:rFonts w:ascii="Times New Roman" w:cs="Times New Roman" w:eastAsia="Times New Roman" w:hAnsi="Times New Roman"/>
          <w:sz w:val="20"/>
          <w:szCs w:val="20"/>
          <w:color w:val="auto"/>
        </w:rPr>
        <w:t>” and as the same is amended hereby and as it may be further amended, modified, supplemented and restated from time to time, the “</w:t>
      </w:r>
      <w:r>
        <w:rPr>
          <w:rFonts w:ascii="Times New Roman" w:cs="Times New Roman" w:eastAsia="Times New Roman" w:hAnsi="Times New Roman"/>
          <w:sz w:val="20"/>
          <w:szCs w:val="20"/>
          <w:b w:val="1"/>
          <w:bCs w:val="1"/>
          <w:color w:val="auto"/>
        </w:rPr>
        <w:t>Credit Agreement</w:t>
      </w:r>
      <w:r>
        <w:rPr>
          <w:rFonts w:ascii="Times New Roman" w:cs="Times New Roman" w:eastAsia="Times New Roman" w:hAnsi="Times New Roman"/>
          <w:sz w:val="20"/>
          <w:szCs w:val="20"/>
          <w:color w:val="auto"/>
        </w:rPr>
        <w:t>”), pursuant to which the Lenders have made Loans to Borrowers in the amounts and manner set forth in the Credit Agreement.</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30" w:lineRule="exact"/>
        <w:rPr>
          <w:rFonts w:ascii="Times New Roman" w:cs="Times New Roman" w:eastAsia="Times New Roman" w:hAnsi="Times New Roman"/>
          <w:sz w:val="20"/>
          <w:szCs w:val="20"/>
          <w:color w:val="auto"/>
        </w:rPr>
      </w:pPr>
    </w:p>
    <w:p>
      <w:pPr>
        <w:ind w:right="20" w:firstLine="872"/>
        <w:spacing w:after="0" w:line="269" w:lineRule="auto"/>
        <w:tabs>
          <w:tab w:leader="none" w:pos="1693"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Aptevo Therapeutics is party to that certain Ruxience Sale Agreement, dated as of the First Amendment Effective Date, pursuant to which Aptevo Therapeutics sold to HealthCare Royalty Partners IV, L.P. (the “</w:t>
      </w:r>
      <w:r>
        <w:rPr>
          <w:rFonts w:ascii="Times New Roman" w:cs="Times New Roman" w:eastAsia="Times New Roman" w:hAnsi="Times New Roman"/>
          <w:sz w:val="20"/>
          <w:szCs w:val="20"/>
          <w:b w:val="1"/>
          <w:bCs w:val="1"/>
          <w:color w:val="auto"/>
        </w:rPr>
        <w:t>Buyer</w:t>
      </w:r>
      <w:r>
        <w:rPr>
          <w:rFonts w:ascii="Times New Roman" w:cs="Times New Roman" w:eastAsia="Times New Roman" w:hAnsi="Times New Roman"/>
          <w:sz w:val="20"/>
          <w:szCs w:val="20"/>
          <w:color w:val="auto"/>
        </w:rPr>
        <w:t>”) the Sold Ruxience Assets.</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4" w:lineRule="exact"/>
        <w:rPr>
          <w:rFonts w:ascii="Times New Roman" w:cs="Times New Roman" w:eastAsia="Times New Roman" w:hAnsi="Times New Roman"/>
          <w:sz w:val="20"/>
          <w:szCs w:val="20"/>
          <w:color w:val="auto"/>
        </w:rPr>
      </w:pPr>
    </w:p>
    <w:p>
      <w:pPr>
        <w:jc w:val="both"/>
        <w:ind w:firstLine="872"/>
        <w:spacing w:after="0" w:line="266" w:lineRule="auto"/>
        <w:tabs>
          <w:tab w:leader="none" w:pos="1693"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Borrowers desire to enter into that certain Amendment to Royalty Purchase Agreement, dated on or about the date hereof, by and between Aptevo Therapeutics and Buyer, which will amend the Ruxience Sale Agreement, in substantially the form attached hereto as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(as in effect on the date hereof, the “</w:t>
      </w:r>
      <w:r>
        <w:rPr>
          <w:rFonts w:ascii="Times New Roman" w:cs="Times New Roman" w:eastAsia="Times New Roman" w:hAnsi="Times New Roman"/>
          <w:sz w:val="19"/>
          <w:szCs w:val="19"/>
          <w:b w:val="1"/>
          <w:bCs w:val="1"/>
          <w:color w:val="auto"/>
        </w:rPr>
        <w:t>Amendment No. 1 to Ruxience Sale Agreement</w:t>
      </w:r>
      <w:r>
        <w:rPr>
          <w:rFonts w:ascii="Times New Roman" w:cs="Times New Roman" w:eastAsia="Times New Roman" w:hAnsi="Times New Roman"/>
          <w:sz w:val="19"/>
          <w:szCs w:val="19"/>
          <w:color w:val="auto"/>
        </w:rPr>
        <w:t>”), pursuant to which, among other things, Aptevo Therapeutics will sell, transfer and assign certain additional assets to Buyer on and subject to the terms set forth therein.</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10" w:lineRule="exact"/>
        <w:rPr>
          <w:rFonts w:ascii="Times New Roman" w:cs="Times New Roman" w:eastAsia="Times New Roman" w:hAnsi="Times New Roman"/>
          <w:sz w:val="19"/>
          <w:szCs w:val="19"/>
          <w:color w:val="auto"/>
        </w:rPr>
      </w:pPr>
    </w:p>
    <w:p>
      <w:pPr>
        <w:ind w:firstLine="872"/>
        <w:spacing w:after="0" w:line="269" w:lineRule="auto"/>
        <w:tabs>
          <w:tab w:leader="none" w:pos="1704"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Section 5.6(b) of the Credit Agreement, the Borrowers are not permitted to consummate any Asset Dispositions other than Permitted Asset Dispositions.</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4" w:lineRule="exact"/>
        <w:rPr>
          <w:rFonts w:ascii="Times New Roman" w:cs="Times New Roman" w:eastAsia="Times New Roman" w:hAnsi="Times New Roman"/>
          <w:sz w:val="20"/>
          <w:szCs w:val="20"/>
          <w:color w:val="auto"/>
        </w:rPr>
      </w:pPr>
    </w:p>
    <w:p>
      <w:pPr>
        <w:jc w:val="both"/>
        <w:ind w:firstLine="872"/>
        <w:spacing w:after="0" w:line="254" w:lineRule="auto"/>
        <w:tabs>
          <w:tab w:leader="none" w:pos="1682"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Section 5.10 of the Credit Agreement, the Borrowers shall not amend or otherwise modify any Material Contract, including the Ruxience Sale Agreement, which amendment or modification would reasonably be expected to be materially adverse to the rights, interests or privileges of Agent or the Lenders or their ability to enforce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68" w:name="page69"/>
    <w:bookmarkEnd w:id="68"/>
    <w:p>
      <w:pPr>
        <w:jc w:val="both"/>
        <w:ind w:firstLine="872"/>
        <w:spacing w:after="0" w:line="249" w:lineRule="auto"/>
        <w:tabs>
          <w:tab w:leader="none" w:pos="1655"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Borrowers have requested, and Agent and Lenders constituting Required Lenders have agreed, to (i) consent to the Borrower entering into and consummating the transactions contemplated by Amendment No. 1 to Ruxience Sale Agreement and (ii) amend certain provisions of the Existing Credit Agreement related to the consummation of the transactions contemplated by Amendment No. 1 to Ruxience Sale Agreement, in each case, in accordance with the terms and subject to the conditions set forth herein.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20"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NOW, THEREFORE, in consideration of the foregoing, the terms and conditions set forth in this Agreement, and other good and valuable consideration, the receipt and sufficiency of which are hereby acknowledged, Agent, the Lenders party hereto and Borrowers hereby agree as follows:</w:t>
      </w:r>
    </w:p>
    <w:p>
      <w:pPr>
        <w:spacing w:after="0" w:line="170" w:lineRule="exact"/>
        <w:rPr>
          <w:sz w:val="20"/>
          <w:szCs w:val="20"/>
          <w:color w:val="auto"/>
        </w:rPr>
      </w:pPr>
    </w:p>
    <w:p>
      <w:pPr>
        <w:jc w:val="both"/>
        <w:ind w:firstLine="872"/>
        <w:spacing w:after="0" w:line="250" w:lineRule="auto"/>
        <w:tabs>
          <w:tab w:leader="none" w:pos="1660" w:val="left"/>
        </w:tabs>
        <w:numPr>
          <w:ilvl w:val="0"/>
          <w:numId w:val="3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Recitals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010000"/>
        </w:rPr>
        <w:t>This Agreement shall constitute a Financing Document and the Recitals and each reference to the Credit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010000"/>
        </w:rPr>
        <w:t>Agreement, unless otherwise expressly noted, will be deemed to reference the Credit Agreement as amended hereby. Capitalized terms used but not otherwise defined herein shall have the meanings ascribed to them in the Credit Agreement (including those capitalized terms used in the Recitals hereto)</w:t>
      </w:r>
      <w:r>
        <w:rPr>
          <w:rFonts w:ascii="Times New Roman" w:cs="Times New Roman" w:eastAsia="Times New Roman" w:hAnsi="Times New Roman"/>
          <w:sz w:val="20"/>
          <w:szCs w:val="20"/>
          <w:color w:val="000000"/>
        </w:rPr>
        <w:t>.</w:t>
      </w:r>
    </w:p>
    <w:p>
      <w:pPr>
        <w:spacing w:after="0" w:line="175" w:lineRule="exact"/>
        <w:rPr>
          <w:rFonts w:ascii="Times New Roman" w:cs="Times New Roman" w:eastAsia="Times New Roman" w:hAnsi="Times New Roman"/>
          <w:sz w:val="20"/>
          <w:szCs w:val="20"/>
          <w:color w:val="010000"/>
        </w:rPr>
      </w:pPr>
    </w:p>
    <w:p>
      <w:pPr>
        <w:ind w:left="1660" w:hanging="788"/>
        <w:spacing w:after="0"/>
        <w:tabs>
          <w:tab w:leader="none" w:pos="1660" w:val="left"/>
        </w:tabs>
        <w:numPr>
          <w:ilvl w:val="0"/>
          <w:numId w:val="3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Limited Consent</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010000"/>
        </w:rPr>
      </w:pPr>
    </w:p>
    <w:p>
      <w:pPr>
        <w:jc w:val="both"/>
        <w:ind w:firstLine="1735"/>
        <w:spacing w:after="0" w:line="249" w:lineRule="auto"/>
        <w:tabs>
          <w:tab w:leader="none" w:pos="2595" w:val="left"/>
        </w:tabs>
        <w:numPr>
          <w:ilvl w:val="1"/>
          <w:numId w:val="3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Subject to the terms and conditions set forth herein, Agent and each Required Lender hereby consent to (i) for purposes of Section 5.10 of the Credit Agreement, the entry by Aptevo Therapeutics into Amendment No. 1 to Ruxience Sale Agreement, and (ii) for purposes of Section 5.6(b) of the Credit Agreement, the disposition of the additional Royalty Payments (as defined in Ruxience Sale Agreement), as set forth in Amendment No. 1 to Ruxience Sale Agreement.</w:t>
      </w:r>
    </w:p>
    <w:p>
      <w:pPr>
        <w:spacing w:after="0" w:line="179" w:lineRule="exact"/>
        <w:rPr>
          <w:rFonts w:ascii="Times New Roman" w:cs="Times New Roman" w:eastAsia="Times New Roman" w:hAnsi="Times New Roman"/>
          <w:sz w:val="20"/>
          <w:szCs w:val="20"/>
          <w:color w:val="010000"/>
        </w:rPr>
      </w:pPr>
    </w:p>
    <w:p>
      <w:pPr>
        <w:jc w:val="both"/>
        <w:ind w:firstLine="1735"/>
        <w:spacing w:after="0" w:line="244" w:lineRule="auto"/>
        <w:tabs>
          <w:tab w:leader="none" w:pos="2606" w:val="left"/>
        </w:tabs>
        <w:numPr>
          <w:ilvl w:val="1"/>
          <w:numId w:val="3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limited consents set forth in this Sections 2 are effective solely for the purposes set forth herein and shall be limited precisely as written and shall not be deemed to (i) be a consent to any amendment, waiver or modification of any other term or condition of the Credit Agreement or of any other Financing Document; (ii) prejudice any right that Agent or Lenders have or may have in the future under or in connection with the Credit Agreement or any other Financing Document; (iii) constitute a consent to or waiver of any other past, present or future Default or Event of Default or other violation of any provisions of the Credit Agreement or any other Financing Documents, (iv) create any obligation to forbear from taking any enforcement action, or to make any further extensions of credit or (v) establish a custom or course of dealing among any of the Credit Parties, on the one hand, or Agent or any Lender, on the other hand.</w:t>
      </w:r>
    </w:p>
    <w:p>
      <w:pPr>
        <w:spacing w:after="0" w:line="181" w:lineRule="exact"/>
        <w:rPr>
          <w:rFonts w:ascii="Times New Roman" w:cs="Times New Roman" w:eastAsia="Times New Roman" w:hAnsi="Times New Roman"/>
          <w:sz w:val="20"/>
          <w:szCs w:val="20"/>
          <w:color w:val="010000"/>
        </w:rPr>
      </w:pPr>
    </w:p>
    <w:p>
      <w:pPr>
        <w:ind w:firstLine="872"/>
        <w:spacing w:after="0" w:line="273" w:lineRule="auto"/>
        <w:tabs>
          <w:tab w:leader="none" w:pos="1660" w:val="left"/>
        </w:tabs>
        <w:numPr>
          <w:ilvl w:val="0"/>
          <w:numId w:val="3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010000"/>
        </w:rPr>
        <w:t>Amendments to Existing Credit Agreement</w:t>
      </w:r>
      <w:r>
        <w:rPr>
          <w:rFonts w:ascii="Times New Roman" w:cs="Times New Roman" w:eastAsia="Times New Roman" w:hAnsi="Times New Roman"/>
          <w:sz w:val="20"/>
          <w:szCs w:val="20"/>
          <w:color w:val="010000"/>
        </w:rPr>
        <w:t>.</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Subject to the satisfaction of the conditions to effectiveness set forth in</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u w:val="single" w:color="auto"/>
          <w:color w:val="000000"/>
        </w:rPr>
        <w:t>Section 6</w:t>
      </w:r>
      <w:r>
        <w:rPr>
          <w:rFonts w:ascii="Times New Roman" w:cs="Times New Roman" w:eastAsia="Times New Roman" w:hAnsi="Times New Roman"/>
          <w:sz w:val="20"/>
          <w:szCs w:val="20"/>
          <w:color w:val="000000"/>
        </w:rPr>
        <w:t xml:space="preserve"> below, the Existing Credit Agreement is hereby amended as follows:</w:t>
      </w:r>
    </w:p>
    <w:p>
      <w:pPr>
        <w:spacing w:after="0" w:line="155" w:lineRule="exact"/>
        <w:rPr>
          <w:rFonts w:ascii="Times New Roman" w:cs="Times New Roman" w:eastAsia="Times New Roman" w:hAnsi="Times New Roman"/>
          <w:sz w:val="20"/>
          <w:szCs w:val="20"/>
          <w:color w:val="010000"/>
        </w:rPr>
      </w:pPr>
    </w:p>
    <w:p>
      <w:pPr>
        <w:ind w:firstLine="1735"/>
        <w:spacing w:after="0" w:line="269" w:lineRule="auto"/>
        <w:tabs>
          <w:tab w:leader="none" w:pos="2595" w:val="left"/>
        </w:tabs>
        <w:numPr>
          <w:ilvl w:val="1"/>
          <w:numId w:val="3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Section 1.1 of the Existing Credit Agreement is hereby amended by adding the following definitions in the appropriate alphabetical order therein:</w:t>
      </w:r>
    </w:p>
    <w:p>
      <w:pPr>
        <w:spacing w:after="0" w:line="15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Amendment No. 1 to Ruxience Sale Agreement</w:t>
      </w:r>
      <w:r>
        <w:rPr>
          <w:rFonts w:ascii="Times New Roman" w:cs="Times New Roman" w:eastAsia="Times New Roman" w:hAnsi="Times New Roman"/>
          <w:sz w:val="20"/>
          <w:szCs w:val="20"/>
          <w:color w:val="auto"/>
        </w:rPr>
        <w:t>” has the meaning provided in the Second Amendment.</w:t>
      </w:r>
    </w:p>
    <w:p>
      <w:pPr>
        <w:spacing w:after="0" w:line="216" w:lineRule="exact"/>
        <w:rPr>
          <w:sz w:val="20"/>
          <w:szCs w:val="20"/>
          <w:color w:val="auto"/>
        </w:rPr>
      </w:pPr>
    </w:p>
    <w:p>
      <w:pPr>
        <w:ind w:left="174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Second Amendment</w:t>
      </w:r>
      <w:r>
        <w:rPr>
          <w:rFonts w:ascii="Times New Roman" w:cs="Times New Roman" w:eastAsia="Times New Roman" w:hAnsi="Times New Roman"/>
          <w:sz w:val="20"/>
          <w:szCs w:val="20"/>
          <w:color w:val="auto"/>
        </w:rPr>
        <w:t>” means that certain Limited Consent and Amendment No. 2 to Credit and Security Agreement, dated as of the Second Amendment Effective Date, by and among Borrowers, Agent and the Lenders party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69" w:name="page70"/>
    <w:bookmarkEnd w:id="69"/>
    <w:p>
      <w:pPr>
        <w:ind w:left="17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Second Amendment Effective Date</w:t>
      </w:r>
      <w:r>
        <w:rPr>
          <w:rFonts w:ascii="Times New Roman" w:cs="Times New Roman" w:eastAsia="Times New Roman" w:hAnsi="Times New Roman"/>
          <w:sz w:val="20"/>
          <w:szCs w:val="20"/>
          <w:color w:val="auto"/>
        </w:rPr>
        <w:t>” means June 7, 2022.</w:t>
      </w:r>
    </w:p>
    <w:p>
      <w:pPr>
        <w:spacing w:after="0" w:line="247" w:lineRule="exact"/>
        <w:rPr>
          <w:sz w:val="20"/>
          <w:szCs w:val="20"/>
          <w:color w:val="auto"/>
        </w:rPr>
      </w:pPr>
    </w:p>
    <w:p>
      <w:pPr>
        <w:ind w:left="2620" w:hanging="885"/>
        <w:spacing w:after="0"/>
        <w:tabs>
          <w:tab w:leader="none" w:pos="2620" w:val="left"/>
        </w:tabs>
        <w:numPr>
          <w:ilvl w:val="0"/>
          <w:numId w:val="3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following definitions in Section 1.1 of the Existing Credit Agreement are hereby amended and restated</w:t>
      </w:r>
    </w:p>
    <w:p>
      <w:pPr>
        <w:spacing w:after="0" w:line="21" w:lineRule="exact"/>
        <w:rPr>
          <w:rFonts w:ascii="Times New Roman" w:cs="Times New Roman" w:eastAsia="Times New Roman" w:hAnsi="Times New Roman"/>
          <w:sz w:val="20"/>
          <w:szCs w:val="20"/>
          <w:color w:val="010000"/>
        </w:rPr>
      </w:pP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their entirety as follows:</w:t>
      </w:r>
    </w:p>
    <w:p>
      <w:pPr>
        <w:spacing w:after="0" w:line="190" w:lineRule="exact"/>
        <w:rPr>
          <w:sz w:val="20"/>
          <w:szCs w:val="20"/>
          <w:color w:val="auto"/>
        </w:rPr>
      </w:pPr>
    </w:p>
    <w:p>
      <w:pPr>
        <w:jc w:val="both"/>
        <w:ind w:left="1740"/>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Ruxience Royalty Stream Disposition</w:t>
      </w:r>
      <w:r>
        <w:rPr>
          <w:rFonts w:ascii="Times New Roman" w:cs="Times New Roman" w:eastAsia="Times New Roman" w:hAnsi="Times New Roman"/>
          <w:sz w:val="20"/>
          <w:szCs w:val="20"/>
          <w:color w:val="auto"/>
        </w:rPr>
        <w:t>” means the sale by Aptevo Therapeutics of the Sold Ruxience Assets on the First Amendment Effective Date and the Second Amendment Effective Date pursuant to, and on the terms set forth in, that certain Royalty Purchase Agreement, dated as of the First Amendment Effective Date, among Aptevo Therapeutics, as seller, and HealthCare Royalty Partners IV, L.P. as buyer (as amended by Amendment No. 1 to Ruxience Sale Agreement and as further amended, supplemented or otherwise modified from time to in accordance with the terms thereof and of this Agreement, the “</w:t>
      </w:r>
      <w:r>
        <w:rPr>
          <w:rFonts w:ascii="Times New Roman" w:cs="Times New Roman" w:eastAsia="Times New Roman" w:hAnsi="Times New Roman"/>
          <w:sz w:val="20"/>
          <w:szCs w:val="20"/>
          <w:b w:val="1"/>
          <w:bCs w:val="1"/>
          <w:color w:val="auto"/>
        </w:rPr>
        <w:t>Ruxience Sale Agreement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concurrently with the sale on the First Amendment Effective Date, Borrower has made the required prepayment in accordance with Section 2.1(a) (ii)(B)(v).</w:t>
      </w:r>
    </w:p>
    <w:p>
      <w:pPr>
        <w:spacing w:after="0" w:line="182" w:lineRule="exact"/>
        <w:rPr>
          <w:sz w:val="20"/>
          <w:szCs w:val="20"/>
          <w:color w:val="auto"/>
        </w:rPr>
      </w:pPr>
    </w:p>
    <w:p>
      <w:pPr>
        <w:jc w:val="both"/>
        <w:ind w:left="1740" w:right="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Sold Ruxience Assets</w:t>
      </w:r>
      <w:r>
        <w:rPr>
          <w:rFonts w:ascii="Times New Roman" w:cs="Times New Roman" w:eastAsia="Times New Roman" w:hAnsi="Times New Roman"/>
          <w:sz w:val="20"/>
          <w:szCs w:val="20"/>
          <w:color w:val="auto"/>
        </w:rPr>
        <w:t>” means the Purchased Assets, as defined in the Ruxience Sale Agreement, as the same is in effect on the Second Amendment Effective Date.</w:t>
      </w:r>
    </w:p>
    <w:p>
      <w:pPr>
        <w:spacing w:after="0" w:line="152" w:lineRule="exact"/>
        <w:rPr>
          <w:sz w:val="20"/>
          <w:szCs w:val="20"/>
          <w:color w:val="auto"/>
        </w:rPr>
      </w:pPr>
    </w:p>
    <w:p>
      <w:pPr>
        <w:ind w:left="1660" w:hanging="788"/>
        <w:spacing w:after="0"/>
        <w:tabs>
          <w:tab w:leader="none" w:pos="1660" w:val="left"/>
        </w:tabs>
        <w:numPr>
          <w:ilvl w:val="0"/>
          <w:numId w:val="3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Release.</w:t>
      </w:r>
    </w:p>
    <w:p>
      <w:pPr>
        <w:spacing w:after="0" w:line="219" w:lineRule="exact"/>
        <w:rPr>
          <w:rFonts w:ascii="Times New Roman" w:cs="Times New Roman" w:eastAsia="Times New Roman" w:hAnsi="Times New Roman"/>
          <w:sz w:val="20"/>
          <w:szCs w:val="20"/>
          <w:color w:val="010000"/>
        </w:rPr>
      </w:pPr>
    </w:p>
    <w:p>
      <w:pPr>
        <w:jc w:val="both"/>
        <w:ind w:firstLine="1735"/>
        <w:spacing w:after="0" w:line="242" w:lineRule="auto"/>
        <w:tabs>
          <w:tab w:leader="none" w:pos="2595" w:val="left"/>
        </w:tabs>
        <w:numPr>
          <w:ilvl w:val="1"/>
          <w:numId w:val="3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reliance on the certifications set forth in Section 4(b) below, the Agent, without recourse, representation or warranty, automatically upon the execution and delivery of Amendment No. 1 to Ruxience Sale Agreement, and without any action required by any other Person, hereby releases all of its right, title and interest in and to all assets constituting “Purchased Assets” (as defined in the Ruxience Sale Agreement, as amended by Amendment No. 1 to Ruxience Sale Agreement) (the “</w:t>
      </w:r>
      <w:r>
        <w:rPr>
          <w:rFonts w:ascii="Times New Roman" w:cs="Times New Roman" w:eastAsia="Times New Roman" w:hAnsi="Times New Roman"/>
          <w:sz w:val="20"/>
          <w:szCs w:val="20"/>
          <w:b w:val="1"/>
          <w:bCs w:val="1"/>
          <w:color w:val="auto"/>
        </w:rPr>
        <w:t>Assigned Assets</w:t>
      </w:r>
      <w:r>
        <w:rPr>
          <w:rFonts w:ascii="Times New Roman" w:cs="Times New Roman" w:eastAsia="Times New Roman" w:hAnsi="Times New Roman"/>
          <w:sz w:val="20"/>
          <w:szCs w:val="20"/>
          <w:color w:val="auto"/>
        </w:rPr>
        <w:t xml:space="preserve">”) and reassigns and transfers all of its right, title and interest that Agent, on its own behalf and on behalf of the Lenders under the Credit Agreement, may have in the Assigned Assets, to the Borrowers, and </w:t>
      </w:r>
      <w:r>
        <w:rPr>
          <w:rFonts w:ascii="Times New Roman" w:cs="Times New Roman" w:eastAsia="Times New Roman" w:hAnsi="Times New Roman"/>
          <w:sz w:val="20"/>
          <w:szCs w:val="20"/>
          <w:color w:val="010000"/>
        </w:rPr>
        <w:t>confirms that any Lien, security interest or other encumbrance of any kind in favor of Agent,</w:t>
      </w:r>
      <w:r>
        <w:rPr>
          <w:rFonts w:ascii="Times New Roman" w:cs="Times New Roman" w:eastAsia="Times New Roman" w:hAnsi="Times New Roman"/>
          <w:sz w:val="20"/>
          <w:szCs w:val="20"/>
          <w:color w:val="auto"/>
        </w:rPr>
        <w:t xml:space="preserve"> on its own behalf and on behalf of the Lenders under the Credit Agreement, </w:t>
      </w:r>
      <w:r>
        <w:rPr>
          <w:rFonts w:ascii="Times New Roman" w:cs="Times New Roman" w:eastAsia="Times New Roman" w:hAnsi="Times New Roman"/>
          <w:sz w:val="20"/>
          <w:szCs w:val="20"/>
          <w:color w:val="010000"/>
        </w:rPr>
        <w:t>on or in respect of</w:t>
      </w:r>
      <w:r>
        <w:rPr>
          <w:rFonts w:ascii="Times New Roman" w:cs="Times New Roman" w:eastAsia="Times New Roman" w:hAnsi="Times New Roman"/>
          <w:sz w:val="20"/>
          <w:szCs w:val="20"/>
          <w:color w:val="auto"/>
        </w:rPr>
        <w:t xml:space="preserve"> the Assigned Assets is hereby automatically discharged and released pursuant to Section 11.9 of the Credit Agreement. E</w:t>
      </w:r>
      <w:r>
        <w:rPr>
          <w:rFonts w:ascii="Times New Roman" w:cs="Times New Roman" w:eastAsia="Times New Roman" w:hAnsi="Times New Roman"/>
          <w:sz w:val="20"/>
          <w:szCs w:val="20"/>
          <w:color w:val="010000"/>
        </w:rPr>
        <w:t>xcept as otherwise expressly set forth herein, this Agreement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10000"/>
        </w:rPr>
        <w:t>does not release any Lien granted by the Borrowers in favor of Agent, for the benefit of the applicable Lenders, pursuant to the Credit Agreement or any other Financing Documents</w:t>
      </w:r>
      <w:r>
        <w:rPr>
          <w:rFonts w:ascii="Times New Roman" w:cs="Times New Roman" w:eastAsia="Times New Roman" w:hAnsi="Times New Roman"/>
          <w:sz w:val="20"/>
          <w:szCs w:val="20"/>
          <w:color w:val="000000"/>
        </w:rPr>
        <w:t>.</w:t>
      </w:r>
    </w:p>
    <w:p>
      <w:pPr>
        <w:spacing w:after="0" w:line="192" w:lineRule="exact"/>
        <w:rPr>
          <w:rFonts w:ascii="Times New Roman" w:cs="Times New Roman" w:eastAsia="Times New Roman" w:hAnsi="Times New Roman"/>
          <w:sz w:val="20"/>
          <w:szCs w:val="20"/>
          <w:color w:val="010000"/>
        </w:rPr>
      </w:pPr>
    </w:p>
    <w:p>
      <w:pPr>
        <w:jc w:val="both"/>
        <w:ind w:firstLine="1735"/>
        <w:spacing w:after="0" w:line="242" w:lineRule="auto"/>
        <w:tabs>
          <w:tab w:leader="none" w:pos="2606" w:val="left"/>
        </w:tabs>
        <w:numPr>
          <w:ilvl w:val="1"/>
          <w:numId w:val="3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Borrowers hereby acknowledge that the Ruxience Sale Agreement (as amended by Amendment No. 1 to Ruxience Sale Agreement) and any and all products and proceeds thereof (including all Payment Rights (as defined below) thereunder, but excluding any proceeds or products thereof that constitute Assigned Assets) shall constitute Collateral and that all references to “Collateral” contained in the Credit Agreement or the other Financing Documents are hereby deemed for all purposes to include the Ruxience Sale Agreement (as amended by Amendment No. 1 to Ruxience Sale Agreement) and the products and proceeds thereof (including all Payment Rights thereunder) as part of the Collateral. For the avoidance of doubt, in no event shall the Ruxience Sale Agreement (as amended by Amendment No. 1 to Ruxience Sale Agreement) or the products and proceeds (including all Payment Rights thereunder) thereof constitute Excluded Property. The term “</w:t>
      </w:r>
      <w:r>
        <w:rPr>
          <w:rFonts w:ascii="Times New Roman" w:cs="Times New Roman" w:eastAsia="Times New Roman" w:hAnsi="Times New Roman"/>
          <w:sz w:val="20"/>
          <w:szCs w:val="20"/>
          <w:b w:val="1"/>
          <w:bCs w:val="1"/>
          <w:color w:val="auto"/>
        </w:rPr>
        <w:t>Payment Rights</w:t>
      </w:r>
      <w:r>
        <w:rPr>
          <w:rFonts w:ascii="Times New Roman" w:cs="Times New Roman" w:eastAsia="Times New Roman" w:hAnsi="Times New Roman"/>
          <w:sz w:val="20"/>
          <w:szCs w:val="20"/>
          <w:color w:val="auto"/>
        </w:rPr>
        <w:t>” as used herein means, collectively: (i) all proceeds received under the Ruxience Sale Agreement (as amended by Amendment No. 1 to Ruxience Sale Agreement), (ii) all rights to payment of Borrowers under the Ruxience Sale Agreement (as amended by Amendment No. 1 to Ruxience Sale Agreement) and (iii) all rights related, ancillary or incidental to the foregoing clauses (i) and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70" w:name="page71"/>
    <w:bookmarkEnd w:id="70"/>
    <w:p>
      <w:pPr>
        <w:jc w:val="both"/>
        <w:ind w:left="-872" w:firstLine="872"/>
        <w:spacing w:after="0" w:line="258" w:lineRule="auto"/>
        <w:tabs>
          <w:tab w:leader="none" w:pos="788" w:val="left"/>
        </w:tabs>
        <w:numPr>
          <w:ilvl w:val="0"/>
          <w:numId w:val="4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b w:val="1"/>
          <w:bCs w:val="1"/>
          <w:u w:val="single" w:color="auto"/>
          <w:color w:val="auto"/>
        </w:rPr>
        <w:t>Representations and Warranties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Each Borrower hereby confirms that each of the representations and warranties set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forth in the Credit Agreement is true and correct in all material respects (without duplication of any materiality qualifier in the text of such representation or warranty) with respect to such Borrower as of the date hereof except to the extent that any such representation or warranty relates to a specific date in which case such representation or warranty shall be true and correct in all material respects as of such earlier date (without duplication of any materiality qualifier in the text of such representation or warranty). Each Borrower acknowledges and agrees that the Credit Agreement, the other Financing Documents and this Agreement constitute the legal, valid and binding obligation of such Borrower, and are enforceable against such Borrower in accordance with their terms, except as the enforceability thereof may be limited by bankruptcy, insolvency or other similar laws relating to the enforcement of creditors’ rights generally and by general equitable principles.</w:t>
      </w:r>
    </w:p>
    <w:p>
      <w:pPr>
        <w:spacing w:after="0" w:line="173" w:lineRule="exact"/>
        <w:rPr>
          <w:rFonts w:ascii="Times New Roman" w:cs="Times New Roman" w:eastAsia="Times New Roman" w:hAnsi="Times New Roman"/>
          <w:sz w:val="19"/>
          <w:szCs w:val="19"/>
          <w:color w:val="010000"/>
        </w:rPr>
      </w:pPr>
    </w:p>
    <w:p>
      <w:pPr>
        <w:ind w:left="-872" w:right="20" w:firstLine="872"/>
        <w:spacing w:after="0" w:line="273" w:lineRule="auto"/>
        <w:tabs>
          <w:tab w:leader="none" w:pos="788" w:val="left"/>
        </w:tabs>
        <w:numPr>
          <w:ilvl w:val="0"/>
          <w:numId w:val="4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Conditions to Effectiveness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shall become effective as of the date on which each of the following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conditions has been satisfied (or waived in writing by the Agent and the Required Lenders):</w:t>
      </w:r>
    </w:p>
    <w:p>
      <w:pPr>
        <w:spacing w:after="0" w:line="155" w:lineRule="exact"/>
        <w:rPr>
          <w:rFonts w:ascii="Times New Roman" w:cs="Times New Roman" w:eastAsia="Times New Roman" w:hAnsi="Times New Roman"/>
          <w:sz w:val="20"/>
          <w:szCs w:val="20"/>
          <w:color w:val="010000"/>
        </w:rPr>
      </w:pPr>
    </w:p>
    <w:p>
      <w:pPr>
        <w:ind w:left="-872" w:firstLine="1735"/>
        <w:spacing w:after="0" w:line="269" w:lineRule="auto"/>
        <w:tabs>
          <w:tab w:leader="none" w:pos="1723"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Borrowers, Agent and Required Lenders shall have delivered to Agent this Agreement, executed by an authorized officer of each such Person;</w:t>
      </w:r>
    </w:p>
    <w:p>
      <w:pPr>
        <w:spacing w:after="0" w:line="159" w:lineRule="exact"/>
        <w:rPr>
          <w:rFonts w:ascii="Times New Roman" w:cs="Times New Roman" w:eastAsia="Times New Roman" w:hAnsi="Times New Roman"/>
          <w:sz w:val="20"/>
          <w:szCs w:val="20"/>
          <w:color w:val="auto"/>
        </w:rPr>
      </w:pPr>
    </w:p>
    <w:p>
      <w:pPr>
        <w:jc w:val="both"/>
        <w:ind w:left="-872" w:firstLine="1735"/>
        <w:spacing w:after="0" w:line="254" w:lineRule="auto"/>
        <w:tabs>
          <w:tab w:leader="none" w:pos="1734"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shall have a received fully executed and effective copies of Amendment No. 1 to Ruxience Sale Agreement and all material agreements, documents and instruments executed in connection therewith, each in form and substance acceptable to Agent;</w:t>
      </w:r>
    </w:p>
    <w:p>
      <w:pPr>
        <w:spacing w:after="0" w:line="174" w:lineRule="exact"/>
        <w:rPr>
          <w:rFonts w:ascii="Times New Roman" w:cs="Times New Roman" w:eastAsia="Times New Roman" w:hAnsi="Times New Roman"/>
          <w:sz w:val="20"/>
          <w:szCs w:val="20"/>
          <w:color w:val="auto"/>
        </w:rPr>
      </w:pPr>
    </w:p>
    <w:p>
      <w:pPr>
        <w:jc w:val="both"/>
        <w:ind w:left="-872" w:firstLine="1735"/>
        <w:spacing w:after="0" w:line="246" w:lineRule="auto"/>
        <w:tabs>
          <w:tab w:leader="none" w:pos="1723"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representations and warranties of Borrowers contained herein shall be true and correct in all material respects (without duplication of any materiality qualifier in the text of such representation or warranty) as of the date hereof except to the extent that any such representation or warranty relates to a specific date in which case such representation or warranty shall be true and correct in all material respects as of such earlier date (without duplication of any materiality qualifier in the text of such representation or warranty) (and such parties’ delivery of their respective signatures hereto shall be deemed to be its certification thereof); and</w:t>
      </w:r>
    </w:p>
    <w:p>
      <w:pPr>
        <w:spacing w:after="0" w:line="184" w:lineRule="exact"/>
        <w:rPr>
          <w:rFonts w:ascii="Times New Roman" w:cs="Times New Roman" w:eastAsia="Times New Roman" w:hAnsi="Times New Roman"/>
          <w:sz w:val="20"/>
          <w:szCs w:val="20"/>
          <w:color w:val="auto"/>
        </w:rPr>
      </w:pPr>
    </w:p>
    <w:p>
      <w:pPr>
        <w:ind w:left="-872" w:firstLine="1735"/>
        <w:spacing w:after="0" w:line="269" w:lineRule="auto"/>
        <w:tabs>
          <w:tab w:leader="none" w:pos="1734"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and after giving effect to the agreements set forth herein, no Default or Event of Default shall exist under any of the Financing Documents.</w:t>
      </w:r>
    </w:p>
    <w:p>
      <w:pPr>
        <w:spacing w:after="0" w:line="155" w:lineRule="exact"/>
        <w:rPr>
          <w:rFonts w:ascii="Times New Roman" w:cs="Times New Roman" w:eastAsia="Times New Roman" w:hAnsi="Times New Roman"/>
          <w:sz w:val="20"/>
          <w:szCs w:val="20"/>
          <w:color w:val="auto"/>
        </w:rPr>
      </w:pPr>
    </w:p>
    <w:p>
      <w:pPr>
        <w:jc w:val="both"/>
        <w:ind w:left="-872" w:firstLine="872"/>
        <w:spacing w:after="0" w:line="242" w:lineRule="auto"/>
        <w:tabs>
          <w:tab w:leader="none" w:pos="788" w:val="left"/>
        </w:tabs>
        <w:numPr>
          <w:ilvl w:val="0"/>
          <w:numId w:val="4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Release</w:t>
      </w:r>
      <w:r>
        <w:rPr>
          <w:rFonts w:ascii="Times New Roman" w:cs="Times New Roman" w:eastAsia="Times New Roman" w:hAnsi="Times New Roman"/>
          <w:sz w:val="20"/>
          <w:szCs w:val="20"/>
          <w:color w:val="auto"/>
        </w:rPr>
        <w:t>. In consideration of the agreements of Agent and Lenders contained herein and for other good and valuable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consideration, the receipt and sufficiency of which is hereby acknowledged, Borrower, voluntarily, knowingly, unconditionally and irrevocably, with specific and express intent, for and on behalf of itself and all of its respective parents, subsidiaries, affiliates, members, managers, predecessors, successors, and assigns, and each of their respective current and former directors, officers, shareholders, agents, and employees, and each of their respective predecessors, successors, heirs, and assigns (individually and collectively, the “</w:t>
      </w:r>
      <w:r>
        <w:rPr>
          <w:rFonts w:ascii="Times New Roman" w:cs="Times New Roman" w:eastAsia="Times New Roman" w:hAnsi="Times New Roman"/>
          <w:sz w:val="20"/>
          <w:szCs w:val="20"/>
          <w:b w:val="1"/>
          <w:bCs w:val="1"/>
          <w:color w:val="auto"/>
        </w:rPr>
        <w:t>Releasing Parties</w:t>
      </w:r>
      <w:r>
        <w:rPr>
          <w:rFonts w:ascii="Times New Roman" w:cs="Times New Roman" w:eastAsia="Times New Roman" w:hAnsi="Times New Roman"/>
          <w:sz w:val="20"/>
          <w:szCs w:val="20"/>
          <w:color w:val="auto"/>
        </w:rPr>
        <w:t>”) does hereby fully and completely release, acquit and forever discharge each of Agent, Lenders, and each their respective parents, subsidiaries, affiliates, members, managers, shareholders, directors, officers and employees, and each of their respective predecessors, successors, heirs, and assigns (individually and collectively, the “</w:t>
      </w:r>
      <w:r>
        <w:rPr>
          <w:rFonts w:ascii="Times New Roman" w:cs="Times New Roman" w:eastAsia="Times New Roman" w:hAnsi="Times New Roman"/>
          <w:sz w:val="20"/>
          <w:szCs w:val="20"/>
          <w:b w:val="1"/>
          <w:bCs w:val="1"/>
          <w:color w:val="auto"/>
        </w:rPr>
        <w:t>Released Parties</w:t>
      </w:r>
      <w:r>
        <w:rPr>
          <w:rFonts w:ascii="Times New Roman" w:cs="Times New Roman" w:eastAsia="Times New Roman" w:hAnsi="Times New Roman"/>
          <w:sz w:val="20"/>
          <w:szCs w:val="20"/>
          <w:color w:val="auto"/>
        </w:rPr>
        <w:t>”), of and from any and all actions, causes of action, suits, debts, disputes, damages, claims, obligations, liabilities, costs, expenses and demands of any kind whatsoever, at law or in equity, whether matured or unmatured, liquidated or unliquidated, vested or contingent, choate or inchoate, known or unknown that the Releasing Parties (or any of them) has against the Released Parties or any of them (whether directly or indirectly), based in whole or in part on facts, whether or not now known, existing on or before the date hereof (and not, for the avoidance of doubt, arising at any time hereafter). Each Borrower acknowledges that the foregoing release is a material inducement to Agent’s and each Lender’s decision to enter into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335915</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32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20"/>
          <w:szCs w:val="20"/>
          <w:color w:val="auto"/>
        </w:rPr>
        <w:t>Agreement and agree to the modifications contemplated hereunder, and has been relied upon by Agent and Lenders in connection therewith.</w:t>
      </w:r>
    </w:p>
    <w:p>
      <w:pPr>
        <w:spacing w:after="0" w:line="212" w:lineRule="exact"/>
        <w:rPr>
          <w:sz w:val="20"/>
          <w:szCs w:val="20"/>
          <w:color w:val="auto"/>
        </w:rPr>
      </w:pPr>
    </w:p>
    <w:p>
      <w:pPr>
        <w:jc w:val="both"/>
        <w:ind w:firstLine="872"/>
        <w:spacing w:after="0" w:line="245" w:lineRule="auto"/>
        <w:tabs>
          <w:tab w:leader="none" w:pos="1660" w:val="left"/>
        </w:tabs>
        <w:numPr>
          <w:ilvl w:val="0"/>
          <w:numId w:val="4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No Waiver or Novation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execution, delivery and effectiveness of this Agreement shall not, except as expressly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provided in this Agreement, operate as a waiver of any right, power or remedy of Agent, nor constitute a waiver of any provision of the Credit Agreement, the Financing Documents or any other documents, instruments and agreements executed or delivered in connection with any of the foregoing. Nothing herein is intended or shall be construed as a waiver of any existing Defaults or Events of Default under the Credit Agreement or the other Financing Documents or any of Agent’s rights and remedies in respect of such Defaults or Events of Default. This Agreement (together with any other document executed in connection herewith) is not intended to be, nor shall it be construed as, a novation of the Credit Agreement.</w:t>
      </w:r>
    </w:p>
    <w:p>
      <w:pPr>
        <w:spacing w:after="0" w:line="179" w:lineRule="exact"/>
        <w:rPr>
          <w:rFonts w:ascii="Times New Roman" w:cs="Times New Roman" w:eastAsia="Times New Roman" w:hAnsi="Times New Roman"/>
          <w:sz w:val="20"/>
          <w:szCs w:val="20"/>
          <w:color w:val="010000"/>
        </w:rPr>
      </w:pPr>
    </w:p>
    <w:p>
      <w:pPr>
        <w:jc w:val="both"/>
        <w:ind w:firstLine="872"/>
        <w:spacing w:after="0" w:line="244" w:lineRule="auto"/>
        <w:tabs>
          <w:tab w:leader="none" w:pos="1660" w:val="left"/>
        </w:tabs>
        <w:numPr>
          <w:ilvl w:val="0"/>
          <w:numId w:val="4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Affirmation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Except as specifically amended pursuant to the terms hereof, each Borrower hereby acknowledges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agrees that the Credit Agreement and all other Financing Documents (and all covenants, terms, conditions and agreements therein) shall remain in full force and effect, and are hereby ratified and confirmed in all respects by such Borrower. Each Borrower covenants and agrees to comply with all of the terms, covenants and conditions of the Credit Agreement and the Financing Documents, notwithstanding any prior course of conduct, waivers, releases or other actions or inactions on Agent’s or any Lender’s part which might otherwise constitute or be construed as a waiver of or amendment to such terms, covenants and conditions. Each Borrower reaffirms its grant of Liens on the Collateral (other than the Sold Ruxience Assets) to secure the Obligations (as defined in the Security Agreement) pursuant to the Credit Agreement and the other Security Documents.</w:t>
      </w:r>
    </w:p>
    <w:p>
      <w:pPr>
        <w:spacing w:after="0" w:line="181" w:lineRule="exact"/>
        <w:rPr>
          <w:rFonts w:ascii="Times New Roman" w:cs="Times New Roman" w:eastAsia="Times New Roman" w:hAnsi="Times New Roman"/>
          <w:sz w:val="20"/>
          <w:szCs w:val="20"/>
          <w:color w:val="010000"/>
        </w:rPr>
      </w:pPr>
    </w:p>
    <w:p>
      <w:pPr>
        <w:ind w:left="1760" w:hanging="888"/>
        <w:spacing w:after="0"/>
        <w:tabs>
          <w:tab w:leader="none" w:pos="1760" w:val="left"/>
        </w:tabs>
        <w:numPr>
          <w:ilvl w:val="0"/>
          <w:numId w:val="4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Miscellaneous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010000"/>
        </w:rPr>
      </w:pPr>
    </w:p>
    <w:p>
      <w:pPr>
        <w:jc w:val="both"/>
        <w:ind w:firstLine="1735"/>
        <w:spacing w:after="0" w:line="254" w:lineRule="auto"/>
        <w:tabs>
          <w:tab w:leader="none" w:pos="2595" w:val="left"/>
        </w:tabs>
        <w:numPr>
          <w:ilvl w:val="1"/>
          <w:numId w:val="4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Reference to the Effect on the Credit Agreement</w:t>
      </w:r>
      <w:r>
        <w:rPr>
          <w:rFonts w:ascii="Times New Roman" w:cs="Times New Roman" w:eastAsia="Times New Roman" w:hAnsi="Times New Roman"/>
          <w:sz w:val="20"/>
          <w:szCs w:val="20"/>
          <w:color w:val="auto"/>
        </w:rPr>
        <w:t>. Upon the effectiveness of this Agreement, each reference in the Credit Agreement to “this Agreement,” “hereunder,” “hereof,” “herein,” or words of similar import shall mean and be a reference to the Credit Agreement, as amended by this Agreement.</w:t>
      </w:r>
    </w:p>
    <w:p>
      <w:pPr>
        <w:spacing w:after="0" w:line="170" w:lineRule="exact"/>
        <w:rPr>
          <w:rFonts w:ascii="Times New Roman" w:cs="Times New Roman" w:eastAsia="Times New Roman" w:hAnsi="Times New Roman"/>
          <w:sz w:val="20"/>
          <w:szCs w:val="20"/>
          <w:color w:val="010000"/>
        </w:rPr>
      </w:pPr>
    </w:p>
    <w:p>
      <w:pPr>
        <w:ind w:firstLine="1735"/>
        <w:spacing w:after="0" w:line="273" w:lineRule="auto"/>
        <w:tabs>
          <w:tab w:leader="none" w:pos="2606" w:val="left"/>
        </w:tabs>
        <w:numPr>
          <w:ilvl w:val="1"/>
          <w:numId w:val="4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Incorporation of Credit Agreement Provisions</w:t>
      </w:r>
      <w:r>
        <w:rPr>
          <w:rFonts w:ascii="Times New Roman" w:cs="Times New Roman" w:eastAsia="Times New Roman" w:hAnsi="Times New Roman"/>
          <w:sz w:val="20"/>
          <w:szCs w:val="20"/>
          <w:color w:val="auto"/>
        </w:rPr>
        <w:t xml:space="preserve">. The provisions contained in </w:t>
      </w:r>
      <w:r>
        <w:rPr>
          <w:rFonts w:ascii="Times New Roman" w:cs="Times New Roman" w:eastAsia="Times New Roman" w:hAnsi="Times New Roman"/>
          <w:sz w:val="20"/>
          <w:szCs w:val="20"/>
          <w:u w:val="single" w:color="auto"/>
          <w:color w:val="auto"/>
        </w:rPr>
        <w:t>Section 11.6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Indemnification</w:t>
      </w:r>
      <w:r>
        <w:rPr>
          <w:rFonts w:ascii="Times New Roman" w:cs="Times New Roman" w:eastAsia="Times New Roman" w:hAnsi="Times New Roman"/>
          <w:sz w:val="20"/>
          <w:szCs w:val="20"/>
          <w:color w:val="auto"/>
        </w:rPr>
        <w:t>) of the Credit Agreement are incorporated herein by reference to the same extent as if reproduced herein in their entirety.</w:t>
      </w:r>
    </w:p>
    <w:p>
      <w:pPr>
        <w:spacing w:after="0" w:line="155" w:lineRule="exact"/>
        <w:rPr>
          <w:rFonts w:ascii="Times New Roman" w:cs="Times New Roman" w:eastAsia="Times New Roman" w:hAnsi="Times New Roman"/>
          <w:sz w:val="20"/>
          <w:szCs w:val="20"/>
          <w:color w:val="010000"/>
        </w:rPr>
      </w:pPr>
    </w:p>
    <w:p>
      <w:pPr>
        <w:jc w:val="both"/>
        <w:ind w:firstLine="1735"/>
        <w:spacing w:after="0" w:line="249" w:lineRule="auto"/>
        <w:tabs>
          <w:tab w:leader="none" w:pos="2595" w:val="left"/>
        </w:tabs>
        <w:numPr>
          <w:ilvl w:val="1"/>
          <w:numId w:val="4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AND ALL DISPUTES AND OTHER MATTERS RELATING HERETO OR ARISING THEREFROM (WHETHER SOUNDING IN CONTRACT LAW, TORT LAW OR OTHERWISE), SHALL BE GOVERNED BY, AND SHALL BE CONSTRUED AND ENFORCED IN ACCORDANCE WITH, THE LAWS OF THE STATE OF NEW YORK, WITHOUT REGARD TO CONFLICTS OF LAWS PRINCIPLES.</w:t>
      </w:r>
    </w:p>
    <w:p>
      <w:pPr>
        <w:spacing w:after="0" w:line="179" w:lineRule="exact"/>
        <w:rPr>
          <w:rFonts w:ascii="Times New Roman" w:cs="Times New Roman" w:eastAsia="Times New Roman" w:hAnsi="Times New Roman"/>
          <w:sz w:val="20"/>
          <w:szCs w:val="20"/>
          <w:color w:val="010000"/>
        </w:rPr>
      </w:pPr>
    </w:p>
    <w:p>
      <w:pPr>
        <w:jc w:val="both"/>
        <w:ind w:firstLine="1735"/>
        <w:spacing w:after="0" w:line="243" w:lineRule="auto"/>
        <w:tabs>
          <w:tab w:leader="none" w:pos="2606" w:val="left"/>
        </w:tabs>
        <w:numPr>
          <w:ilvl w:val="1"/>
          <w:numId w:val="4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Submission to Jurisdiction</w:t>
      </w:r>
      <w:r>
        <w:rPr>
          <w:rFonts w:ascii="Times New Roman" w:cs="Times New Roman" w:eastAsia="Times New Roman" w:hAnsi="Times New Roman"/>
          <w:sz w:val="20"/>
          <w:szCs w:val="20"/>
          <w:color w:val="auto"/>
        </w:rPr>
        <w:t>. EACH BORROWER HEREBY CONSENTS TO THE JURISDICTION OF ANY STATE OR FEDERAL COURT LOCATED IN THE STATE OF NEW YORK IN THE CITY OF NEW YORK, BOROUGH OF MANHATTAN, AND IRREVOCABLY AGREES THAT, SUBJECT TO AGENT’S ELECTION, ALL ACTIONS OR PROCEEDINGS ARISING OUT OF OR RELATING TO THIS AGREEMENT SHALL BE LITIGATED IN SUCH COURTS. EACH BORROWER EXPRESSLY SUBMITS AND CONSENTS TO THE JURISDICTION OF THE AFORESAID COURTS AND WAIVES ANY DEFENSE OF FORUM NON CONVENIENS. EACH BORROWER HEREBY WAIVES PERSONAL SERVICE OF ANY AND ALL PROCESS AND AGREES THAT ALL SUCH SERVICE OF PROCESS MAY BE MADE UPON SUCH BORROWER BY CERTIFIED OR REGISTERED MAIL, RETURN RECEIPT REQUESTED, ADDRESSED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2" w:name="page73"/>
    <w:bookmarkEnd w:id="72"/>
    <w:p>
      <w:pPr>
        <w:spacing w:after="0" w:line="269" w:lineRule="auto"/>
        <w:rPr>
          <w:sz w:val="20"/>
          <w:szCs w:val="20"/>
          <w:color w:val="auto"/>
        </w:rPr>
      </w:pPr>
      <w:r>
        <w:rPr>
          <w:rFonts w:ascii="Times New Roman" w:cs="Times New Roman" w:eastAsia="Times New Roman" w:hAnsi="Times New Roman"/>
          <w:sz w:val="20"/>
          <w:szCs w:val="20"/>
          <w:color w:val="auto"/>
        </w:rPr>
        <w:t>SUCH BORROWER AT THE ADDRESS SET FORTH IN THIS AGREEMENT AND SERVICE SO MADE SHALL BE COMPLETE TEN (10) DAYS AFTER THE SAME HAS BEEN POSTED.</w:t>
      </w:r>
    </w:p>
    <w:p>
      <w:pPr>
        <w:spacing w:after="0" w:line="159" w:lineRule="exact"/>
        <w:rPr>
          <w:sz w:val="20"/>
          <w:szCs w:val="20"/>
          <w:color w:val="auto"/>
        </w:rPr>
      </w:pPr>
    </w:p>
    <w:p>
      <w:pPr>
        <w:jc w:val="both"/>
        <w:ind w:firstLine="1735"/>
        <w:spacing w:after="0" w:line="243" w:lineRule="auto"/>
        <w:tabs>
          <w:tab w:leader="none" w:pos="2595" w:val="left"/>
        </w:tabs>
        <w:numPr>
          <w:ilvl w:val="0"/>
          <w:numId w:val="4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Jury Trial Waiver</w:t>
      </w:r>
      <w:r>
        <w:rPr>
          <w:rFonts w:ascii="Times New Roman" w:cs="Times New Roman" w:eastAsia="Times New Roman" w:hAnsi="Times New Roman"/>
          <w:sz w:val="20"/>
          <w:szCs w:val="20"/>
          <w:color w:val="auto"/>
        </w:rPr>
        <w:t>. EACH BORROWER, AGENT AND THE LENDERS HEREBY IRREVOCABLY WAIVES ANY AND ALL RIGHT TO TRIAL BY JURY IN ANY LEGAL ACTION OR PROCEEDING ARISING OUT OF OR RELATING TO THIS AGREEMENT OR THE TRANSACTIONS CONTEMPLATED HEREBY AND AGREES THAT ANY SUCH ACTION OR PROCEEDING SHALL BE TRIED BEFORE A COURT AND NOT BEFORE A JURY. EACH BORROWER, AGENT AND EACH LENDER ACKNOWLEDGES THAT THIS WAIVER IS A MATERIAL INDUCEMENT TO ENTER INTO A BUSINESS RELATIONSHIP, THAT EACH HAS RELIED ON THE WAIVER IN ENTERING INTO THIS AGREEMENT, AND THAT EACH WILL CONTINUE TO RELY ON THIS WAIVER IN THEIR RELATED FUTURE DEALINGS. EACH BORROWER, AGENT AND EACH LENDER WARRANTS AND REPRESENTS THAT IT HAS HAD THE OPPORTUNITY OF REVIEWING THIS JURY WAIVER WITH LEGAL COUNSEL, AND THAT IT KNOWINGLY AND VOLUNTARILY WAIVES ITS JURY TRIAL RIGHTS.</w:t>
      </w:r>
    </w:p>
    <w:p>
      <w:pPr>
        <w:spacing w:after="0" w:line="185" w:lineRule="exact"/>
        <w:rPr>
          <w:rFonts w:ascii="Times New Roman" w:cs="Times New Roman" w:eastAsia="Times New Roman" w:hAnsi="Times New Roman"/>
          <w:sz w:val="20"/>
          <w:szCs w:val="20"/>
          <w:color w:val="010000"/>
        </w:rPr>
      </w:pPr>
    </w:p>
    <w:p>
      <w:pPr>
        <w:ind w:firstLine="1735"/>
        <w:spacing w:after="0" w:line="269" w:lineRule="auto"/>
        <w:tabs>
          <w:tab w:leader="none" w:pos="2573" w:val="left"/>
        </w:tabs>
        <w:numPr>
          <w:ilvl w:val="0"/>
          <w:numId w:val="4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Section headings in this Agreement are included for convenience of reference only and shall not constitute a part of this Agreement for any other purpose.</w:t>
      </w:r>
    </w:p>
    <w:p>
      <w:pPr>
        <w:spacing w:after="0" w:line="159" w:lineRule="exact"/>
        <w:rPr>
          <w:rFonts w:ascii="Times New Roman" w:cs="Times New Roman" w:eastAsia="Times New Roman" w:hAnsi="Times New Roman"/>
          <w:sz w:val="20"/>
          <w:szCs w:val="20"/>
          <w:color w:val="010000"/>
        </w:rPr>
      </w:pPr>
    </w:p>
    <w:p>
      <w:pPr>
        <w:jc w:val="both"/>
        <w:ind w:firstLine="1735"/>
        <w:spacing w:after="0" w:line="244" w:lineRule="auto"/>
        <w:tabs>
          <w:tab w:leader="none" w:pos="2606" w:val="left"/>
        </w:tabs>
        <w:numPr>
          <w:ilvl w:val="0"/>
          <w:numId w:val="4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counterparts (and by different parties hereto in different counterparts), each of which shall constitute an original, but all of which when taken together shall constitute a single contract. The words “execution,” “signed,” “signature,” and words of like import in this Agreement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5" w:lineRule="exact"/>
        <w:rPr>
          <w:rFonts w:ascii="Times New Roman" w:cs="Times New Roman" w:eastAsia="Times New Roman" w:hAnsi="Times New Roman"/>
          <w:sz w:val="20"/>
          <w:szCs w:val="20"/>
          <w:color w:val="010000"/>
        </w:rPr>
      </w:pPr>
    </w:p>
    <w:p>
      <w:pPr>
        <w:jc w:val="both"/>
        <w:ind w:firstLine="1735"/>
        <w:spacing w:after="0" w:line="254" w:lineRule="auto"/>
        <w:tabs>
          <w:tab w:leader="none" w:pos="2606" w:val="left"/>
        </w:tabs>
        <w:numPr>
          <w:ilvl w:val="0"/>
          <w:numId w:val="4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the Amended and Restated Fee Letter, and the Lien Release Agreement constitute the entire agreement and understanding among the parties hereto and supersedes any and all prior agreements and understandings, oral or written, relating to the subject matter hereof.</w:t>
      </w:r>
    </w:p>
    <w:p>
      <w:pPr>
        <w:spacing w:after="0" w:line="174" w:lineRule="exact"/>
        <w:rPr>
          <w:rFonts w:ascii="Times New Roman" w:cs="Times New Roman" w:eastAsia="Times New Roman" w:hAnsi="Times New Roman"/>
          <w:sz w:val="20"/>
          <w:szCs w:val="20"/>
          <w:color w:val="010000"/>
        </w:rPr>
      </w:pPr>
    </w:p>
    <w:p>
      <w:pPr>
        <w:jc w:val="both"/>
        <w:ind w:firstLine="1735"/>
        <w:spacing w:after="0" w:line="254" w:lineRule="auto"/>
        <w:tabs>
          <w:tab w:leader="none" w:pos="2562" w:val="left"/>
        </w:tabs>
        <w:numPr>
          <w:ilvl w:val="0"/>
          <w:numId w:val="4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case any provision of or obligation under this Agreement shall be invalid, illegal or unenforceable in any applicable jurisdiction, the validity, legality and enforceability of the remaining provisions or obligations, or of such provision or obligation in any other jurisdiction, shall not in any way be affected or impaired thereby.</w:t>
      </w:r>
    </w:p>
    <w:p>
      <w:pPr>
        <w:spacing w:after="0" w:line="174" w:lineRule="exact"/>
        <w:rPr>
          <w:rFonts w:ascii="Times New Roman" w:cs="Times New Roman" w:eastAsia="Times New Roman" w:hAnsi="Times New Roman"/>
          <w:sz w:val="20"/>
          <w:szCs w:val="20"/>
          <w:color w:val="010000"/>
        </w:rPr>
      </w:pPr>
    </w:p>
    <w:p>
      <w:pPr>
        <w:ind w:right="20" w:firstLine="1735"/>
        <w:spacing w:after="0" w:line="269" w:lineRule="auto"/>
        <w:tabs>
          <w:tab w:leader="none" w:pos="2562" w:val="left"/>
        </w:tabs>
        <w:numPr>
          <w:ilvl w:val="0"/>
          <w:numId w:val="4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Successors/Assigns</w:t>
      </w:r>
      <w:r>
        <w:rPr>
          <w:rFonts w:ascii="Times New Roman" w:cs="Times New Roman" w:eastAsia="Times New Roman" w:hAnsi="Times New Roman"/>
          <w:sz w:val="20"/>
          <w:szCs w:val="20"/>
          <w:color w:val="auto"/>
        </w:rPr>
        <w:t>. This Agreement shall bind, and the rights hereunder shall inure to, the respective successors and assigns of the parties hereto, subject to the provisions of the Credit Agreement and the other Financing Documents.</w:t>
      </w:r>
    </w:p>
    <w:p>
      <w:pPr>
        <w:spacing w:after="0" w:line="15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[SIGNATURES APPEAR ON FOLLOWING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644525</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3" w:name="page74"/>
    <w:bookmarkEnd w:id="73"/>
    <w:p>
      <w:pPr>
        <w:ind w:right="40" w:firstLine="864"/>
        <w:spacing w:after="0" w:line="269" w:lineRule="auto"/>
        <w:rPr>
          <w:sz w:val="20"/>
          <w:szCs w:val="20"/>
          <w:color w:val="auto"/>
        </w:rPr>
      </w:pPr>
      <w:r>
        <w:rPr>
          <w:rFonts w:ascii="Times New Roman" w:cs="Times New Roman" w:eastAsia="Times New Roman" w:hAnsi="Times New Roman"/>
          <w:sz w:val="20"/>
          <w:szCs w:val="20"/>
          <w:color w:val="auto"/>
        </w:rPr>
        <w:t>IN WITNESS WHEREOF, intending to be legally bound, the undersigned have executed this Agreement as of the day and year first hereinabove set forth.</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0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AGENT:</w:t>
            </w:r>
          </w:p>
        </w:tc>
        <w:tc>
          <w:tcPr>
            <w:tcW w:w="8160" w:type="dxa"/>
            <w:vAlign w:val="bottom"/>
            <w:gridSpan w:val="2"/>
          </w:tcPr>
          <w:p>
            <w:pPr>
              <w:ind w:left="2320"/>
              <w:spacing w:after="0"/>
              <w:rPr>
                <w:sz w:val="20"/>
                <w:szCs w:val="20"/>
                <w:color w:val="auto"/>
              </w:rPr>
            </w:pPr>
            <w:r>
              <w:rPr>
                <w:rFonts w:ascii="Times New Roman" w:cs="Times New Roman" w:eastAsia="Times New Roman" w:hAnsi="Times New Roman"/>
                <w:sz w:val="20"/>
                <w:szCs w:val="20"/>
                <w:b w:val="1"/>
                <w:bCs w:val="1"/>
                <w:color w:val="auto"/>
              </w:rPr>
              <w:t>MIDCAP FINANCIAL TRUST,</w:t>
            </w:r>
          </w:p>
        </w:tc>
        <w:tc>
          <w:tcPr>
            <w:tcW w:w="20" w:type="dxa"/>
            <w:vAlign w:val="bottom"/>
          </w:tcPr>
          <w:p>
            <w:pPr>
              <w:spacing w:after="0"/>
              <w:rPr>
                <w:sz w:val="20"/>
                <w:szCs w:val="20"/>
                <w:color w:val="auto"/>
              </w:rPr>
            </w:pPr>
          </w:p>
        </w:tc>
      </w:tr>
      <w:tr>
        <w:trPr>
          <w:trHeight w:val="258"/>
        </w:trPr>
        <w:tc>
          <w:tcPr>
            <w:tcW w:w="3080" w:type="dxa"/>
            <w:vAlign w:val="bottom"/>
          </w:tcPr>
          <w:p>
            <w:pPr>
              <w:spacing w:after="0"/>
              <w:rPr>
                <w:sz w:val="22"/>
                <w:szCs w:val="22"/>
                <w:color w:val="auto"/>
              </w:rPr>
            </w:pPr>
          </w:p>
        </w:tc>
        <w:tc>
          <w:tcPr>
            <w:tcW w:w="8160" w:type="dxa"/>
            <w:vAlign w:val="bottom"/>
            <w:gridSpan w:val="2"/>
          </w:tcPr>
          <w:p>
            <w:pPr>
              <w:ind w:left="2320"/>
              <w:spacing w:after="0"/>
              <w:rPr>
                <w:sz w:val="20"/>
                <w:szCs w:val="20"/>
                <w:color w:val="auto"/>
              </w:rPr>
            </w:pPr>
            <w:r>
              <w:rPr>
                <w:rFonts w:ascii="Times New Roman" w:cs="Times New Roman" w:eastAsia="Times New Roman" w:hAnsi="Times New Roman"/>
                <w:sz w:val="20"/>
                <w:szCs w:val="20"/>
                <w:color w:val="auto"/>
              </w:rPr>
              <w:t>as Agent</w:t>
            </w:r>
          </w:p>
        </w:tc>
        <w:tc>
          <w:tcPr>
            <w:tcW w:w="20" w:type="dxa"/>
            <w:vAlign w:val="bottom"/>
          </w:tcPr>
          <w:p>
            <w:pPr>
              <w:spacing w:after="0"/>
              <w:rPr>
                <w:sz w:val="22"/>
                <w:szCs w:val="22"/>
                <w:color w:val="auto"/>
              </w:rPr>
            </w:pPr>
          </w:p>
        </w:tc>
      </w:tr>
      <w:tr>
        <w:trPr>
          <w:trHeight w:val="430"/>
        </w:trPr>
        <w:tc>
          <w:tcPr>
            <w:tcW w:w="3080" w:type="dxa"/>
            <w:vAlign w:val="bottom"/>
          </w:tcPr>
          <w:p>
            <w:pPr>
              <w:spacing w:after="0"/>
              <w:rPr>
                <w:sz w:val="24"/>
                <w:szCs w:val="24"/>
                <w:color w:val="auto"/>
              </w:rPr>
            </w:pPr>
          </w:p>
        </w:tc>
        <w:tc>
          <w:tcPr>
            <w:tcW w:w="2860" w:type="dxa"/>
            <w:vAlign w:val="bottom"/>
          </w:tcPr>
          <w:p>
            <w:pPr>
              <w:ind w:left="2320"/>
              <w:spacing w:after="0"/>
              <w:rPr>
                <w:sz w:val="20"/>
                <w:szCs w:val="20"/>
                <w:color w:val="auto"/>
              </w:rPr>
            </w:pPr>
            <w:r>
              <w:rPr>
                <w:rFonts w:ascii="Times New Roman" w:cs="Times New Roman" w:eastAsia="Times New Roman" w:hAnsi="Times New Roman"/>
                <w:sz w:val="20"/>
                <w:szCs w:val="20"/>
                <w:color w:val="auto"/>
              </w:rPr>
              <w:t>By:</w:t>
            </w:r>
          </w:p>
        </w:tc>
        <w:tc>
          <w:tcPr>
            <w:tcW w:w="5300" w:type="dxa"/>
            <w:vAlign w:val="bottom"/>
          </w:tcPr>
          <w:p>
            <w:pPr>
              <w:spacing w:after="0"/>
              <w:rPr>
                <w:sz w:val="20"/>
                <w:szCs w:val="20"/>
                <w:color w:val="auto"/>
              </w:rPr>
            </w:pPr>
            <w:r>
              <w:rPr>
                <w:rFonts w:ascii="Times New Roman" w:cs="Times New Roman" w:eastAsia="Times New Roman" w:hAnsi="Times New Roman"/>
                <w:sz w:val="20"/>
                <w:szCs w:val="20"/>
                <w:color w:val="auto"/>
              </w:rPr>
              <w:t>Apollo Capital Management, L.P.,</w:t>
            </w:r>
          </w:p>
        </w:tc>
        <w:tc>
          <w:tcPr>
            <w:tcW w:w="20" w:type="dxa"/>
            <w:vAlign w:val="bottom"/>
          </w:tcPr>
          <w:p>
            <w:pPr>
              <w:spacing w:after="0"/>
              <w:rPr>
                <w:sz w:val="24"/>
                <w:szCs w:val="24"/>
                <w:color w:val="auto"/>
              </w:rPr>
            </w:pPr>
          </w:p>
        </w:tc>
      </w:tr>
      <w:tr>
        <w:trPr>
          <w:trHeight w:val="258"/>
        </w:trPr>
        <w:tc>
          <w:tcPr>
            <w:tcW w:w="3080" w:type="dxa"/>
            <w:vAlign w:val="bottom"/>
          </w:tcPr>
          <w:p>
            <w:pPr>
              <w:spacing w:after="0"/>
              <w:rPr>
                <w:sz w:val="22"/>
                <w:szCs w:val="22"/>
                <w:color w:val="auto"/>
              </w:rPr>
            </w:pPr>
          </w:p>
        </w:tc>
        <w:tc>
          <w:tcPr>
            <w:tcW w:w="8160" w:type="dxa"/>
            <w:vAlign w:val="bottom"/>
            <w:gridSpan w:val="2"/>
          </w:tcPr>
          <w:p>
            <w:pPr>
              <w:ind w:left="2320"/>
              <w:spacing w:after="0"/>
              <w:rPr>
                <w:sz w:val="20"/>
                <w:szCs w:val="20"/>
                <w:color w:val="auto"/>
              </w:rPr>
            </w:pPr>
            <w:r>
              <w:rPr>
                <w:rFonts w:ascii="Times New Roman" w:cs="Times New Roman" w:eastAsia="Times New Roman" w:hAnsi="Times New Roman"/>
                <w:sz w:val="20"/>
                <w:szCs w:val="20"/>
                <w:color w:val="auto"/>
              </w:rPr>
              <w:t>its investment manager</w:t>
            </w:r>
          </w:p>
        </w:tc>
        <w:tc>
          <w:tcPr>
            <w:tcW w:w="20" w:type="dxa"/>
            <w:vAlign w:val="bottom"/>
          </w:tcPr>
          <w:p>
            <w:pPr>
              <w:spacing w:after="0"/>
              <w:rPr>
                <w:sz w:val="22"/>
                <w:szCs w:val="22"/>
                <w:color w:val="auto"/>
              </w:rPr>
            </w:pPr>
          </w:p>
        </w:tc>
      </w:tr>
      <w:tr>
        <w:trPr>
          <w:trHeight w:val="430"/>
        </w:trPr>
        <w:tc>
          <w:tcPr>
            <w:tcW w:w="3080" w:type="dxa"/>
            <w:vAlign w:val="bottom"/>
          </w:tcPr>
          <w:p>
            <w:pPr>
              <w:spacing w:after="0"/>
              <w:rPr>
                <w:sz w:val="24"/>
                <w:szCs w:val="24"/>
                <w:color w:val="auto"/>
              </w:rPr>
            </w:pPr>
          </w:p>
        </w:tc>
        <w:tc>
          <w:tcPr>
            <w:tcW w:w="2860" w:type="dxa"/>
            <w:vAlign w:val="bottom"/>
          </w:tcPr>
          <w:p>
            <w:pPr>
              <w:ind w:left="2320"/>
              <w:spacing w:after="0"/>
              <w:rPr>
                <w:sz w:val="20"/>
                <w:szCs w:val="20"/>
                <w:color w:val="auto"/>
              </w:rPr>
            </w:pPr>
            <w:r>
              <w:rPr>
                <w:rFonts w:ascii="Times New Roman" w:cs="Times New Roman" w:eastAsia="Times New Roman" w:hAnsi="Times New Roman"/>
                <w:sz w:val="20"/>
                <w:szCs w:val="20"/>
                <w:color w:val="auto"/>
              </w:rPr>
              <w:t>By:</w:t>
            </w:r>
          </w:p>
        </w:tc>
        <w:tc>
          <w:tcPr>
            <w:tcW w:w="5300" w:type="dxa"/>
            <w:vAlign w:val="bottom"/>
          </w:tcPr>
          <w:p>
            <w:pPr>
              <w:spacing w:after="0"/>
              <w:rPr>
                <w:sz w:val="20"/>
                <w:szCs w:val="20"/>
                <w:color w:val="auto"/>
              </w:rPr>
            </w:pPr>
            <w:r>
              <w:rPr>
                <w:rFonts w:ascii="Times New Roman" w:cs="Times New Roman" w:eastAsia="Times New Roman" w:hAnsi="Times New Roman"/>
                <w:sz w:val="20"/>
                <w:szCs w:val="20"/>
                <w:color w:val="auto"/>
              </w:rPr>
              <w:t>Apollo Capital Management GP, LLC,</w:t>
            </w:r>
          </w:p>
        </w:tc>
        <w:tc>
          <w:tcPr>
            <w:tcW w:w="20" w:type="dxa"/>
            <w:vAlign w:val="bottom"/>
          </w:tcPr>
          <w:p>
            <w:pPr>
              <w:spacing w:after="0"/>
              <w:rPr>
                <w:sz w:val="24"/>
                <w:szCs w:val="24"/>
                <w:color w:val="auto"/>
              </w:rPr>
            </w:pPr>
          </w:p>
        </w:tc>
      </w:tr>
      <w:tr>
        <w:trPr>
          <w:trHeight w:val="258"/>
        </w:trPr>
        <w:tc>
          <w:tcPr>
            <w:tcW w:w="3080" w:type="dxa"/>
            <w:vAlign w:val="bottom"/>
          </w:tcPr>
          <w:p>
            <w:pPr>
              <w:spacing w:after="0"/>
              <w:rPr>
                <w:sz w:val="22"/>
                <w:szCs w:val="22"/>
                <w:color w:val="auto"/>
              </w:rPr>
            </w:pPr>
          </w:p>
        </w:tc>
        <w:tc>
          <w:tcPr>
            <w:tcW w:w="8160" w:type="dxa"/>
            <w:vAlign w:val="bottom"/>
            <w:gridSpan w:val="2"/>
          </w:tcPr>
          <w:p>
            <w:pPr>
              <w:ind w:left="2320"/>
              <w:spacing w:after="0"/>
              <w:rPr>
                <w:sz w:val="20"/>
                <w:szCs w:val="20"/>
                <w:color w:val="auto"/>
              </w:rPr>
            </w:pPr>
            <w:r>
              <w:rPr>
                <w:rFonts w:ascii="Times New Roman" w:cs="Times New Roman" w:eastAsia="Times New Roman" w:hAnsi="Times New Roman"/>
                <w:sz w:val="20"/>
                <w:szCs w:val="20"/>
                <w:color w:val="auto"/>
              </w:rPr>
              <w:t>its general partner</w:t>
            </w:r>
          </w:p>
        </w:tc>
        <w:tc>
          <w:tcPr>
            <w:tcW w:w="20" w:type="dxa"/>
            <w:vAlign w:val="bottom"/>
          </w:tcPr>
          <w:p>
            <w:pPr>
              <w:spacing w:after="0"/>
              <w:rPr>
                <w:sz w:val="22"/>
                <w:szCs w:val="22"/>
                <w:color w:val="auto"/>
              </w:rPr>
            </w:pPr>
          </w:p>
        </w:tc>
      </w:tr>
      <w:tr>
        <w:trPr>
          <w:trHeight w:val="453"/>
        </w:trPr>
        <w:tc>
          <w:tcPr>
            <w:tcW w:w="3080" w:type="dxa"/>
            <w:vAlign w:val="bottom"/>
          </w:tcPr>
          <w:p>
            <w:pPr>
              <w:spacing w:after="0"/>
              <w:rPr>
                <w:sz w:val="24"/>
                <w:szCs w:val="24"/>
                <w:color w:val="auto"/>
              </w:rPr>
            </w:pPr>
          </w:p>
        </w:tc>
        <w:tc>
          <w:tcPr>
            <w:tcW w:w="2860" w:type="dxa"/>
            <w:vAlign w:val="bottom"/>
          </w:tcPr>
          <w:p>
            <w:pPr>
              <w:ind w:left="2320"/>
              <w:spacing w:after="0"/>
              <w:rPr>
                <w:sz w:val="20"/>
                <w:szCs w:val="20"/>
                <w:color w:val="auto"/>
              </w:rPr>
            </w:pPr>
            <w:r>
              <w:rPr>
                <w:rFonts w:ascii="Times New Roman" w:cs="Times New Roman" w:eastAsia="Times New Roman" w:hAnsi="Times New Roman"/>
                <w:sz w:val="20"/>
                <w:szCs w:val="20"/>
                <w:color w:val="auto"/>
              </w:rPr>
              <w:t>By:</w:t>
            </w:r>
          </w:p>
        </w:tc>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Maurice Amsellem</w:t>
            </w:r>
          </w:p>
        </w:tc>
        <w:tc>
          <w:tcPr>
            <w:tcW w:w="20" w:type="dxa"/>
            <w:vAlign w:val="bottom"/>
          </w:tcPr>
          <w:p>
            <w:pPr>
              <w:spacing w:after="0"/>
              <w:rPr>
                <w:sz w:val="24"/>
                <w:szCs w:val="24"/>
                <w:color w:val="auto"/>
              </w:rPr>
            </w:pPr>
          </w:p>
        </w:tc>
      </w:tr>
      <w:tr>
        <w:trPr>
          <w:trHeight w:val="200"/>
        </w:trPr>
        <w:tc>
          <w:tcPr>
            <w:tcW w:w="3080" w:type="dxa"/>
            <w:vAlign w:val="bottom"/>
          </w:tcPr>
          <w:p>
            <w:pPr>
              <w:spacing w:after="0"/>
              <w:rPr>
                <w:sz w:val="17"/>
                <w:szCs w:val="17"/>
                <w:color w:val="auto"/>
              </w:rPr>
            </w:pPr>
          </w:p>
        </w:tc>
        <w:tc>
          <w:tcPr>
            <w:tcW w:w="8160" w:type="dxa"/>
            <w:vAlign w:val="bottom"/>
            <w:gridSpan w:val="2"/>
          </w:tcPr>
          <w:p>
            <w:pPr>
              <w:ind w:left="2320"/>
              <w:spacing w:after="0" w:line="200" w:lineRule="exact"/>
              <w:rPr>
                <w:sz w:val="20"/>
                <w:szCs w:val="20"/>
                <w:color w:val="auto"/>
              </w:rPr>
            </w:pPr>
            <w:r>
              <w:rPr>
                <w:rFonts w:ascii="Times New Roman" w:cs="Times New Roman" w:eastAsia="Times New Roman" w:hAnsi="Times New Roman"/>
                <w:sz w:val="20"/>
                <w:szCs w:val="20"/>
                <w:color w:val="auto"/>
              </w:rPr>
              <w:t>Name:Maurice Amsellem</w:t>
            </w:r>
          </w:p>
        </w:tc>
        <w:tc>
          <w:tcPr>
            <w:tcW w:w="20" w:type="dxa"/>
            <w:vAlign w:val="bottom"/>
          </w:tcPr>
          <w:p>
            <w:pPr>
              <w:spacing w:after="0"/>
              <w:rPr>
                <w:sz w:val="17"/>
                <w:szCs w:val="17"/>
                <w:color w:val="auto"/>
              </w:rPr>
            </w:pPr>
          </w:p>
        </w:tc>
      </w:tr>
      <w:tr>
        <w:trPr>
          <w:trHeight w:val="258"/>
        </w:trPr>
        <w:tc>
          <w:tcPr>
            <w:tcW w:w="3080" w:type="dxa"/>
            <w:vAlign w:val="bottom"/>
          </w:tcPr>
          <w:p>
            <w:pPr>
              <w:spacing w:after="0"/>
              <w:rPr>
                <w:sz w:val="22"/>
                <w:szCs w:val="22"/>
                <w:color w:val="auto"/>
              </w:rPr>
            </w:pPr>
          </w:p>
        </w:tc>
        <w:tc>
          <w:tcPr>
            <w:tcW w:w="8160" w:type="dxa"/>
            <w:vAlign w:val="bottom"/>
            <w:gridSpan w:val="2"/>
          </w:tcPr>
          <w:p>
            <w:pPr>
              <w:ind w:left="2320"/>
              <w:spacing w:after="0"/>
              <w:rPr>
                <w:sz w:val="20"/>
                <w:szCs w:val="20"/>
                <w:color w:val="auto"/>
              </w:rPr>
            </w:pPr>
            <w:r>
              <w:rPr>
                <w:rFonts w:ascii="Times New Roman" w:cs="Times New Roman" w:eastAsia="Times New Roman" w:hAnsi="Times New Roman"/>
                <w:sz w:val="20"/>
                <w:szCs w:val="20"/>
                <w:color w:val="auto"/>
              </w:rPr>
              <w:t>Title: Authorized Signatory</w:t>
            </w:r>
          </w:p>
        </w:tc>
        <w:tc>
          <w:tcPr>
            <w:tcW w:w="20" w:type="dxa"/>
            <w:vAlign w:val="bottom"/>
          </w:tcPr>
          <w:p>
            <w:pPr>
              <w:spacing w:after="0"/>
              <w:rPr>
                <w:sz w:val="22"/>
                <w:szCs w:val="22"/>
                <w:color w:val="auto"/>
              </w:rPr>
            </w:pPr>
          </w:p>
        </w:tc>
      </w:tr>
      <w:tr>
        <w:trPr>
          <w:trHeight w:val="1013"/>
        </w:trPr>
        <w:tc>
          <w:tcPr>
            <w:tcW w:w="308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5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49" w:right="319" w:bottom="1440" w:gutter="0" w:footer="0" w:header="0"/>
        </w:sectPr>
      </w:pPr>
    </w:p>
    <w:bookmarkStart w:id="74" w:name="page75"/>
    <w:bookmarkEnd w:id="74"/>
    <w:p>
      <w:pPr>
        <w:spacing w:after="0"/>
        <w:tabs>
          <w:tab w:leader="none" w:pos="5580" w:val="left"/>
        </w:tabs>
        <w:rPr>
          <w:sz w:val="20"/>
          <w:szCs w:val="20"/>
          <w:color w:val="auto"/>
        </w:rPr>
      </w:pPr>
      <w:r>
        <w:rPr>
          <w:rFonts w:ascii="Times New Roman" w:cs="Times New Roman" w:eastAsia="Times New Roman" w:hAnsi="Times New Roman"/>
          <w:sz w:val="20"/>
          <w:szCs w:val="20"/>
          <w:b w:val="1"/>
          <w:bCs w:val="1"/>
          <w:color w:val="auto"/>
        </w:rPr>
        <w:t>LENDER:</w:t>
      </w:r>
      <w:r>
        <w:rPr>
          <w:sz w:val="20"/>
          <w:szCs w:val="20"/>
          <w:color w:val="auto"/>
        </w:rPr>
        <w:tab/>
      </w:r>
      <w:r>
        <w:rPr>
          <w:rFonts w:ascii="Times New Roman" w:cs="Times New Roman" w:eastAsia="Times New Roman" w:hAnsi="Times New Roman"/>
          <w:sz w:val="20"/>
          <w:szCs w:val="20"/>
          <w:b w:val="1"/>
          <w:bCs w:val="1"/>
          <w:color w:val="auto"/>
        </w:rPr>
        <w:t>MIDCAP FUNDING XIII TRUST</w:t>
      </w:r>
    </w:p>
    <w:p>
      <w:pPr>
        <w:spacing w:after="0" w:line="23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color w:val="auto"/>
        </w:rPr>
        <w:t>By: Apollo Capital Management, L.P.,</w:t>
      </w:r>
    </w:p>
    <w:p>
      <w:pPr>
        <w:spacing w:after="0" w:line="2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0"/>
          <w:szCs w:val="20"/>
          <w:color w:val="auto"/>
        </w:rPr>
        <w:t>its investment manager</w:t>
      </w:r>
    </w:p>
    <w:p>
      <w:pPr>
        <w:spacing w:after="0" w:line="20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color w:val="auto"/>
        </w:rPr>
        <w:t>By: Apollo Capital Management GP, LLC,</w:t>
      </w:r>
    </w:p>
    <w:p>
      <w:pPr>
        <w:spacing w:after="0" w:line="2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820" w:type="dxa"/>
            <w:vAlign w:val="bottom"/>
          </w:tcPr>
          <w:p>
            <w:pPr>
              <w:ind w:left="5980"/>
              <w:spacing w:after="0"/>
              <w:rPr>
                <w:sz w:val="20"/>
                <w:szCs w:val="20"/>
                <w:color w:val="auto"/>
              </w:rPr>
            </w:pPr>
            <w:r>
              <w:rPr>
                <w:rFonts w:ascii="Times New Roman" w:cs="Times New Roman" w:eastAsia="Times New Roman" w:hAnsi="Times New Roman"/>
                <w:sz w:val="20"/>
                <w:szCs w:val="20"/>
                <w:color w:val="auto"/>
              </w:rPr>
              <w:t>By:</w:t>
            </w: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Maurice Amsellem</w:t>
            </w:r>
          </w:p>
        </w:tc>
        <w:tc>
          <w:tcPr>
            <w:tcW w:w="20" w:type="dxa"/>
            <w:vAlign w:val="bottom"/>
          </w:tcPr>
          <w:p>
            <w:pPr>
              <w:spacing w:after="0"/>
              <w:rPr>
                <w:sz w:val="21"/>
                <w:szCs w:val="21"/>
                <w:color w:val="auto"/>
              </w:rPr>
            </w:pPr>
          </w:p>
        </w:tc>
      </w:tr>
      <w:tr>
        <w:trPr>
          <w:trHeight w:val="200"/>
        </w:trPr>
        <w:tc>
          <w:tcPr>
            <w:tcW w:w="6820" w:type="dxa"/>
            <w:vAlign w:val="bottom"/>
          </w:tcPr>
          <w:p>
            <w:pPr>
              <w:ind w:left="5980"/>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442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Maurice Amsellem</w:t>
            </w:r>
          </w:p>
        </w:tc>
        <w:tc>
          <w:tcPr>
            <w:tcW w:w="20" w:type="dxa"/>
            <w:vAlign w:val="bottom"/>
          </w:tcPr>
          <w:p>
            <w:pPr>
              <w:spacing w:after="0"/>
              <w:rPr>
                <w:sz w:val="17"/>
                <w:szCs w:val="17"/>
                <w:color w:val="auto"/>
              </w:rPr>
            </w:pPr>
          </w:p>
        </w:tc>
      </w:tr>
      <w:tr>
        <w:trPr>
          <w:trHeight w:val="258"/>
        </w:trPr>
        <w:tc>
          <w:tcPr>
            <w:tcW w:w="6820" w:type="dxa"/>
            <w:vAlign w:val="bottom"/>
          </w:tcPr>
          <w:p>
            <w:pPr>
              <w:ind w:left="5980"/>
              <w:spacing w:after="0"/>
              <w:rPr>
                <w:sz w:val="20"/>
                <w:szCs w:val="20"/>
                <w:color w:val="auto"/>
              </w:rPr>
            </w:pPr>
            <w:r>
              <w:rPr>
                <w:rFonts w:ascii="Times New Roman" w:cs="Times New Roman" w:eastAsia="Times New Roman" w:hAnsi="Times New Roman"/>
                <w:sz w:val="20"/>
                <w:szCs w:val="20"/>
                <w:color w:val="auto"/>
              </w:rPr>
              <w:t>Title:</w:t>
            </w:r>
          </w:p>
        </w:tc>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Authorized Signatory</w:t>
            </w:r>
          </w:p>
        </w:tc>
        <w:tc>
          <w:tcPr>
            <w:tcW w:w="20" w:type="dxa"/>
            <w:vAlign w:val="bottom"/>
          </w:tcPr>
          <w:p>
            <w:pPr>
              <w:spacing w:after="0"/>
              <w:rPr>
                <w:sz w:val="22"/>
                <w:szCs w:val="22"/>
                <w:color w:val="auto"/>
              </w:rPr>
            </w:pPr>
          </w:p>
        </w:tc>
      </w:tr>
      <w:tr>
        <w:trPr>
          <w:trHeight w:val="1243"/>
        </w:trPr>
        <w:tc>
          <w:tcPr>
            <w:tcW w:w="682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774" w:right="319" w:bottom="1440" w:gutter="0" w:footer="0" w:header="0"/>
        </w:sectPr>
      </w:pPr>
    </w:p>
    <w:bookmarkStart w:id="75" w:name="page76"/>
    <w:bookmarkEnd w:id="75"/>
    <w:p>
      <w:pPr>
        <w:spacing w:after="0"/>
        <w:tabs>
          <w:tab w:leader="none" w:pos="5500" w:val="left"/>
        </w:tabs>
        <w:rPr>
          <w:sz w:val="20"/>
          <w:szCs w:val="20"/>
          <w:color w:val="auto"/>
        </w:rPr>
      </w:pPr>
      <w:r>
        <w:rPr>
          <w:rFonts w:ascii="Times New Roman" w:cs="Times New Roman" w:eastAsia="Times New Roman" w:hAnsi="Times New Roman"/>
          <w:sz w:val="20"/>
          <w:szCs w:val="20"/>
          <w:b w:val="1"/>
          <w:bCs w:val="1"/>
          <w:color w:val="auto"/>
        </w:rPr>
        <w:t>LENDER:</w:t>
      </w:r>
      <w:r>
        <w:rPr>
          <w:sz w:val="20"/>
          <w:szCs w:val="20"/>
          <w:color w:val="auto"/>
        </w:rPr>
        <w:tab/>
      </w:r>
      <w:r>
        <w:rPr>
          <w:rFonts w:ascii="Times New Roman" w:cs="Times New Roman" w:eastAsia="Times New Roman" w:hAnsi="Times New Roman"/>
          <w:sz w:val="20"/>
          <w:szCs w:val="20"/>
          <w:b w:val="1"/>
          <w:bCs w:val="1"/>
          <w:color w:val="auto"/>
        </w:rPr>
        <w:t>ELM 2020-3 TRUST</w:t>
      </w: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By: MidCap Financial Services Capital Management, LLC, as Servicer</w:t>
      </w:r>
    </w:p>
    <w:p>
      <w:pPr>
        <w:spacing w:after="0" w:line="200" w:lineRule="exact"/>
        <w:rPr>
          <w:sz w:val="20"/>
          <w:szCs w:val="20"/>
          <w:color w:val="auto"/>
        </w:rPr>
      </w:pPr>
    </w:p>
    <w:p>
      <w:pPr>
        <w:spacing w:after="0" w:line="259" w:lineRule="exact"/>
        <w:rPr>
          <w:sz w:val="20"/>
          <w:szCs w:val="20"/>
          <w:color w:val="auto"/>
        </w:rPr>
      </w:pPr>
    </w:p>
    <w:p>
      <w:pPr>
        <w:ind w:left="5520"/>
        <w:spacing w:after="0"/>
        <w:tabs>
          <w:tab w:leader="none" w:pos="6040" w:val="left"/>
        </w:tabs>
        <w:rPr>
          <w:sz w:val="20"/>
          <w:szCs w:val="20"/>
          <w:color w:val="auto"/>
        </w:rPr>
      </w:pPr>
      <w:r>
        <w:rPr>
          <w:rFonts w:ascii="Times New Roman" w:cs="Times New Roman" w:eastAsia="Times New Roman" w:hAnsi="Times New Roman"/>
          <w:sz w:val="20"/>
          <w:szCs w:val="20"/>
          <w:color w:val="auto"/>
        </w:rPr>
        <w:t>By:</w:t>
        <w:tab/>
        <w:t>/s/ John O’Dea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13970</wp:posOffset>
            </wp:positionV>
            <wp:extent cx="329184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Name:John O’Dea</w:t>
      </w:r>
    </w:p>
    <w:p>
      <w:pPr>
        <w:spacing w:after="0" w:line="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33"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20"/>
          <w:szCs w:val="20"/>
          <w:b w:val="1"/>
          <w:bCs w:val="1"/>
          <w:color w:val="auto"/>
        </w:rPr>
        <w:t>LENDER:</w:t>
      </w:r>
      <w:r>
        <w:rPr>
          <w:sz w:val="20"/>
          <w:szCs w:val="20"/>
          <w:color w:val="auto"/>
        </w:rPr>
        <w:tab/>
      </w:r>
      <w:r>
        <w:rPr>
          <w:rFonts w:ascii="Times New Roman" w:cs="Times New Roman" w:eastAsia="Times New Roman" w:hAnsi="Times New Roman"/>
          <w:sz w:val="20"/>
          <w:szCs w:val="20"/>
          <w:b w:val="1"/>
          <w:bCs w:val="1"/>
          <w:color w:val="auto"/>
        </w:rPr>
        <w:t>ELM 2020-4 TRUST</w:t>
      </w: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By: MidCap Financial Services Capital Management, LLC, as Servicer</w:t>
      </w:r>
    </w:p>
    <w:p>
      <w:pPr>
        <w:spacing w:after="0" w:line="200" w:lineRule="exact"/>
        <w:rPr>
          <w:sz w:val="20"/>
          <w:szCs w:val="20"/>
          <w:color w:val="auto"/>
        </w:rPr>
      </w:pPr>
    </w:p>
    <w:p>
      <w:pPr>
        <w:spacing w:after="0" w:line="259" w:lineRule="exact"/>
        <w:rPr>
          <w:sz w:val="20"/>
          <w:szCs w:val="20"/>
          <w:color w:val="auto"/>
        </w:rPr>
      </w:pPr>
    </w:p>
    <w:p>
      <w:pPr>
        <w:ind w:left="5520"/>
        <w:spacing w:after="0"/>
        <w:tabs>
          <w:tab w:leader="none" w:pos="6040" w:val="left"/>
        </w:tabs>
        <w:rPr>
          <w:sz w:val="20"/>
          <w:szCs w:val="20"/>
          <w:color w:val="auto"/>
        </w:rPr>
      </w:pPr>
      <w:r>
        <w:rPr>
          <w:rFonts w:ascii="Times New Roman" w:cs="Times New Roman" w:eastAsia="Times New Roman" w:hAnsi="Times New Roman"/>
          <w:sz w:val="20"/>
          <w:szCs w:val="20"/>
          <w:color w:val="auto"/>
        </w:rPr>
        <w:t>By:</w:t>
        <w:tab/>
        <w:t>/s/ John O’Dea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13970</wp:posOffset>
            </wp:positionV>
            <wp:extent cx="329184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Name:John O’Dea</w:t>
      </w:r>
    </w:p>
    <w:p>
      <w:pPr>
        <w:spacing w:after="0" w:line="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774" w:right="419" w:bottom="1440" w:gutter="0" w:footer="0" w:header="0"/>
        </w:sectPr>
      </w:pPr>
    </w:p>
    <w:bookmarkStart w:id="76" w:name="page77"/>
    <w:bookmarkEnd w:id="76"/>
    <w:p>
      <w:pPr>
        <w:spacing w:after="0"/>
        <w:tabs>
          <w:tab w:leader="none" w:pos="5500" w:val="left"/>
        </w:tabs>
        <w:rPr>
          <w:sz w:val="20"/>
          <w:szCs w:val="20"/>
          <w:color w:val="auto"/>
        </w:rPr>
      </w:pPr>
      <w:r>
        <w:rPr>
          <w:rFonts w:ascii="Times New Roman" w:cs="Times New Roman" w:eastAsia="Times New Roman" w:hAnsi="Times New Roman"/>
          <w:sz w:val="20"/>
          <w:szCs w:val="20"/>
          <w:b w:val="1"/>
          <w:bCs w:val="1"/>
          <w:color w:val="auto"/>
        </w:rPr>
        <w:t>BORROWERS:</w:t>
      </w:r>
      <w:r>
        <w:rPr>
          <w:sz w:val="20"/>
          <w:szCs w:val="20"/>
          <w:color w:val="auto"/>
        </w:rPr>
        <w:tab/>
      </w:r>
      <w:r>
        <w:rPr>
          <w:rFonts w:ascii="Times New Roman" w:cs="Times New Roman" w:eastAsia="Times New Roman" w:hAnsi="Times New Roman"/>
          <w:sz w:val="20"/>
          <w:szCs w:val="20"/>
          <w:b w:val="1"/>
          <w:bCs w:val="1"/>
          <w:color w:val="auto"/>
        </w:rPr>
        <w:t>APTEVO THERAPEUTICS INC.</w:t>
      </w:r>
    </w:p>
    <w:p>
      <w:pPr>
        <w:spacing w:after="0" w:line="200" w:lineRule="exact"/>
        <w:rPr>
          <w:sz w:val="20"/>
          <w:szCs w:val="20"/>
          <w:color w:val="auto"/>
        </w:rPr>
      </w:pPr>
    </w:p>
    <w:p>
      <w:pPr>
        <w:spacing w:after="0" w:line="263" w:lineRule="exact"/>
        <w:rPr>
          <w:sz w:val="20"/>
          <w:szCs w:val="20"/>
          <w:color w:val="auto"/>
        </w:rPr>
      </w:pPr>
    </w:p>
    <w:p>
      <w:pPr>
        <w:ind w:left="5520"/>
        <w:spacing w:after="0"/>
        <w:tabs>
          <w:tab w:leader="none" w:pos="6040" w:val="left"/>
        </w:tabs>
        <w:rPr>
          <w:sz w:val="20"/>
          <w:szCs w:val="20"/>
          <w:color w:val="auto"/>
        </w:rPr>
      </w:pPr>
      <w:r>
        <w:rPr>
          <w:rFonts w:ascii="Times New Roman" w:cs="Times New Roman" w:eastAsia="Times New Roman" w:hAnsi="Times New Roman"/>
          <w:sz w:val="20"/>
          <w:szCs w:val="20"/>
          <w:color w:val="auto"/>
        </w:rPr>
        <w:t>By:</w:t>
        <w:tab/>
        <w:t>/s/ Jeff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13970</wp:posOffset>
            </wp:positionV>
            <wp:extent cx="329184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Name:Jeff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4445</wp:posOffset>
            </wp:positionV>
            <wp:extent cx="329184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ind w:left="5520"/>
        <w:spacing w:after="0"/>
        <w:rPr>
          <w:sz w:val="20"/>
          <w:szCs w:val="20"/>
          <w:color w:val="auto"/>
        </w:rPr>
      </w:pPr>
      <w:r>
        <w:rPr>
          <w:rFonts w:ascii="Times New Roman" w:cs="Times New Roman" w:eastAsia="Times New Roman" w:hAnsi="Times New Roman"/>
          <w:sz w:val="19"/>
          <w:szCs w:val="19"/>
          <w:color w:val="auto"/>
        </w:rPr>
        <w:t>Title: 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12065</wp:posOffset>
            </wp:positionV>
            <wp:extent cx="329184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b w:val="1"/>
          <w:bCs w:val="1"/>
          <w:color w:val="auto"/>
        </w:rPr>
        <w:t>APTEVO RESEARCH AND DEVELOPMENT LLC</w:t>
      </w:r>
    </w:p>
    <w:p>
      <w:pPr>
        <w:spacing w:after="0" w:line="200" w:lineRule="exact"/>
        <w:rPr>
          <w:sz w:val="20"/>
          <w:szCs w:val="20"/>
          <w:color w:val="auto"/>
        </w:rPr>
      </w:pPr>
    </w:p>
    <w:p>
      <w:pPr>
        <w:spacing w:after="0" w:line="263" w:lineRule="exact"/>
        <w:rPr>
          <w:sz w:val="20"/>
          <w:szCs w:val="20"/>
          <w:color w:val="auto"/>
        </w:rPr>
      </w:pPr>
    </w:p>
    <w:p>
      <w:pPr>
        <w:ind w:left="5520"/>
        <w:spacing w:after="0"/>
        <w:tabs>
          <w:tab w:leader="none" w:pos="6040" w:val="left"/>
        </w:tabs>
        <w:rPr>
          <w:sz w:val="20"/>
          <w:szCs w:val="20"/>
          <w:color w:val="auto"/>
        </w:rPr>
      </w:pPr>
      <w:r>
        <w:rPr>
          <w:rFonts w:ascii="Times New Roman" w:cs="Times New Roman" w:eastAsia="Times New Roman" w:hAnsi="Times New Roman"/>
          <w:sz w:val="20"/>
          <w:szCs w:val="20"/>
          <w:color w:val="auto"/>
        </w:rPr>
        <w:t>By:</w:t>
        <w:tab/>
        <w:t>/s/ Jeff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13970</wp:posOffset>
            </wp:positionV>
            <wp:extent cx="329184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Name:Jeff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4445</wp:posOffset>
            </wp:positionV>
            <wp:extent cx="329184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ind w:left="5520"/>
        <w:spacing w:after="0"/>
        <w:rPr>
          <w:sz w:val="20"/>
          <w:szCs w:val="20"/>
          <w:color w:val="auto"/>
        </w:rPr>
      </w:pPr>
      <w:r>
        <w:rPr>
          <w:rFonts w:ascii="Times New Roman" w:cs="Times New Roman" w:eastAsia="Times New Roman" w:hAnsi="Times New Roman"/>
          <w:sz w:val="19"/>
          <w:szCs w:val="19"/>
          <w:color w:val="auto"/>
        </w:rPr>
        <w:t>Title: 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12065</wp:posOffset>
            </wp:positionV>
            <wp:extent cx="329184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29184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513715</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280"/>
          </w:cols>
          <w:pgMar w:left="320" w:top="774" w:right="1299"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Amendment No. 1 to Ruxience Sale Agreement</w:t>
      </w: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Omitted</w:t>
      </w:r>
    </w:p>
    <w:p>
      <w:pPr>
        <w:sectPr>
          <w:pgSz w:w="11900" w:h="16838" w:orient="portrait"/>
          <w:cols w:equalWidth="0" w:num="1">
            <w:col w:w="9019"/>
          </w:cols>
          <w:pgMar w:left="1440" w:top="545" w:right="1440" w:bottom="1440" w:gutter="0" w:footer="0" w:header="0"/>
        </w:sectPr>
      </w:pPr>
    </w:p>
    <w:bookmarkStart w:id="78" w:name="page79"/>
    <w:bookmarkEnd w:id="78"/>
    <w:p>
      <w:pPr>
        <w:jc w:val="right"/>
        <w:spacing w:after="0"/>
        <w:rPr>
          <w:sz w:val="20"/>
          <w:szCs w:val="20"/>
          <w:color w:val="auto"/>
        </w:rPr>
      </w:pPr>
      <w:r>
        <w:rPr>
          <w:rFonts w:ascii="Arial" w:cs="Arial" w:eastAsia="Arial" w:hAnsi="Arial"/>
          <w:sz w:val="20"/>
          <w:szCs w:val="20"/>
          <w:color w:val="auto"/>
        </w:rPr>
        <w:t>Exhibit 10.3</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NINTH AMENDMENT TO OFFICE LEASE</w:t>
      </w:r>
    </w:p>
    <w:p>
      <w:pPr>
        <w:spacing w:after="0" w:line="189" w:lineRule="exact"/>
        <w:rPr>
          <w:sz w:val="20"/>
          <w:szCs w:val="20"/>
          <w:color w:val="auto"/>
        </w:rPr>
      </w:pPr>
    </w:p>
    <w:p>
      <w:pPr>
        <w:jc w:val="both"/>
        <w:ind w:left="880" w:firstLine="797"/>
        <w:spacing w:after="0" w:line="233" w:lineRule="auto"/>
        <w:rPr>
          <w:sz w:val="20"/>
          <w:szCs w:val="20"/>
          <w:color w:val="auto"/>
        </w:rPr>
      </w:pPr>
      <w:r>
        <w:rPr>
          <w:rFonts w:ascii="Arial" w:cs="Arial" w:eastAsia="Arial" w:hAnsi="Arial"/>
          <w:sz w:val="20"/>
          <w:szCs w:val="20"/>
          <w:color w:val="auto"/>
        </w:rPr>
        <w:t>This Ninth Amendment to Office Lease is made and entered into on this 26th day of May 2022 by and between SREH 2018 HOLDINGS LLC as successor in interest to SELIG REAL ESTATE HOLDINGS EIGHT L.L.C., a Washington Limited Liability Company, whose address is 1000 Second Avenue, Suite 1800, Seattle, Washington (hereinafter, the “Lessor”) and APTEVO THERAPEUTICS INC. successor in interest to Emergent Product Development Seattle, LLC whose address is 2401 Fourth Avenue, Suite 1050, Seattle, Washington (hereinafter, the “Lessee”).</w:t>
      </w:r>
    </w:p>
    <w:p>
      <w:pPr>
        <w:spacing w:after="0" w:line="159" w:lineRule="exact"/>
        <w:rPr>
          <w:sz w:val="20"/>
          <w:szCs w:val="20"/>
          <w:color w:val="auto"/>
        </w:rPr>
      </w:pPr>
    </w:p>
    <w:p>
      <w:pPr>
        <w:ind w:left="1700" w:hanging="828"/>
        <w:spacing w:after="0"/>
        <w:tabs>
          <w:tab w:leader="none" w:pos="1700"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Recitals</w:t>
      </w:r>
    </w:p>
    <w:p>
      <w:pPr>
        <w:spacing w:after="0" w:line="189" w:lineRule="exact"/>
        <w:rPr>
          <w:sz w:val="20"/>
          <w:szCs w:val="20"/>
          <w:color w:val="auto"/>
        </w:rPr>
      </w:pPr>
    </w:p>
    <w:p>
      <w:pPr>
        <w:ind w:left="880" w:hanging="8"/>
        <w:spacing w:after="0" w:line="257" w:lineRule="auto"/>
        <w:tabs>
          <w:tab w:leader="none" w:pos="1693" w:val="left"/>
        </w:tabs>
        <w:numPr>
          <w:ilvl w:val="0"/>
          <w:numId w:val="44"/>
        </w:numPr>
        <w:rPr>
          <w:rFonts w:ascii="Arial" w:cs="Arial" w:eastAsia="Arial" w:hAnsi="Arial"/>
          <w:sz w:val="20"/>
          <w:szCs w:val="20"/>
          <w:color w:val="auto"/>
        </w:rPr>
      </w:pPr>
      <w:r>
        <w:rPr>
          <w:rFonts w:ascii="Arial" w:cs="Arial" w:eastAsia="Arial" w:hAnsi="Arial"/>
          <w:sz w:val="20"/>
          <w:szCs w:val="20"/>
          <w:color w:val="auto"/>
        </w:rPr>
        <w:t>Lessor is the owner of the Fourth and Battery Building, located at 2401 Fourth Avenue, Seattle, Washington, 98121 (hereinafter, referred to as the “Building”).</w:t>
      </w:r>
    </w:p>
    <w:p>
      <w:pPr>
        <w:spacing w:after="0" w:line="141" w:lineRule="exact"/>
        <w:rPr>
          <w:rFonts w:ascii="Arial" w:cs="Arial" w:eastAsia="Arial" w:hAnsi="Arial"/>
          <w:sz w:val="20"/>
          <w:szCs w:val="20"/>
          <w:color w:val="auto"/>
        </w:rPr>
      </w:pPr>
    </w:p>
    <w:p>
      <w:pPr>
        <w:jc w:val="both"/>
        <w:ind w:left="880" w:hanging="8"/>
        <w:spacing w:after="0" w:line="248" w:lineRule="auto"/>
        <w:tabs>
          <w:tab w:leader="none" w:pos="1693" w:val="left"/>
        </w:tabs>
        <w:numPr>
          <w:ilvl w:val="0"/>
          <w:numId w:val="44"/>
        </w:numPr>
        <w:rPr>
          <w:rFonts w:ascii="Arial" w:cs="Arial" w:eastAsia="Arial" w:hAnsi="Arial"/>
          <w:sz w:val="19"/>
          <w:szCs w:val="19"/>
          <w:color w:val="auto"/>
        </w:rPr>
      </w:pPr>
      <w:r>
        <w:rPr>
          <w:rFonts w:ascii="Arial" w:cs="Arial" w:eastAsia="Arial" w:hAnsi="Arial"/>
          <w:sz w:val="19"/>
          <w:szCs w:val="19"/>
          <w:color w:val="auto"/>
        </w:rPr>
        <w:t>Lessor and Lessee entered into a lease on the 28</w:t>
      </w:r>
      <w:r>
        <w:rPr>
          <w:rFonts w:ascii="Arial" w:cs="Arial" w:eastAsia="Arial" w:hAnsi="Arial"/>
          <w:sz w:val="15"/>
          <w:szCs w:val="15"/>
          <w:color w:val="auto"/>
        </w:rPr>
        <w:t>th</w:t>
      </w:r>
      <w:r>
        <w:rPr>
          <w:rFonts w:ascii="Arial" w:cs="Arial" w:eastAsia="Arial" w:hAnsi="Arial"/>
          <w:sz w:val="19"/>
          <w:szCs w:val="19"/>
          <w:color w:val="auto"/>
        </w:rPr>
        <w:t xml:space="preserve"> day of April, 2003 which was subsequently amended on December 8, 2004 (First Amendment), February 1, 2006 (Second Amendment), February 2, 2007 (Third Amendment), June 7, 2012 (Fourth Amendment), December 21, 2010 (Fifth Amendment), July 17, 2012 (Sixth Amendment), December 5, 2014 (Seventh Amendment) and March 19, 2019 (Eighth Amendment). The original lease and each subsequent amendment including this Ninth Amendment are collectively referred to hereinafter as the “Lease”.</w:t>
      </w:r>
    </w:p>
    <w:p>
      <w:pPr>
        <w:spacing w:after="0" w:line="153" w:lineRule="exact"/>
        <w:rPr>
          <w:rFonts w:ascii="Arial" w:cs="Arial" w:eastAsia="Arial" w:hAnsi="Arial"/>
          <w:sz w:val="19"/>
          <w:szCs w:val="19"/>
          <w:color w:val="auto"/>
        </w:rPr>
      </w:pPr>
    </w:p>
    <w:p>
      <w:pPr>
        <w:ind w:left="880" w:hanging="8"/>
        <w:spacing w:after="0" w:line="257" w:lineRule="auto"/>
        <w:tabs>
          <w:tab w:leader="none" w:pos="1693" w:val="left"/>
        </w:tabs>
        <w:numPr>
          <w:ilvl w:val="0"/>
          <w:numId w:val="44"/>
        </w:numPr>
        <w:rPr>
          <w:rFonts w:ascii="Arial" w:cs="Arial" w:eastAsia="Arial" w:hAnsi="Arial"/>
          <w:sz w:val="20"/>
          <w:szCs w:val="20"/>
          <w:color w:val="auto"/>
        </w:rPr>
      </w:pPr>
      <w:r>
        <w:rPr>
          <w:rFonts w:ascii="Arial" w:cs="Arial" w:eastAsia="Arial" w:hAnsi="Arial"/>
          <w:sz w:val="20"/>
          <w:szCs w:val="20"/>
          <w:color w:val="auto"/>
        </w:rPr>
        <w:t>Lessee and Lessor wish to modify certain terms and conditions as set forth herein. Lessor and Lessee hereby agree to amend the Lease on the terms and conditions set forth below.</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TERMINATION OPTION</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20"/>
          <w:szCs w:val="20"/>
          <w:color w:val="auto"/>
        </w:rPr>
        <w:t>Lessee’s right to terminate the Lease early is hereby deleted in its entirety.</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RENT</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20"/>
          <w:szCs w:val="20"/>
          <w:color w:val="auto"/>
        </w:rPr>
        <w:t>In consideration of Lessee foregoing their right to early termination, Lessee shall not be obligated to pay a total of six</w:t>
      </w:r>
    </w:p>
    <w:p>
      <w:pPr>
        <w:spacing w:after="0" w:line="4" w:lineRule="exact"/>
        <w:rPr>
          <w:sz w:val="20"/>
          <w:szCs w:val="20"/>
          <w:color w:val="auto"/>
        </w:rPr>
      </w:pPr>
    </w:p>
    <w:p>
      <w:pPr>
        <w:ind w:left="880" w:hanging="8"/>
        <w:spacing w:after="0" w:line="239" w:lineRule="auto"/>
        <w:tabs>
          <w:tab w:leader="none" w:pos="1215" w:val="left"/>
        </w:tabs>
        <w:numPr>
          <w:ilvl w:val="0"/>
          <w:numId w:val="45"/>
        </w:numPr>
        <w:rPr>
          <w:rFonts w:ascii="Arial" w:cs="Arial" w:eastAsia="Arial" w:hAnsi="Arial"/>
          <w:sz w:val="20"/>
          <w:szCs w:val="20"/>
          <w:color w:val="auto"/>
        </w:rPr>
      </w:pPr>
      <w:r>
        <w:rPr>
          <w:rFonts w:ascii="Arial" w:cs="Arial" w:eastAsia="Arial" w:hAnsi="Arial"/>
          <w:sz w:val="20"/>
          <w:szCs w:val="20"/>
          <w:color w:val="auto"/>
        </w:rPr>
        <w:t>months of base rent. No base rent shall be due for June and July, 2022, October and November, 2022 and February and March, 2023.</w:t>
      </w:r>
    </w:p>
    <w:p>
      <w:pPr>
        <w:spacing w:after="0" w:line="158" w:lineRule="exact"/>
        <w:rPr>
          <w:sz w:val="20"/>
          <w:szCs w:val="20"/>
          <w:color w:val="auto"/>
        </w:rPr>
      </w:pPr>
    </w:p>
    <w:p>
      <w:pPr>
        <w:ind w:left="80"/>
        <w:spacing w:after="0"/>
        <w:rPr>
          <w:sz w:val="20"/>
          <w:szCs w:val="20"/>
          <w:color w:val="auto"/>
        </w:rPr>
      </w:pPr>
      <w:r>
        <w:rPr>
          <w:rFonts w:ascii="Arial" w:cs="Arial" w:eastAsia="Arial" w:hAnsi="Arial"/>
          <w:sz w:val="20"/>
          <w:szCs w:val="20"/>
          <w:u w:val="single" w:color="auto"/>
          <w:color w:val="auto"/>
        </w:rPr>
        <w:t>ENTIRE AGREEMENT:</w:t>
      </w:r>
    </w:p>
    <w:p>
      <w:pPr>
        <w:spacing w:after="0" w:line="189" w:lineRule="exact"/>
        <w:rPr>
          <w:sz w:val="20"/>
          <w:szCs w:val="20"/>
          <w:color w:val="auto"/>
        </w:rPr>
      </w:pPr>
    </w:p>
    <w:p>
      <w:pPr>
        <w:jc w:val="both"/>
        <w:ind w:left="880"/>
        <w:spacing w:after="0" w:line="249" w:lineRule="auto"/>
        <w:rPr>
          <w:sz w:val="20"/>
          <w:szCs w:val="20"/>
          <w:color w:val="auto"/>
        </w:rPr>
      </w:pPr>
      <w:r>
        <w:rPr>
          <w:rFonts w:ascii="Arial" w:cs="Arial" w:eastAsia="Arial" w:hAnsi="Arial"/>
          <w:sz w:val="19"/>
          <w:szCs w:val="19"/>
          <w:color w:val="auto"/>
        </w:rPr>
        <w:t>This is the entire agreement between the parties relative to the subject matter of this Amendment. It cannot be modified or added without a writing signed by both parties. Except as expressly modified by the terms of this Amendment, all other provisions of the Lease remain in full force and effect. This Amendment may be executed by the parties hereto in one or more counterparts, all of which shall be valid and binding on the party or parties executing</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them and all counterparts shall constitute one and the same document for all purposes.</w:t>
      </w:r>
    </w:p>
    <w:p>
      <w:pPr>
        <w:spacing w:after="0" w:line="171" w:lineRule="exact"/>
        <w:rPr>
          <w:sz w:val="20"/>
          <w:szCs w:val="20"/>
          <w:color w:val="auto"/>
        </w:rPr>
      </w:pPr>
    </w:p>
    <w:p>
      <w:pPr>
        <w:ind w:left="3660"/>
        <w:spacing w:after="0"/>
        <w:rPr>
          <w:sz w:val="20"/>
          <w:szCs w:val="20"/>
          <w:color w:val="auto"/>
        </w:rPr>
      </w:pPr>
      <w:r>
        <w:rPr>
          <w:rFonts w:ascii="Arial" w:cs="Arial" w:eastAsia="Arial" w:hAnsi="Arial"/>
          <w:sz w:val="20"/>
          <w:szCs w:val="20"/>
          <w:color w:val="auto"/>
        </w:rPr>
        <w:t>SIGNATURE BLOCK ONLY ON LAST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748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61"/>
        </w:trPr>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3660" w:type="dxa"/>
            <w:vAlign w:val="bottom"/>
            <w:gridSpan w:val="2"/>
          </w:tcPr>
          <w:p>
            <w:pPr>
              <w:ind w:left="920"/>
              <w:spacing w:after="0"/>
              <w:rPr>
                <w:sz w:val="20"/>
                <w:szCs w:val="20"/>
                <w:color w:val="auto"/>
              </w:rPr>
            </w:pPr>
            <w:r>
              <w:rPr>
                <w:rFonts w:ascii="Arial" w:cs="Arial" w:eastAsia="Arial" w:hAnsi="Arial"/>
                <w:sz w:val="20"/>
                <w:szCs w:val="20"/>
                <w:color w:val="auto"/>
              </w:rPr>
              <w:t>AGREED AND ACCEPTED:</w:t>
            </w:r>
          </w:p>
        </w:tc>
        <w:tc>
          <w:tcPr>
            <w:tcW w:w="4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6"/>
        </w:trPr>
        <w:tc>
          <w:tcPr>
            <w:tcW w:w="3460" w:type="dxa"/>
            <w:vAlign w:val="bottom"/>
            <w:gridSpan w:val="3"/>
          </w:tcPr>
          <w:p>
            <w:pPr>
              <w:spacing w:after="0"/>
              <w:rPr>
                <w:sz w:val="20"/>
                <w:szCs w:val="20"/>
                <w:color w:val="auto"/>
              </w:rPr>
            </w:pPr>
            <w:r>
              <w:rPr>
                <w:rFonts w:ascii="Arial" w:cs="Arial" w:eastAsia="Arial" w:hAnsi="Arial"/>
                <w:sz w:val="20"/>
                <w:szCs w:val="20"/>
                <w:color w:val="auto"/>
              </w:rPr>
              <w:t>SREH 2018 HOLDINGS LLC</w:t>
            </w:r>
          </w:p>
        </w:tc>
        <w:tc>
          <w:tcPr>
            <w:tcW w:w="980" w:type="dxa"/>
            <w:vAlign w:val="bottom"/>
          </w:tcPr>
          <w:p>
            <w:pPr>
              <w:spacing w:after="0"/>
              <w:rPr>
                <w:sz w:val="24"/>
                <w:szCs w:val="24"/>
                <w:color w:val="auto"/>
              </w:rPr>
            </w:pPr>
          </w:p>
        </w:tc>
        <w:tc>
          <w:tcPr>
            <w:tcW w:w="6800" w:type="dxa"/>
            <w:vAlign w:val="bottom"/>
            <w:gridSpan w:val="2"/>
          </w:tcPr>
          <w:p>
            <w:pPr>
              <w:ind w:left="1640"/>
              <w:spacing w:after="0"/>
              <w:rPr>
                <w:sz w:val="20"/>
                <w:szCs w:val="20"/>
                <w:color w:val="auto"/>
              </w:rPr>
            </w:pPr>
            <w:r>
              <w:rPr>
                <w:rFonts w:ascii="Arial" w:cs="Arial" w:eastAsia="Arial" w:hAnsi="Arial"/>
                <w:sz w:val="20"/>
                <w:szCs w:val="20"/>
                <w:color w:val="auto"/>
              </w:rPr>
              <w:t>APTEVO THERAPEUTICS INC.</w:t>
            </w:r>
          </w:p>
        </w:tc>
        <w:tc>
          <w:tcPr>
            <w:tcW w:w="0" w:type="dxa"/>
            <w:vAlign w:val="bottom"/>
          </w:tcPr>
          <w:p>
            <w:pPr>
              <w:spacing w:after="0"/>
              <w:rPr>
                <w:sz w:val="1"/>
                <w:szCs w:val="1"/>
                <w:color w:val="auto"/>
              </w:rPr>
            </w:pPr>
          </w:p>
        </w:tc>
      </w:tr>
      <w:tr>
        <w:trPr>
          <w:trHeight w:val="449"/>
        </w:trPr>
        <w:tc>
          <w:tcPr>
            <w:tcW w:w="820" w:type="dxa"/>
            <w:vAlign w:val="bottom"/>
            <w:vMerge w:val="restart"/>
          </w:tcPr>
          <w:p>
            <w:pPr>
              <w:spacing w:after="0"/>
              <w:rPr>
                <w:sz w:val="20"/>
                <w:szCs w:val="20"/>
                <w:color w:val="auto"/>
              </w:rPr>
            </w:pPr>
            <w:r>
              <w:rPr>
                <w:rFonts w:ascii="Arial" w:cs="Arial" w:eastAsia="Arial" w:hAnsi="Arial"/>
                <w:sz w:val="20"/>
                <w:szCs w:val="20"/>
                <w:color w:val="auto"/>
              </w:rPr>
              <w:t>By:</w:t>
            </w:r>
          </w:p>
        </w:tc>
        <w:tc>
          <w:tcPr>
            <w:tcW w:w="2640" w:type="dxa"/>
            <w:vAlign w:val="bottom"/>
            <w:gridSpan w:val="2"/>
          </w:tcPr>
          <w:p>
            <w:pPr>
              <w:ind w:left="220"/>
              <w:spacing w:after="0"/>
              <w:rPr>
                <w:sz w:val="20"/>
                <w:szCs w:val="20"/>
                <w:color w:val="auto"/>
              </w:rPr>
            </w:pPr>
            <w:r>
              <w:rPr>
                <w:rFonts w:ascii="Arial" w:cs="Arial" w:eastAsia="Arial" w:hAnsi="Arial"/>
                <w:sz w:val="20"/>
                <w:szCs w:val="20"/>
                <w:color w:val="auto"/>
              </w:rPr>
              <w:t>/s/ Martin Selig</w:t>
            </w:r>
          </w:p>
        </w:tc>
        <w:tc>
          <w:tcPr>
            <w:tcW w:w="980" w:type="dxa"/>
            <w:vAlign w:val="bottom"/>
          </w:tcPr>
          <w:p>
            <w:pPr>
              <w:spacing w:after="0"/>
              <w:rPr>
                <w:sz w:val="24"/>
                <w:szCs w:val="24"/>
                <w:color w:val="auto"/>
              </w:rPr>
            </w:pPr>
          </w:p>
        </w:tc>
        <w:tc>
          <w:tcPr>
            <w:tcW w:w="2680" w:type="dxa"/>
            <w:vAlign w:val="bottom"/>
            <w:vMerge w:val="restart"/>
          </w:tcPr>
          <w:p>
            <w:pPr>
              <w:ind w:left="1640"/>
              <w:spacing w:after="0"/>
              <w:rPr>
                <w:sz w:val="20"/>
                <w:szCs w:val="20"/>
                <w:color w:val="auto"/>
              </w:rPr>
            </w:pPr>
            <w:r>
              <w:rPr>
                <w:rFonts w:ascii="Arial" w:cs="Arial" w:eastAsia="Arial" w:hAnsi="Arial"/>
                <w:sz w:val="20"/>
                <w:szCs w:val="20"/>
                <w:color w:val="auto"/>
              </w:rPr>
              <w:t>By:</w:t>
            </w:r>
          </w:p>
        </w:tc>
        <w:tc>
          <w:tcPr>
            <w:tcW w:w="4120" w:type="dxa"/>
            <w:vAlign w:val="bottom"/>
          </w:tcPr>
          <w:p>
            <w:pPr>
              <w:spacing w:after="0"/>
              <w:rPr>
                <w:sz w:val="20"/>
                <w:szCs w:val="20"/>
                <w:color w:val="auto"/>
              </w:rPr>
            </w:pPr>
            <w:r>
              <w:rPr>
                <w:rFonts w:ascii="Arial" w:cs="Arial" w:eastAsia="Arial" w:hAnsi="Arial"/>
                <w:sz w:val="20"/>
                <w:szCs w:val="20"/>
                <w:color w:val="auto"/>
              </w:rPr>
              <w:t>/s/ Daphne Taylor</w:t>
            </w:r>
          </w:p>
        </w:tc>
        <w:tc>
          <w:tcPr>
            <w:tcW w:w="0" w:type="dxa"/>
            <w:vAlign w:val="bottom"/>
          </w:tcPr>
          <w:p>
            <w:pPr>
              <w:spacing w:after="0"/>
              <w:rPr>
                <w:sz w:val="1"/>
                <w:szCs w:val="1"/>
                <w:color w:val="auto"/>
              </w:rPr>
            </w:pPr>
          </w:p>
        </w:tc>
      </w:tr>
      <w:tr>
        <w:trPr>
          <w:trHeight w:val="223"/>
        </w:trPr>
        <w:tc>
          <w:tcPr>
            <w:tcW w:w="8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2420" w:type="dxa"/>
            <w:vAlign w:val="bottom"/>
            <w:tcBorders>
              <w:top w:val="single" w:sz="8" w:color="auto"/>
              <w:bottom w:val="single" w:sz="8" w:color="auto"/>
            </w:tcBorders>
          </w:tcPr>
          <w:p>
            <w:pPr>
              <w:spacing w:after="0" w:line="223" w:lineRule="exact"/>
              <w:rPr>
                <w:sz w:val="20"/>
                <w:szCs w:val="20"/>
                <w:color w:val="auto"/>
              </w:rPr>
            </w:pPr>
            <w:r>
              <w:rPr>
                <w:rFonts w:ascii="Arial" w:cs="Arial" w:eastAsia="Arial" w:hAnsi="Arial"/>
                <w:sz w:val="20"/>
                <w:szCs w:val="20"/>
                <w:color w:val="auto"/>
              </w:rPr>
              <w:t>Martin Selig</w:t>
            </w:r>
          </w:p>
        </w:tc>
        <w:tc>
          <w:tcPr>
            <w:tcW w:w="980" w:type="dxa"/>
            <w:vAlign w:val="bottom"/>
            <w:tcBorders>
              <w:top w:val="single" w:sz="8" w:color="auto"/>
              <w:bottom w:val="single" w:sz="8" w:color="auto"/>
            </w:tcBorders>
          </w:tcPr>
          <w:p>
            <w:pPr>
              <w:spacing w:after="0"/>
              <w:rPr>
                <w:sz w:val="19"/>
                <w:szCs w:val="19"/>
                <w:color w:val="auto"/>
              </w:rPr>
            </w:pPr>
          </w:p>
        </w:tc>
        <w:tc>
          <w:tcPr>
            <w:tcW w:w="2680" w:type="dxa"/>
            <w:vAlign w:val="bottom"/>
            <w:vMerge w:val="continue"/>
          </w:tcPr>
          <w:p>
            <w:pPr>
              <w:spacing w:after="0"/>
              <w:rPr>
                <w:sz w:val="19"/>
                <w:szCs w:val="19"/>
                <w:color w:val="auto"/>
              </w:rPr>
            </w:pPr>
          </w:p>
        </w:tc>
        <w:tc>
          <w:tcPr>
            <w:tcW w:w="4120" w:type="dxa"/>
            <w:vAlign w:val="bottom"/>
            <w:tcBorders>
              <w:top w:val="single" w:sz="8" w:color="auto"/>
              <w:bottom w:val="single" w:sz="8" w:color="auto"/>
            </w:tcBorders>
          </w:tcPr>
          <w:p>
            <w:pPr>
              <w:spacing w:after="0" w:line="223" w:lineRule="exact"/>
              <w:rPr>
                <w:sz w:val="20"/>
                <w:szCs w:val="20"/>
                <w:color w:val="auto"/>
              </w:rPr>
            </w:pPr>
            <w:r>
              <w:rPr>
                <w:rFonts w:ascii="Arial" w:cs="Arial" w:eastAsia="Arial" w:hAnsi="Arial"/>
                <w:sz w:val="20"/>
                <w:szCs w:val="20"/>
                <w:color w:val="auto"/>
              </w:rPr>
              <w:t>Daphne Taylor</w:t>
            </w:r>
          </w:p>
        </w:tc>
        <w:tc>
          <w:tcPr>
            <w:tcW w:w="0" w:type="dxa"/>
            <w:vAlign w:val="bottom"/>
          </w:tcPr>
          <w:p>
            <w:pPr>
              <w:spacing w:after="0"/>
              <w:rPr>
                <w:sz w:val="1"/>
                <w:szCs w:val="1"/>
                <w:color w:val="auto"/>
              </w:rPr>
            </w:pPr>
          </w:p>
        </w:tc>
      </w:tr>
      <w:tr>
        <w:trPr>
          <w:trHeight w:val="223"/>
        </w:trPr>
        <w:tc>
          <w:tcPr>
            <w:tcW w:w="820" w:type="dxa"/>
            <w:vAlign w:val="bottom"/>
          </w:tcPr>
          <w:p>
            <w:pPr>
              <w:spacing w:after="0" w:line="223" w:lineRule="exact"/>
              <w:rPr>
                <w:sz w:val="20"/>
                <w:szCs w:val="20"/>
                <w:color w:val="auto"/>
              </w:rPr>
            </w:pPr>
            <w:r>
              <w:rPr>
                <w:rFonts w:ascii="Arial" w:cs="Arial" w:eastAsia="Arial" w:hAnsi="Arial"/>
                <w:sz w:val="20"/>
                <w:szCs w:val="20"/>
                <w:color w:val="auto"/>
              </w:rPr>
              <w:t>Its:</w:t>
            </w:r>
          </w:p>
        </w:tc>
        <w:tc>
          <w:tcPr>
            <w:tcW w:w="220" w:type="dxa"/>
            <w:vAlign w:val="bottom"/>
          </w:tcPr>
          <w:p>
            <w:pPr>
              <w:spacing w:after="0"/>
              <w:rPr>
                <w:sz w:val="19"/>
                <w:szCs w:val="19"/>
                <w:color w:val="auto"/>
              </w:rPr>
            </w:pPr>
          </w:p>
        </w:tc>
        <w:tc>
          <w:tcPr>
            <w:tcW w:w="242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Manager</w:t>
            </w:r>
          </w:p>
        </w:tc>
        <w:tc>
          <w:tcPr>
            <w:tcW w:w="980" w:type="dxa"/>
            <w:vAlign w:val="bottom"/>
            <w:tcBorders>
              <w:bottom w:val="single" w:sz="8" w:color="auto"/>
            </w:tcBorders>
          </w:tcPr>
          <w:p>
            <w:pPr>
              <w:spacing w:after="0"/>
              <w:rPr>
                <w:sz w:val="19"/>
                <w:szCs w:val="19"/>
                <w:color w:val="auto"/>
              </w:rPr>
            </w:pPr>
          </w:p>
        </w:tc>
        <w:tc>
          <w:tcPr>
            <w:tcW w:w="2680" w:type="dxa"/>
            <w:vAlign w:val="bottom"/>
          </w:tcPr>
          <w:p>
            <w:pPr>
              <w:ind w:left="1640"/>
              <w:spacing w:after="0" w:line="223" w:lineRule="exact"/>
              <w:rPr>
                <w:sz w:val="20"/>
                <w:szCs w:val="20"/>
                <w:color w:val="auto"/>
              </w:rPr>
            </w:pPr>
            <w:r>
              <w:rPr>
                <w:rFonts w:ascii="Arial" w:cs="Arial" w:eastAsia="Arial" w:hAnsi="Arial"/>
                <w:sz w:val="20"/>
                <w:szCs w:val="20"/>
                <w:color w:val="auto"/>
              </w:rPr>
              <w:t>Its:</w:t>
            </w:r>
          </w:p>
        </w:tc>
        <w:tc>
          <w:tcPr>
            <w:tcW w:w="412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VP, Finance</w:t>
            </w:r>
          </w:p>
        </w:tc>
        <w:tc>
          <w:tcPr>
            <w:tcW w:w="0" w:type="dxa"/>
            <w:vAlign w:val="bottom"/>
          </w:tcPr>
          <w:p>
            <w:pPr>
              <w:spacing w:after="0"/>
              <w:rPr>
                <w:sz w:val="1"/>
                <w:szCs w:val="1"/>
                <w:color w:val="auto"/>
              </w:rPr>
            </w:pPr>
          </w:p>
        </w:tc>
      </w:tr>
      <w:tr>
        <w:trPr>
          <w:trHeight w:val="223"/>
        </w:trPr>
        <w:tc>
          <w:tcPr>
            <w:tcW w:w="820" w:type="dxa"/>
            <w:vAlign w:val="bottom"/>
          </w:tcPr>
          <w:p>
            <w:pPr>
              <w:spacing w:after="0" w:line="223" w:lineRule="exact"/>
              <w:rPr>
                <w:sz w:val="20"/>
                <w:szCs w:val="20"/>
                <w:color w:val="auto"/>
              </w:rPr>
            </w:pPr>
            <w:r>
              <w:rPr>
                <w:rFonts w:ascii="Arial" w:cs="Arial" w:eastAsia="Arial" w:hAnsi="Arial"/>
                <w:sz w:val="20"/>
                <w:szCs w:val="20"/>
                <w:color w:val="auto"/>
              </w:rPr>
              <w:t>Dated:</w:t>
            </w:r>
          </w:p>
        </w:tc>
        <w:tc>
          <w:tcPr>
            <w:tcW w:w="220" w:type="dxa"/>
            <w:vAlign w:val="bottom"/>
          </w:tcPr>
          <w:p>
            <w:pPr>
              <w:spacing w:after="0"/>
              <w:rPr>
                <w:sz w:val="19"/>
                <w:szCs w:val="19"/>
                <w:color w:val="auto"/>
              </w:rPr>
            </w:pPr>
          </w:p>
        </w:tc>
        <w:tc>
          <w:tcPr>
            <w:tcW w:w="242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5/26/2022</w:t>
            </w:r>
          </w:p>
        </w:tc>
        <w:tc>
          <w:tcPr>
            <w:tcW w:w="980" w:type="dxa"/>
            <w:vAlign w:val="bottom"/>
            <w:tcBorders>
              <w:bottom w:val="single" w:sz="8" w:color="auto"/>
            </w:tcBorders>
          </w:tcPr>
          <w:p>
            <w:pPr>
              <w:spacing w:after="0"/>
              <w:rPr>
                <w:sz w:val="19"/>
                <w:szCs w:val="19"/>
                <w:color w:val="auto"/>
              </w:rPr>
            </w:pPr>
          </w:p>
        </w:tc>
        <w:tc>
          <w:tcPr>
            <w:tcW w:w="2680" w:type="dxa"/>
            <w:vAlign w:val="bottom"/>
          </w:tcPr>
          <w:p>
            <w:pPr>
              <w:ind w:left="1640"/>
              <w:spacing w:after="0" w:line="223" w:lineRule="exact"/>
              <w:rPr>
                <w:sz w:val="20"/>
                <w:szCs w:val="20"/>
                <w:color w:val="auto"/>
              </w:rPr>
            </w:pPr>
            <w:r>
              <w:rPr>
                <w:rFonts w:ascii="Arial" w:cs="Arial" w:eastAsia="Arial" w:hAnsi="Arial"/>
                <w:sz w:val="20"/>
                <w:szCs w:val="20"/>
                <w:color w:val="auto"/>
              </w:rPr>
              <w:t>Dated:</w:t>
            </w:r>
          </w:p>
        </w:tc>
        <w:tc>
          <w:tcPr>
            <w:tcW w:w="412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5/26/2022</w:t>
            </w:r>
          </w:p>
        </w:tc>
        <w:tc>
          <w:tcPr>
            <w:tcW w:w="0" w:type="dxa"/>
            <w:vAlign w:val="bottom"/>
          </w:tcPr>
          <w:p>
            <w:pPr>
              <w:spacing w:after="0"/>
              <w:rPr>
                <w:sz w:val="1"/>
                <w:szCs w:val="1"/>
                <w:color w:val="auto"/>
              </w:rPr>
            </w:pPr>
          </w:p>
        </w:tc>
      </w:tr>
    </w:tbl>
    <w:p>
      <w:pPr>
        <w:sectPr>
          <w:pgSz w:w="11900" w:h="16838" w:orient="portrait"/>
          <w:cols w:equalWidth="0" w:num="1">
            <w:col w:w="11240"/>
          </w:cols>
          <w:pgMar w:left="320" w:top="590"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Marvin White, certify that:</w:t>
      </w:r>
    </w:p>
    <w:p>
      <w:pPr>
        <w:spacing w:after="0" w:line="225" w:lineRule="exact"/>
        <w:rPr>
          <w:sz w:val="20"/>
          <w:szCs w:val="20"/>
          <w:color w:val="auto"/>
        </w:rPr>
      </w:pPr>
    </w:p>
    <w:p>
      <w:pPr>
        <w:ind w:left="500" w:hanging="492"/>
        <w:spacing w:after="0"/>
        <w:tabs>
          <w:tab w:leader="none" w:pos="5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Aptevo Therapeutics Inc.;</w:t>
      </w:r>
    </w:p>
    <w:p>
      <w:pPr>
        <w:spacing w:after="0" w:line="225" w:lineRule="exact"/>
        <w:rPr>
          <w:rFonts w:ascii="Times New Roman" w:cs="Times New Roman" w:eastAsia="Times New Roman" w:hAnsi="Times New Roman"/>
          <w:sz w:val="18"/>
          <w:szCs w:val="18"/>
          <w:color w:val="auto"/>
        </w:rPr>
      </w:pPr>
    </w:p>
    <w:p>
      <w:pPr>
        <w:jc w:val="both"/>
        <w:ind w:left="500" w:right="260" w:hanging="492"/>
        <w:spacing w:after="0" w:line="266" w:lineRule="auto"/>
        <w:tabs>
          <w:tab w:leader="none" w:pos="5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20" w:hanging="492"/>
        <w:spacing w:after="0" w:line="282" w:lineRule="auto"/>
        <w:tabs>
          <w:tab w:leader="none" w:pos="5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right="260" w:hanging="492"/>
        <w:spacing w:after="0" w:line="266" w:lineRule="auto"/>
        <w:tabs>
          <w:tab w:leader="none" w:pos="5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00" w:right="20" w:hanging="493"/>
        <w:spacing w:after="0" w:line="266" w:lineRule="auto"/>
        <w:tabs>
          <w:tab w:leader="none" w:pos="10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00" w:right="340" w:hanging="493"/>
        <w:spacing w:after="0" w:line="266" w:lineRule="auto"/>
        <w:tabs>
          <w:tab w:leader="none" w:pos="10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00" w:right="500" w:hanging="493"/>
        <w:spacing w:after="0" w:line="282" w:lineRule="auto"/>
        <w:tabs>
          <w:tab w:leader="none" w:pos="10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00" w:right="60" w:hanging="493"/>
        <w:spacing w:after="0" w:line="266" w:lineRule="auto"/>
        <w:tabs>
          <w:tab w:leader="none" w:pos="10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00" w:right="740" w:hanging="493"/>
        <w:spacing w:after="0" w:line="282" w:lineRule="auto"/>
        <w:tabs>
          <w:tab w:leader="none" w:pos="10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00" w:right="460" w:hanging="493"/>
        <w:spacing w:after="0" w:line="282" w:lineRule="auto"/>
        <w:tabs>
          <w:tab w:leader="none" w:pos="10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tabs>
          <w:tab w:leader="none" w:pos="5620" w:val="left"/>
          <w:tab w:leader="none" w:pos="7960" w:val="left"/>
        </w:tabs>
        <w:rPr>
          <w:sz w:val="20"/>
          <w:szCs w:val="20"/>
          <w:color w:val="auto"/>
        </w:rPr>
      </w:pPr>
      <w:r>
        <w:rPr>
          <w:rFonts w:ascii="Times New Roman" w:cs="Times New Roman" w:eastAsia="Times New Roman" w:hAnsi="Times New Roman"/>
          <w:sz w:val="18"/>
          <w:szCs w:val="18"/>
          <w:color w:val="auto"/>
        </w:rPr>
        <w:t>Date: August 11,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b w:val="1"/>
          <w:bCs w:val="1"/>
          <w:color w:val="auto"/>
        </w:rPr>
        <w:t>Marvin White</w:t>
      </w:r>
    </w:p>
    <w:p>
      <w:pPr>
        <w:spacing w:after="0" w:line="31"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ectPr>
          <w:pgSz w:w="11900" w:h="16838" w:orient="portrait"/>
          <w:cols w:equalWidth="0" w:num="1">
            <w:col w:w="11240"/>
          </w:cols>
          <w:pgMar w:left="320" w:top="117"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 Lamothe, certify that:</w:t>
      </w:r>
    </w:p>
    <w:p>
      <w:pPr>
        <w:spacing w:after="0" w:line="225" w:lineRule="exact"/>
        <w:rPr>
          <w:sz w:val="20"/>
          <w:szCs w:val="20"/>
          <w:color w:val="auto"/>
        </w:rPr>
      </w:pPr>
    </w:p>
    <w:p>
      <w:pPr>
        <w:ind w:left="500" w:hanging="492"/>
        <w:spacing w:after="0"/>
        <w:tabs>
          <w:tab w:leader="none" w:pos="5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Aptevo Therapeutics Inc.;</w:t>
      </w:r>
    </w:p>
    <w:p>
      <w:pPr>
        <w:spacing w:after="0" w:line="225" w:lineRule="exact"/>
        <w:rPr>
          <w:rFonts w:ascii="Times New Roman" w:cs="Times New Roman" w:eastAsia="Times New Roman" w:hAnsi="Times New Roman"/>
          <w:sz w:val="18"/>
          <w:szCs w:val="18"/>
          <w:color w:val="auto"/>
        </w:rPr>
      </w:pPr>
    </w:p>
    <w:p>
      <w:pPr>
        <w:jc w:val="both"/>
        <w:ind w:left="500" w:right="260" w:hanging="492"/>
        <w:spacing w:after="0" w:line="266" w:lineRule="auto"/>
        <w:tabs>
          <w:tab w:leader="none" w:pos="5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20" w:hanging="492"/>
        <w:spacing w:after="0" w:line="282" w:lineRule="auto"/>
        <w:tabs>
          <w:tab w:leader="none" w:pos="5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right="260" w:hanging="492"/>
        <w:spacing w:after="0" w:line="266" w:lineRule="auto"/>
        <w:tabs>
          <w:tab w:leader="none" w:pos="5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00" w:right="20" w:hanging="493"/>
        <w:spacing w:after="0" w:line="266" w:lineRule="auto"/>
        <w:tabs>
          <w:tab w:leader="none" w:pos="10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00" w:right="340" w:hanging="493"/>
        <w:spacing w:after="0" w:line="266" w:lineRule="auto"/>
        <w:tabs>
          <w:tab w:leader="none" w:pos="10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00" w:right="500" w:hanging="493"/>
        <w:spacing w:after="0" w:line="282" w:lineRule="auto"/>
        <w:tabs>
          <w:tab w:leader="none" w:pos="10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00" w:right="60" w:hanging="493"/>
        <w:spacing w:after="0" w:line="266" w:lineRule="auto"/>
        <w:tabs>
          <w:tab w:leader="none" w:pos="10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00" w:right="740" w:hanging="493"/>
        <w:spacing w:after="0" w:line="282" w:lineRule="auto"/>
        <w:tabs>
          <w:tab w:leader="none" w:pos="10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00" w:right="460" w:hanging="493"/>
        <w:spacing w:after="0" w:line="282" w:lineRule="auto"/>
        <w:tabs>
          <w:tab w:leader="none" w:pos="10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tabs>
          <w:tab w:leader="none" w:pos="5620" w:val="left"/>
          <w:tab w:leader="none" w:pos="8000" w:val="left"/>
        </w:tabs>
        <w:rPr>
          <w:sz w:val="20"/>
          <w:szCs w:val="20"/>
          <w:color w:val="auto"/>
        </w:rPr>
      </w:pPr>
      <w:r>
        <w:rPr>
          <w:rFonts w:ascii="Times New Roman" w:cs="Times New Roman" w:eastAsia="Times New Roman" w:hAnsi="Times New Roman"/>
          <w:sz w:val="18"/>
          <w:szCs w:val="18"/>
          <w:color w:val="auto"/>
        </w:rPr>
        <w:t>Date: August 11,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Jeff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b w:val="1"/>
          <w:bCs w:val="1"/>
          <w:color w:val="auto"/>
        </w:rPr>
        <w:t>Jeff Lamothe</w:t>
      </w:r>
    </w:p>
    <w:p>
      <w:pPr>
        <w:spacing w:after="0" w:line="31"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b w:val="1"/>
          <w:bCs w:val="1"/>
          <w:color w:val="auto"/>
        </w:rPr>
        <w:t>Executive Vice President and Chief Financial Officer</w:t>
      </w:r>
    </w:p>
    <w:p>
      <w:pPr>
        <w:sectPr>
          <w:pgSz w:w="11900" w:h="16838" w:orient="portrait"/>
          <w:cols w:equalWidth="0" w:num="1">
            <w:col w:w="11240"/>
          </w:cols>
          <w:pgMar w:left="320" w:top="117"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13a-14(b) OF THE SECURITIES EXCHANGE ACT OF 1934, AS AMENDED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40" w:firstLine="51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Aptevo Therapeutics Inc. on Form 10-Q for the period ending June 30, 2022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000" w:hanging="493"/>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00" w:right="640" w:hanging="493"/>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75" w:lineRule="exact"/>
        <w:rPr>
          <w:sz w:val="20"/>
          <w:szCs w:val="20"/>
          <w:color w:val="auto"/>
        </w:rPr>
      </w:pPr>
    </w:p>
    <w:p>
      <w:pPr>
        <w:spacing w:after="0"/>
        <w:tabs>
          <w:tab w:leader="none" w:pos="6680" w:val="left"/>
          <w:tab w:leader="none" w:pos="8480" w:val="left"/>
        </w:tabs>
        <w:rPr>
          <w:sz w:val="20"/>
          <w:szCs w:val="20"/>
          <w:color w:val="auto"/>
        </w:rPr>
      </w:pPr>
      <w:r>
        <w:rPr>
          <w:rFonts w:ascii="Times New Roman" w:cs="Times New Roman" w:eastAsia="Times New Roman" w:hAnsi="Times New Roman"/>
          <w:sz w:val="18"/>
          <w:szCs w:val="18"/>
          <w:color w:val="auto"/>
        </w:rPr>
        <w:t>Date: August 11,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17145</wp:posOffset>
            </wp:positionV>
            <wp:extent cx="27000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12"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8"/>
          <w:szCs w:val="18"/>
          <w:b w:val="1"/>
          <w:bCs w:val="1"/>
          <w:color w:val="auto"/>
        </w:rPr>
        <w:t>Marvin White</w:t>
      </w:r>
    </w:p>
    <w:p>
      <w:pPr>
        <w:spacing w:after="0" w:line="31"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61" w:lineRule="exact"/>
        <w:rPr>
          <w:sz w:val="20"/>
          <w:szCs w:val="20"/>
          <w:color w:val="auto"/>
        </w:rPr>
      </w:pPr>
    </w:p>
    <w:p>
      <w:pPr>
        <w:ind w:right="420"/>
        <w:spacing w:after="0" w:line="289" w:lineRule="auto"/>
        <w:rPr>
          <w:sz w:val="20"/>
          <w:szCs w:val="20"/>
          <w:color w:val="auto"/>
        </w:rPr>
      </w:pPr>
      <w:r>
        <w:rPr>
          <w:rFonts w:ascii="Times New Roman" w:cs="Times New Roman" w:eastAsia="Times New Roman" w:hAnsi="Times New Roman"/>
          <w:sz w:val="17"/>
          <w:szCs w:val="17"/>
          <w:color w:val="auto"/>
        </w:rPr>
        <w:t>“This certification accompanies the Form 10-Q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Form-K), irrespective of any general incorporation language contained in such filing.”</w:t>
      </w:r>
    </w:p>
    <w:p>
      <w:pPr>
        <w:sectPr>
          <w:pgSz w:w="11900" w:h="16838" w:orient="portrait"/>
          <w:cols w:equalWidth="0" w:num="1">
            <w:col w:w="11240"/>
          </w:cols>
          <w:pgMar w:left="320" w:top="117"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13a-14(b) OF THE SECURITIES EXCHANGE ACT OF 1934, AS AMENDED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51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Aptevo Inc. on Form 10-Q for the period ending June 30, 2022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000" w:hanging="493"/>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000" w:right="640" w:hanging="493"/>
        <w:spacing w:after="0" w:line="282"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75" w:lineRule="exact"/>
        <w:rPr>
          <w:sz w:val="20"/>
          <w:szCs w:val="20"/>
          <w:color w:val="auto"/>
        </w:rPr>
      </w:pPr>
    </w:p>
    <w:p>
      <w:pPr>
        <w:spacing w:after="0"/>
        <w:tabs>
          <w:tab w:leader="none" w:pos="6680" w:val="left"/>
          <w:tab w:leader="none" w:pos="8500" w:val="left"/>
        </w:tabs>
        <w:rPr>
          <w:sz w:val="20"/>
          <w:szCs w:val="20"/>
          <w:color w:val="auto"/>
        </w:rPr>
      </w:pPr>
      <w:r>
        <w:rPr>
          <w:rFonts w:ascii="Times New Roman" w:cs="Times New Roman" w:eastAsia="Times New Roman" w:hAnsi="Times New Roman"/>
          <w:sz w:val="18"/>
          <w:szCs w:val="18"/>
          <w:color w:val="auto"/>
        </w:rPr>
        <w:t>Date: August 11,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Jeff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17145</wp:posOffset>
            </wp:positionV>
            <wp:extent cx="27000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12"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8"/>
          <w:szCs w:val="18"/>
          <w:b w:val="1"/>
          <w:bCs w:val="1"/>
          <w:color w:val="auto"/>
        </w:rPr>
        <w:t>Jeff Lamothe</w:t>
      </w:r>
    </w:p>
    <w:p>
      <w:pPr>
        <w:spacing w:after="0" w:line="31"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8"/>
          <w:szCs w:val="18"/>
          <w:b w:val="1"/>
          <w:bCs w:val="1"/>
          <w:color w:val="auto"/>
        </w:rPr>
        <w:t>Executive Vice President and Chief Financial Officer</w:t>
      </w:r>
    </w:p>
    <w:p>
      <w:pPr>
        <w:spacing w:after="0" w:line="261" w:lineRule="exact"/>
        <w:rPr>
          <w:sz w:val="20"/>
          <w:szCs w:val="20"/>
          <w:color w:val="auto"/>
        </w:rPr>
      </w:pPr>
    </w:p>
    <w:p>
      <w:pPr>
        <w:ind w:right="420"/>
        <w:spacing w:after="0" w:line="289" w:lineRule="auto"/>
        <w:rPr>
          <w:sz w:val="20"/>
          <w:szCs w:val="20"/>
          <w:color w:val="auto"/>
        </w:rPr>
      </w:pPr>
      <w:r>
        <w:rPr>
          <w:rFonts w:ascii="Times New Roman" w:cs="Times New Roman" w:eastAsia="Times New Roman" w:hAnsi="Times New Roman"/>
          <w:sz w:val="17"/>
          <w:szCs w:val="17"/>
          <w:color w:val="auto"/>
        </w:rPr>
        <w:t>“This certification accompanies the Form 10-Q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Form-K), irrespective of any general incorporation language contained in such filing.”</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1."/>
      <w:numFmt w:val="decimal"/>
      <w:start w:val="3"/>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lvl w:ilvl="1">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1."/>
      <w:numFmt w:val="decimal"/>
      <w:start w:val="1"/>
    </w:lvl>
  </w:abstractNum>
  <w:abstractNum w:abstractNumId="30">
    <w:nsid w:val="2D517796"/>
    <w:multiLevelType w:val="hybridMultilevel"/>
    <w:lvl w:ilvl="0">
      <w:lvlJc w:val="left"/>
      <w:lvlText w:val="(%1)"/>
      <w:numFmt w:val="lowerLetter"/>
      <w:start w:val="1"/>
    </w:lvl>
  </w:abstractNum>
  <w:abstractNum w:abstractNumId="31">
    <w:nsid w:val="580BD78F"/>
    <w:multiLevelType w:val="hybridMultilevel"/>
    <w:lvl w:ilvl="0">
      <w:lvlJc w:val="left"/>
      <w:lvlText w:val="%1."/>
      <w:numFmt w:val="decimal"/>
      <w:start w:val="2"/>
    </w:lvl>
  </w:abstractNum>
  <w:abstractNum w:abstractNumId="32">
    <w:nsid w:val="153EA438"/>
    <w:multiLevelType w:val="hybridMultilevel"/>
    <w:lvl w:ilvl="0">
      <w:lvlJc w:val="left"/>
      <w:lvlText w:val="%1."/>
      <w:numFmt w:val="decimal"/>
      <w:start w:val="3"/>
    </w:lvl>
  </w:abstractNum>
  <w:abstractNum w:abstractNumId="33">
    <w:nsid w:val="3855585C"/>
    <w:multiLevelType w:val="hybridMultilevel"/>
    <w:lvl w:ilvl="0">
      <w:lvlJc w:val="left"/>
      <w:lvlText w:val="%1."/>
      <w:numFmt w:val="decimal"/>
      <w:start w:val="4"/>
    </w:lvl>
  </w:abstractNum>
  <w:abstractNum w:abstractNumId="34">
    <w:nsid w:val="70A64E2A"/>
    <w:multiLevelType w:val="hybridMultilevel"/>
    <w:lvl w:ilvl="0">
      <w:lvlJc w:val="left"/>
      <w:lvlText w:val="%1."/>
      <w:numFmt w:val="upperLetter"/>
      <w:start w:val="1"/>
    </w:lvl>
  </w:abstractNum>
  <w:abstractNum w:abstractNumId="35">
    <w:nsid w:val="6A2342EC"/>
    <w:multiLevelType w:val="hybridMultilevel"/>
    <w:lvl w:ilvl="0">
      <w:lvlJc w:val="left"/>
      <w:lvlText w:val="%1."/>
      <w:numFmt w:val="upperLetter"/>
      <w:start w:val="6"/>
    </w:lvl>
  </w:abstractNum>
  <w:abstractNum w:abstractNumId="36">
    <w:nsid w:val="2A487CB0"/>
    <w:multiLevelType w:val="hybridMultilevel"/>
    <w:lvl w:ilvl="0">
      <w:lvlJc w:val="left"/>
      <w:lvlText w:val="%1."/>
      <w:numFmt w:val="decimal"/>
      <w:start w:val="1"/>
    </w:lvl>
    <w:lvl w:ilvl="1">
      <w:lvlJc w:val="left"/>
      <w:lvlText w:val="(%2)"/>
      <w:numFmt w:val="lowerLetter"/>
      <w:start w:val="1"/>
    </w:lvl>
  </w:abstractNum>
  <w:abstractNum w:abstractNumId="37">
    <w:nsid w:val="1D4ED43B"/>
    <w:multiLevelType w:val="hybridMultilevel"/>
    <w:lvl w:ilvl="0">
      <w:lvlJc w:val="left"/>
      <w:lvlText w:val="(%1)"/>
      <w:numFmt w:val="lowerLetter"/>
      <w:start w:val="2"/>
    </w:lvl>
  </w:abstractNum>
  <w:abstractNum w:abstractNumId="38">
    <w:nsid w:val="725A06FB"/>
    <w:multiLevelType w:val="hybridMultilevel"/>
    <w:lvl w:ilvl="0">
      <w:lvlJc w:val="left"/>
      <w:lvlText w:val="%1."/>
      <w:numFmt w:val="decimal"/>
      <w:start w:val="4"/>
    </w:lvl>
    <w:lvl w:ilvl="1">
      <w:lvlJc w:val="left"/>
      <w:lvlText w:val="(%2)"/>
      <w:numFmt w:val="lowerLetter"/>
      <w:start w:val="1"/>
    </w:lvl>
  </w:abstractNum>
  <w:abstractNum w:abstractNumId="39">
    <w:nsid w:val="2CD89A32"/>
    <w:multiLevelType w:val="hybridMultilevel"/>
    <w:lvl w:ilvl="0">
      <w:lvlJc w:val="left"/>
      <w:lvlText w:val="%1."/>
      <w:numFmt w:val="decimal"/>
      <w:start w:val="5"/>
    </w:lvl>
    <w:lvl w:ilvl="1">
      <w:lvlJc w:val="left"/>
      <w:lvlText w:val="(%2)"/>
      <w:numFmt w:val="lowerLetter"/>
      <w:start w:val="1"/>
    </w:lvl>
  </w:abstractNum>
  <w:abstractNum w:abstractNumId="40">
    <w:nsid w:val="57E4CCAF"/>
    <w:multiLevelType w:val="hybridMultilevel"/>
    <w:lvl w:ilvl="0">
      <w:lvlJc w:val="left"/>
      <w:lvlText w:val="%1."/>
      <w:numFmt w:val="decimal"/>
      <w:start w:val="8"/>
    </w:lvl>
    <w:lvl w:ilvl="1">
      <w:lvlJc w:val="left"/>
      <w:lvlText w:val="(%2)"/>
      <w:numFmt w:val="lowerLetter"/>
      <w:start w:val="1"/>
    </w:lvl>
  </w:abstractNum>
  <w:abstractNum w:abstractNumId="41">
    <w:nsid w:val="7A6D8D3C"/>
    <w:multiLevelType w:val="hybridMultilevel"/>
    <w:lvl w:ilvl="0">
      <w:lvlJc w:val="left"/>
      <w:lvlText w:val="(%1)"/>
      <w:numFmt w:val="lowerLetter"/>
      <w:start w:val="5"/>
    </w:lvl>
  </w:abstractNum>
  <w:abstractNum w:abstractNumId="42">
    <w:nsid w:val="4B588F54"/>
    <w:multiLevelType w:val="hybridMultilevel"/>
    <w:lvl w:ilvl="0">
      <w:lvlJc w:val="left"/>
      <w:lvlText w:val="%1."/>
      <w:numFmt w:val="upperLetter"/>
      <w:start w:val="1"/>
    </w:lvl>
  </w:abstractNum>
  <w:abstractNum w:abstractNumId="43">
    <w:nsid w:val="542289EC"/>
    <w:multiLevelType w:val="hybridMultilevel"/>
    <w:lvl w:ilvl="0">
      <w:lvlJc w:val="left"/>
      <w:lvlText w:val="%1."/>
      <w:numFmt w:val="decimal"/>
      <w:start w:val="1"/>
    </w:lvl>
  </w:abstractNum>
  <w:abstractNum w:abstractNumId="44">
    <w:nsid w:val="6DE91B18"/>
    <w:multiLevelType w:val="hybridMultilevel"/>
    <w:lvl w:ilvl="0">
      <w:lvlJc w:val="left"/>
      <w:lvlText w:val="(%1)"/>
      <w:numFmt w:val="decimal"/>
      <w:start w:val="6"/>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2022-08-11T07:36:53Z</dcterms:created>
  <dcterms:modified xsi:type="dcterms:W3CDTF">2022-08-11T07:36:53Z</dcterms:modified>
</cp:coreProperties>
</file>