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3832225</wp:posOffset>
            </wp:positionH>
            <wp:positionV relativeFrom="paragraph">
              <wp:posOffset>-7620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3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81-1567056</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140" w:space="720"/>
            <w:col w:w="3380"/>
          </w:cols>
          <w:pgMar w:left="320" w:top="503" w:right="339" w:bottom="1440" w:gutter="0" w:footer="0" w:header="0"/>
          <w:type w:val="continuous"/>
        </w:sectPr>
      </w:pPr>
    </w:p>
    <w:p>
      <w:pPr>
        <w:ind w:left="1780"/>
        <w:spacing w:after="0"/>
        <w:rPr>
          <w:sz w:val="20"/>
          <w:szCs w:val="20"/>
          <w:color w:val="auto"/>
        </w:rPr>
      </w:pPr>
      <w:r>
        <w:rPr>
          <w:rFonts w:ascii="Arial" w:cs="Arial" w:eastAsia="Arial" w:hAnsi="Arial"/>
          <w:sz w:val="18"/>
          <w:szCs w:val="18"/>
          <w:b w:val="1"/>
          <w:bCs w:val="1"/>
          <w:color w:val="auto"/>
        </w:rPr>
        <w:t>2401 4</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Avenue, Suite 1050</w:t>
      </w:r>
    </w:p>
    <w:p>
      <w:pPr>
        <w:ind w:left="2060"/>
        <w:spacing w:after="0"/>
        <w:tabs>
          <w:tab w:leader="none" w:pos="8180" w:val="left"/>
        </w:tabs>
        <w:rPr>
          <w:sz w:val="20"/>
          <w:szCs w:val="20"/>
          <w:color w:val="auto"/>
        </w:rPr>
      </w:pPr>
      <w:r>
        <w:rPr>
          <w:rFonts w:ascii="Arial" w:cs="Arial" w:eastAsia="Arial" w:hAnsi="Arial"/>
          <w:sz w:val="18"/>
          <w:szCs w:val="18"/>
          <w:b w:val="1"/>
          <w:bCs w:val="1"/>
          <w:color w:val="auto"/>
        </w:rPr>
        <w:t>Seattle, Washington</w:t>
      </w:r>
      <w:r>
        <w:rPr>
          <w:sz w:val="20"/>
          <w:szCs w:val="20"/>
          <w:color w:val="auto"/>
        </w:rPr>
        <w:tab/>
      </w:r>
      <w:r>
        <w:rPr>
          <w:rFonts w:ascii="Arial" w:cs="Arial" w:eastAsia="Arial" w:hAnsi="Arial"/>
          <w:sz w:val="16"/>
          <w:szCs w:val="16"/>
          <w:b w:val="1"/>
          <w:bCs w:val="1"/>
          <w:color w:val="auto"/>
        </w:rPr>
        <w:t>98121</w:t>
      </w:r>
    </w:p>
    <w:p>
      <w:pPr>
        <w:spacing w:after="0" w:line="12"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p>
      <w:pPr>
        <w:ind w:left="1280"/>
        <w:spacing w:after="0"/>
        <w:tabs>
          <w:tab w:leader="none" w:pos="5040" w:val="left"/>
          <w:tab w:leader="none" w:pos="78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Symbols(s)</w:t>
      </w:r>
      <w:r>
        <w:rPr>
          <w:sz w:val="20"/>
          <w:szCs w:val="20"/>
          <w:color w:val="auto"/>
        </w:rPr>
        <w:tab/>
      </w:r>
      <w:r>
        <w:rPr>
          <w:rFonts w:ascii="Arial" w:cs="Arial" w:eastAsia="Arial" w:hAnsi="Arial"/>
          <w:sz w:val="16"/>
          <w:szCs w:val="16"/>
          <w:b w:val="1"/>
          <w:bCs w:val="1"/>
          <w:color w:val="auto"/>
        </w:rPr>
        <w:t>Name of Exchange on Which Registered</w:t>
      </w:r>
    </w:p>
    <w:p>
      <w:pPr>
        <w:spacing w:after="0" w:line="36" w:lineRule="exact"/>
        <w:rPr>
          <w:sz w:val="24"/>
          <w:szCs w:val="24"/>
          <w:color w:val="auto"/>
        </w:rPr>
      </w:pPr>
    </w:p>
    <w:p>
      <w:pPr>
        <w:ind w:left="340"/>
        <w:spacing w:after="0"/>
        <w:tabs>
          <w:tab w:leader="none" w:pos="5540" w:val="left"/>
          <w:tab w:leader="none" w:pos="8200" w:val="left"/>
        </w:tabs>
        <w:rPr>
          <w:sz w:val="20"/>
          <w:szCs w:val="20"/>
          <w:color w:val="auto"/>
        </w:rPr>
      </w:pPr>
      <w:r>
        <w:rPr>
          <w:rFonts w:ascii="Arial" w:cs="Arial" w:eastAsia="Arial" w:hAnsi="Arial"/>
          <w:sz w:val="18"/>
          <w:szCs w:val="18"/>
          <w:b w:val="1"/>
          <w:bCs w:val="1"/>
          <w:color w:val="auto"/>
        </w:rPr>
        <w:t>Common Stock, $0.001 par value per share</w:t>
      </w:r>
      <w:r>
        <w:rPr>
          <w:sz w:val="20"/>
          <w:szCs w:val="20"/>
          <w:color w:val="auto"/>
        </w:rPr>
        <w:tab/>
      </w:r>
      <w:r>
        <w:rPr>
          <w:rFonts w:ascii="Arial" w:cs="Arial" w:eastAsia="Arial" w:hAnsi="Arial"/>
          <w:sz w:val="18"/>
          <w:szCs w:val="18"/>
          <w:b w:val="1"/>
          <w:bCs w:val="1"/>
          <w:color w:val="auto"/>
        </w:rPr>
        <w:t>APVO</w:t>
      </w:r>
      <w:r>
        <w:rPr>
          <w:sz w:val="20"/>
          <w:szCs w:val="20"/>
          <w:color w:val="auto"/>
        </w:rPr>
        <w:tab/>
      </w:r>
      <w:r>
        <w:rPr>
          <w:rFonts w:ascii="Arial" w:cs="Arial" w:eastAsia="Arial" w:hAnsi="Arial"/>
          <w:sz w:val="16"/>
          <w:szCs w:val="16"/>
          <w:b w:val="1"/>
          <w:bCs w:val="1"/>
          <w:color w:val="auto"/>
        </w:rPr>
        <w:t>The Nasdaq Stock Market LLC</w:t>
      </w:r>
    </w:p>
    <w:p>
      <w:pPr>
        <w:spacing w:after="0" w:line="27" w:lineRule="exact"/>
        <w:rPr>
          <w:sz w:val="24"/>
          <w:szCs w:val="24"/>
          <w:color w:val="auto"/>
        </w:rPr>
      </w:pPr>
    </w:p>
    <w:p>
      <w:pPr>
        <w:ind w:left="8300"/>
        <w:spacing w:after="0"/>
        <w:rPr>
          <w:sz w:val="20"/>
          <w:szCs w:val="20"/>
          <w:color w:val="auto"/>
        </w:rPr>
      </w:pPr>
      <w:r>
        <w:rPr>
          <w:rFonts w:ascii="Arial" w:cs="Arial" w:eastAsia="Arial" w:hAnsi="Arial"/>
          <w:sz w:val="18"/>
          <w:szCs w:val="18"/>
          <w:b w:val="1"/>
          <w:bCs w:val="1"/>
          <w:color w:val="auto"/>
        </w:rPr>
        <w:t>(The Nasdaq Capital Market)</w:t>
      </w:r>
    </w:p>
    <w:p>
      <w:pPr>
        <w:spacing w:after="0" w:line="76"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220"/>
        <w:spacing w:after="0" w:line="27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11, 2023, the number of shares of the registrant’s common stock outstanding was 7,290,121.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38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b w:val="1"/>
                <w:bCs w:val="1"/>
                <w:color w:val="0000FF"/>
              </w:rPr>
              <w:t>FINANCIAL INFORMATION</w:t>
            </w:r>
          </w:p>
        </w:tc>
        <w:tc>
          <w:tcPr>
            <w:tcW w:w="7100" w:type="dxa"/>
            <w:vAlign w:val="bottom"/>
            <w:gridSpan w:val="9"/>
          </w:tcPr>
          <w:p>
            <w:pPr>
              <w:spacing w:after="0"/>
              <w:rPr>
                <w:sz w:val="15"/>
                <w:szCs w:val="15"/>
                <w:color w:val="auto"/>
              </w:rPr>
            </w:pPr>
          </w:p>
        </w:tc>
        <w:tc>
          <w:tcPr>
            <w:tcW w:w="540" w:type="dxa"/>
            <w:vAlign w:val="bottom"/>
          </w:tcPr>
          <w:p>
            <w:pPr>
              <w:spacing w:after="0"/>
              <w:rPr>
                <w:sz w:val="15"/>
                <w:szCs w:val="15"/>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00" w:type="dxa"/>
            <w:vAlign w:val="bottom"/>
            <w:gridSpan w:val="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Controls and Procedures</w:t>
            </w:r>
          </w:p>
        </w:tc>
        <w:tc>
          <w:tcPr>
            <w:tcW w:w="7720" w:type="dxa"/>
            <w:vAlign w:val="bottom"/>
            <w:gridSpan w:val="12"/>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6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OTHER INFORMATION</w:t>
            </w:r>
          </w:p>
        </w:tc>
        <w:tc>
          <w:tcPr>
            <w:tcW w:w="746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19"/>
                <w:szCs w:val="19"/>
                <w:color w:val="auto"/>
              </w:rPr>
            </w:pPr>
          </w:p>
        </w:tc>
        <w:tc>
          <w:tcPr>
            <w:tcW w:w="8160" w:type="dxa"/>
            <w:vAlign w:val="bottom"/>
            <w:gridSpan w:val="1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140" w:type="dxa"/>
            <w:vAlign w:val="bottom"/>
            <w:gridSpan w:val="4"/>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7160" w:type="dxa"/>
            <w:vAlign w:val="bottom"/>
            <w:gridSpan w:val="10"/>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Mine Safety Disclosures</w:t>
            </w:r>
          </w:p>
        </w:tc>
        <w:tc>
          <w:tcPr>
            <w:tcW w:w="7720" w:type="dxa"/>
            <w:vAlign w:val="bottom"/>
            <w:gridSpan w:val="12"/>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8180" w:type="dxa"/>
            <w:vAlign w:val="bottom"/>
            <w:gridSpan w:val="14"/>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2022</w:t>
            </w:r>
          </w:p>
        </w:tc>
      </w:tr>
      <w:tr>
        <w:trPr>
          <w:trHeight w:val="237"/>
        </w:trPr>
        <w:tc>
          <w:tcPr>
            <w:tcW w:w="7640" w:type="dxa"/>
            <w:vAlign w:val="bottom"/>
            <w:shd w:val="clear" w:color="auto" w:fill="CFF0FC"/>
          </w:tcPr>
          <w:p>
            <w:pPr>
              <w:ind w:left="33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25,328</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Royalty and milestone receivable</w:t>
            </w:r>
          </w:p>
        </w:tc>
        <w:tc>
          <w:tcPr>
            <w:tcW w:w="20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34,969</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40" w:type="dxa"/>
            <w:vAlign w:val="bottom"/>
            <w:shd w:val="clear" w:color="auto" w:fill="CFF0FC"/>
          </w:tcPr>
          <w:p>
            <w:pPr>
              <w:ind w:left="17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other accrued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1,456</w:t>
            </w:r>
          </w:p>
        </w:tc>
        <w:tc>
          <w:tcPr>
            <w:tcW w:w="14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16,241</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issued or outstanding</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ind w:left="20"/>
              <w:spacing w:after="0"/>
              <w:rPr>
                <w:sz w:val="20"/>
                <w:szCs w:val="20"/>
                <w:color w:val="auto"/>
              </w:rPr>
            </w:pPr>
            <w:r>
              <w:rPr>
                <w:rFonts w:ascii="Arial" w:cs="Arial" w:eastAsia="Arial" w:hAnsi="Arial"/>
                <w:sz w:val="18"/>
                <w:szCs w:val="18"/>
                <w:color w:val="auto"/>
              </w:rPr>
              <w:t>Common stock: $0.001 par value; 500,000,000 shares authorized; 7,239,471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6,466,294 shares issued and outstanding at March 31, 2023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40" w:type="dxa"/>
            <w:vAlign w:val="bottom"/>
          </w:tcPr>
          <w:p>
            <w:pPr>
              <w:ind w:left="160"/>
              <w:spacing w:after="0"/>
              <w:rPr>
                <w:sz w:val="20"/>
                <w:szCs w:val="20"/>
                <w:color w:val="auto"/>
              </w:rPr>
            </w:pPr>
            <w:r>
              <w:rPr>
                <w:rFonts w:ascii="Arial" w:cs="Arial" w:eastAsia="Arial" w:hAnsi="Arial"/>
                <w:sz w:val="18"/>
                <w:szCs w:val="18"/>
                <w:color w:val="auto"/>
              </w:rPr>
              <w:t>December 31, 2022,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226,470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223,962</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(203,263 )</w:t>
            </w:r>
          </w:p>
        </w:tc>
        <w:tc>
          <w:tcPr>
            <w:tcW w:w="1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(206,036 )</w:t>
            </w:r>
          </w:p>
        </w:tc>
      </w:tr>
      <w:tr>
        <w:trPr>
          <w:trHeight w:val="23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34,969</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-3445510</wp:posOffset>
            </wp:positionV>
            <wp:extent cx="8572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-3445510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-1859915</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-1859915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40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For the Three Months Ended 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revenue</w:t>
            </w:r>
          </w:p>
        </w:tc>
        <w:tc>
          <w:tcPr>
            <w:tcW w:w="1380" w:type="dxa"/>
            <w:vAlign w:val="bottom"/>
            <w:shd w:val="clear" w:color="auto" w:fill="CFF0FC"/>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40" w:type="dxa"/>
            <w:vAlign w:val="bottom"/>
            <w:shd w:val="clear" w:color="auto" w:fill="CFF0FC"/>
          </w:tcPr>
          <w:p>
            <w:pPr>
              <w:spacing w:after="0"/>
              <w:rPr>
                <w:sz w:val="20"/>
                <w:szCs w:val="20"/>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(4,168 )</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(4,866 )</w:t>
            </w: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(3,588 )</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(3,859 )</w:t>
            </w:r>
          </w:p>
        </w:tc>
      </w:tr>
      <w:tr>
        <w:trPr>
          <w:trHeight w:val="23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3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62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from continuing operations, net</w:t>
            </w:r>
          </w:p>
        </w:tc>
        <w:tc>
          <w:tcPr>
            <w:tcW w:w="1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(2,264 )</w:t>
            </w: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Gain related to sale of non-financial asset</w:t>
            </w:r>
          </w:p>
        </w:tc>
        <w:tc>
          <w:tcPr>
            <w:tcW w:w="1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380" w:type="dxa"/>
            <w:vAlign w:val="bottom"/>
            <w:tcBorders>
              <w:top w:val="single" w:sz="8" w:color="auto"/>
              <w:bottom w:val="single" w:sz="8" w:color="auto"/>
            </w:tcBorders>
            <w:shd w:val="clear" w:color="auto" w:fill="CFF0FC"/>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ind w:right="11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Borders>
              <w:bottom w:val="single" w:sz="8" w:color="auto"/>
            </w:tcBorders>
            <w:shd w:val="clear" w:color="auto" w:fill="CFF0FC"/>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1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380" w:type="dxa"/>
            <w:vAlign w:val="bottom"/>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11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(7,697 )</w:t>
            </w:r>
          </w:p>
        </w:tc>
      </w:tr>
      <w:tr>
        <w:trPr>
          <w:trHeight w:val="20"/>
        </w:trPr>
        <w:tc>
          <w:tcPr>
            <w:tcW w:w="6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and diluted net income (loss) from continuing operations</w:t>
            </w:r>
          </w:p>
        </w:tc>
        <w:tc>
          <w:tcPr>
            <w:tcW w:w="1380" w:type="dxa"/>
            <w:vAlign w:val="bottom"/>
            <w:shd w:val="clear" w:color="auto" w:fill="CFF0FC"/>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1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(1.59 )</w:t>
            </w:r>
          </w:p>
        </w:tc>
      </w:tr>
      <w:tr>
        <w:trPr>
          <w:trHeight w:val="20"/>
        </w:trPr>
        <w:tc>
          <w:tcPr>
            <w:tcW w:w="6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Basic and diluted net income (loss)</w:t>
            </w:r>
          </w:p>
        </w:tc>
        <w:tc>
          <w:tcPr>
            <w:tcW w:w="1380" w:type="dxa"/>
            <w:vAlign w:val="bottom"/>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11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7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shares used to compute per share calculations</w:t>
            </w:r>
          </w:p>
        </w:tc>
        <w:tc>
          <w:tcPr>
            <w:tcW w:w="1380" w:type="dxa"/>
            <w:vAlign w:val="bottom"/>
            <w:tcBorders>
              <w:top w:val="single" w:sz="8" w:color="auto"/>
              <w:bottom w:val="single" w:sz="8" w:color="auto"/>
            </w:tcBorders>
            <w:shd w:val="clear" w:color="auto" w:fill="CFF0FC"/>
          </w:tcPr>
          <w:p>
            <w:pPr>
              <w:jc w:val="right"/>
              <w:ind w:right="119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7,022,292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ind w:right="11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4,937,456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-1953895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-1953895</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-1319530</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-1319530</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-1002030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-1002030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-350520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00" w:type="dxa"/>
            <w:vAlign w:val="bottom"/>
            <w:gridSpan w:val="6"/>
          </w:tcPr>
          <w:p>
            <w:pPr>
              <w:jc w:val="right"/>
              <w:ind w:right="49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2,773</w:t>
            </w:r>
          </w:p>
        </w:tc>
        <w:tc>
          <w:tcPr>
            <w:tcW w:w="3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(7,697 )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Royalty receivable</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(841 )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(909 )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(798 )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(163 )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(276 )</w:t>
            </w: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3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5"/>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of long-term debt, including fees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9"/>
              </w:rPr>
              <w:t>(3,467 )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(10,767 )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Repayments under liability related to sale of royalties</w:t>
            </w:r>
          </w:p>
        </w:tc>
        <w:tc>
          <w:tcPr>
            <w:tcW w:w="96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(3,665 )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Value of equity awards withheld for tax liability</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milestones related to sale of royalties</w:t>
            </w:r>
          </w:p>
        </w:tc>
        <w:tc>
          <w:tcPr>
            <w:tcW w:w="96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 costs for milestones related to sale of royalties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1,602</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2,693</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(10,053 )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22,635</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25,328</w:t>
            </w:r>
          </w:p>
        </w:tc>
        <w:tc>
          <w:tcPr>
            <w:tcW w:w="3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36,250</w:t>
            </w:r>
          </w:p>
        </w:tc>
        <w:tc>
          <w:tcPr>
            <w:tcW w:w="14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-2082165</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-2082165</wp:posOffset>
            </wp:positionV>
            <wp:extent cx="857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-1756410</wp:posOffset>
            </wp:positionV>
            <wp:extent cx="8572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-1756410</wp:posOffset>
            </wp:positionV>
            <wp:extent cx="8572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-505460</wp:posOffset>
            </wp:positionV>
            <wp:extent cx="8572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580" w:type="dxa"/>
            <w:vAlign w:val="bottom"/>
            <w:gridSpan w:val="3"/>
            <w:vMerge w:val="restart"/>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258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5"/>
                <w:szCs w:val="15"/>
                <w:color w:val="auto"/>
              </w:rPr>
            </w:pPr>
          </w:p>
        </w:tc>
        <w:tc>
          <w:tcPr>
            <w:tcW w:w="138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300" w:type="dxa"/>
            <w:vAlign w:val="bottom"/>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38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36"/>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6,466,294</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223,962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(206,036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8"/>
                <w:szCs w:val="18"/>
                <w:color w:val="auto"/>
              </w:rPr>
              <w:t>Common stock issued upon vesting of</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42,264</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issuances of commons stock</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730,913</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for the period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300" w:type="dxa"/>
            <w:vAlign w:val="bottom"/>
          </w:tcPr>
          <w:p>
            <w:pPr>
              <w:jc w:val="right"/>
              <w:spacing w:after="0"/>
              <w:rPr>
                <w:sz w:val="20"/>
                <w:szCs w:val="20"/>
                <w:color w:val="auto"/>
              </w:rPr>
            </w:pPr>
            <w:r>
              <w:rPr>
                <w:rFonts w:ascii="Arial" w:cs="Arial" w:eastAsia="Arial" w:hAnsi="Arial"/>
                <w:sz w:val="18"/>
                <w:szCs w:val="18"/>
                <w:color w:val="auto"/>
              </w:rPr>
              <w:t>7,239,471</w:t>
            </w:r>
          </w:p>
        </w:tc>
        <w:tc>
          <w:tcPr>
            <w:tcW w:w="30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226,470</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(203,263 )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580" w:type="dxa"/>
            <w:vAlign w:val="bottom"/>
          </w:tcPr>
          <w:p>
            <w:pPr>
              <w:spacing w:after="0"/>
              <w:rPr>
                <w:sz w:val="24"/>
                <w:szCs w:val="24"/>
                <w:color w:val="auto"/>
              </w:rPr>
            </w:pPr>
          </w:p>
        </w:tc>
        <w:tc>
          <w:tcPr>
            <w:tcW w:w="2580" w:type="dxa"/>
            <w:vAlign w:val="bottom"/>
            <w:gridSpan w:val="3"/>
            <w:vMerge w:val="restart"/>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258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5"/>
                <w:szCs w:val="15"/>
                <w:color w:val="auto"/>
              </w:rPr>
            </w:pPr>
          </w:p>
        </w:tc>
        <w:tc>
          <w:tcPr>
            <w:tcW w:w="138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300" w:type="dxa"/>
            <w:vAlign w:val="bottom"/>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38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4,898,143</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215,232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(214,063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8"/>
                <w:szCs w:val="18"/>
                <w:color w:val="auto"/>
              </w:rPr>
              <w:t>Common stock issued upon vesting of</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9,822</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2"/>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 shares issued pursuant to</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Lincoln Park Purchase Agreement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99,276</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for the period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(7,697 )</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(7,697 )</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300" w:type="dxa"/>
            <w:vAlign w:val="bottom"/>
          </w:tcPr>
          <w:p>
            <w:pPr>
              <w:jc w:val="right"/>
              <w:spacing w:after="0"/>
              <w:rPr>
                <w:sz w:val="20"/>
                <w:szCs w:val="20"/>
                <w:color w:val="auto"/>
              </w:rPr>
            </w:pPr>
            <w:r>
              <w:rPr>
                <w:rFonts w:ascii="Arial" w:cs="Arial" w:eastAsia="Arial" w:hAnsi="Arial"/>
                <w:sz w:val="18"/>
                <w:szCs w:val="18"/>
                <w:color w:val="auto"/>
              </w:rPr>
              <w:t>5,007,241</w:t>
            </w:r>
          </w:p>
        </w:tc>
        <w:tc>
          <w:tcPr>
            <w:tcW w:w="30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215,829</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(221,760 )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(5,884 )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-2700020</wp:posOffset>
            </wp:positionV>
            <wp:extent cx="8572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-2700020</wp:posOffset>
            </wp:positionV>
            <wp:extent cx="85725"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-2700020</wp:posOffset>
            </wp:positionV>
            <wp:extent cx="7747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-2700020</wp:posOffset>
            </wp:positionV>
            <wp:extent cx="85725"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-2700020</wp:posOffset>
            </wp:positionV>
            <wp:extent cx="8572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-1936750</wp:posOffset>
            </wp:positionV>
            <wp:extent cx="85725"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4546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-1936750</wp:posOffset>
            </wp:positionV>
            <wp:extent cx="85725" cy="6940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6940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-1936750</wp:posOffset>
            </wp:positionV>
            <wp:extent cx="77470" cy="694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6940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-1936750</wp:posOffset>
            </wp:positionV>
            <wp:extent cx="85725" cy="694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6940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-1936750</wp:posOffset>
            </wp:positionV>
            <wp:extent cx="85725" cy="694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6940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-1087755</wp:posOffset>
            </wp:positionV>
            <wp:extent cx="85725"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-1087755</wp:posOffset>
            </wp:positionV>
            <wp:extent cx="8572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-1087755</wp:posOffset>
            </wp:positionV>
            <wp:extent cx="7747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-1087755</wp:posOffset>
            </wp:positionV>
            <wp:extent cx="85725"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-187960</wp:posOffset>
            </wp:positionV>
            <wp:extent cx="85725"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-187960</wp:posOffset>
            </wp:positionV>
            <wp:extent cx="85725" cy="360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77470" cy="360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3600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85725" cy="360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3600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Our lead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months ended March 31, 2023, we had a net income of $2.8 million. We had an accumulated deficit of $203.3 million as of March 31, 2023. For the three months ended March 31, 2023, net cash provided by our operating activities was $4.6 million. We have suffered recurring losses from operations and negative cash flows from operating activities. We believe that our existing cash resources, milestone payments related to the Royalty Purchase Agreement with HealthCare Royalty Management, LLC (HCR), funds available under the Purchase Agreement with Lincoln Park Capital Fund, LLC (Lincoln Park) and the Equity Distribution Agreement with Piper Sandler &amp; Co (Piper Sandler), cash to be generated from future milestones related to IXINITY sales and regulatory approvals achieved by Medexus Pharmaceuticals, Inc. (Medexus), and contingent considerations to be received from Kamada Ltd. (previously Saol), will be sufficient to meet our projected operating requirements for at least twelve months from the date of issuance of these financial statements. We may choose to raise additional funds to support our operating and capital needs in the future.</w:t>
      </w:r>
    </w:p>
    <w:p>
      <w:pPr>
        <w:spacing w:after="0" w:line="7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expected milestones are received from Medexus with respect to IXINITY; (e) whether and to what extent future milestone payments are received under our Royalty Purchase Agreement; (f) macroeconomic conditions such as rising interest rates, inflation and costs; and (g) other items affecting our forecasted level of expenditures and use of cash resources. We may obtain additional funding through our existing equity Purchase Agreement with Lincoln Park or our Equity Distribution Agreement with Piper Sandler,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2022, and the notes thereto, which are included in the Company’s Annual Report on Form 10-K for the year ended December 31, 2022.</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subsidiary, Aptevo Research and Development LLC. All intercompany balances and transactions have been eliminated.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Gain Related to Sale of Nonfinancial Asset to XOMA (US) LLC</w:t>
      </w:r>
    </w:p>
    <w:p>
      <w:pPr>
        <w:spacing w:after="0" w:line="117"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7"/>
          <w:szCs w:val="17"/>
          <w:color w:val="auto"/>
        </w:rPr>
        <w:t>On March 29, 2023, we entered into and closed a payment interest purchase agreement (the “Purchase Agreement”) with XOMA (US) LLC (“XOMA”) pursuant to which we sold to XOMA our right, title and interest in all of the deferred payments and a portion of the milestone payments from Medexus pursuant to our LLC Purchase Agreement. Under the terms of the Purchase Agreement, we received $9.6 million at closing (the “Closing Payment”) and we were eligible to receive an additional post-closing payment of $0.05 million if the deferred payment with respect of net sales under our LLC Purchase Agreement with Medexus for the first calendar quarter of 2023 (“Q1 2023”) exceeded $0.5 million. In exchange for the Closing Payment, the Company sold to XOMA its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milestone payment upon receipt of a Notice of Compliance for IXINITY from Health Canada (the "Canadian Approval Milestone Payment"); and (iii) 50% of the milestone payments upon receipt of regulatory approval in each of Germany, France, the United Kingdom, Spain and Italy (the "European Approval Milestone Payments") and when the worldwide net sales of IXINITY for a fiscal year meet or exceed $120 million (the "Net Sales Milestone Payment").</w:t>
      </w:r>
    </w:p>
    <w:p>
      <w:pPr>
        <w:spacing w:after="0" w:line="74"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color w:val="auto"/>
        </w:rPr>
        <w:t xml:space="preserve">We accounted for the $9.6 million Closing Payment and the $0.05 million post-closing payment from XOMA as other income in accordance with Accounting Standards Codification (ASC) 610-20 </w:t>
      </w:r>
      <w:r>
        <w:rPr>
          <w:rFonts w:ascii="Arial" w:cs="Arial" w:eastAsia="Arial" w:hAnsi="Arial"/>
          <w:sz w:val="18"/>
          <w:szCs w:val="18"/>
          <w:i w:val="1"/>
          <w:iCs w:val="1"/>
          <w:color w:val="auto"/>
        </w:rPr>
        <w:t>Other Income - Gains and Losses from the Derecognition of Nonfinancial Assets</w:t>
      </w:r>
      <w:r>
        <w:rPr>
          <w:rFonts w:ascii="Arial" w:cs="Arial" w:eastAsia="Arial" w:hAnsi="Arial"/>
          <w:sz w:val="18"/>
          <w:szCs w:val="18"/>
          <w:color w:val="auto"/>
        </w:rPr>
        <w:t xml:space="preserve"> in the first quarter of 2023. Contractual rights sold to XOMA represent an intangible asset under ASC 610-20 </w:t>
      </w:r>
      <w:r>
        <w:rPr>
          <w:rFonts w:ascii="Arial" w:cs="Arial" w:eastAsia="Arial" w:hAnsi="Arial"/>
          <w:sz w:val="18"/>
          <w:szCs w:val="18"/>
          <w:i w:val="1"/>
          <w:iCs w:val="1"/>
          <w:color w:val="auto"/>
        </w:rPr>
        <w:t>Other Income - Gains and Losses from the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Nonfinancial Assets </w:t>
      </w:r>
      <w:r>
        <w:rPr>
          <w:rFonts w:ascii="Arial" w:cs="Arial" w:eastAsia="Arial" w:hAnsi="Arial"/>
          <w:sz w:val="18"/>
          <w:szCs w:val="18"/>
          <w:color w:val="auto"/>
        </w:rPr>
        <w:t>for which XOMA bears all benefit and Aptevo has no obligations going forward. The Company will continue to account for its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future milestones under our LLC Purchase Agreement with Medexus as contingent consideration under </w:t>
      </w:r>
      <w:r>
        <w:rPr>
          <w:rFonts w:ascii="Arial" w:cs="Arial" w:eastAsia="Arial" w:hAnsi="Arial"/>
          <w:sz w:val="18"/>
          <w:szCs w:val="18"/>
          <w:i w:val="1"/>
          <w:iCs w:val="1"/>
          <w:color w:val="auto"/>
        </w:rPr>
        <w:t>ASC 450-30 Gain Contingencies</w:t>
      </w:r>
      <w:r>
        <w:rPr>
          <w:rFonts w:ascii="Arial" w:cs="Arial" w:eastAsia="Arial" w:hAnsi="Arial"/>
          <w:sz w:val="18"/>
          <w:szCs w:val="18"/>
          <w:color w:val="auto"/>
        </w:rPr>
        <w:t xml:space="preserve"> and will record income when proceeds are received.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Liability Related to Sale of Royalties and Non-Cash Interest Expense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March 31,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Through March 31, 2022, we accounted for the Royalty Purchase Agreement with HCR as a debt-like instrument, amortized under the effective interest rate method over the life of the related expected royalty stream. The liabilities related to the sale of royalties and the debt amortization were based on our estimates of royalties expected to be paid over the life of the arrangement.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pursuant to ASC 470-10-25, </w:t>
      </w:r>
      <w:r>
        <w:rPr>
          <w:rFonts w:ascii="Arial" w:cs="Arial" w:eastAsia="Arial" w:hAnsi="Arial"/>
          <w:sz w:val="18"/>
          <w:szCs w:val="18"/>
          <w:i w:val="1"/>
          <w:iCs w:val="1"/>
          <w:color w:val="auto"/>
        </w:rPr>
        <w:t>Debt – Sales of Future Revenues or Various Other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 of Income</w:t>
      </w:r>
      <w:r>
        <w:rPr>
          <w:rFonts w:ascii="Arial" w:cs="Arial" w:eastAsia="Arial" w:hAnsi="Arial"/>
          <w:sz w:val="18"/>
          <w:szCs w:val="18"/>
          <w:color w:val="auto"/>
        </w:rPr>
        <w:t>.</w:t>
      </w:r>
    </w:p>
    <w:p>
      <w:pPr>
        <w:spacing w:after="0" w:line="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 xml:space="preserve">On June 7, 2022, we entered into and closed an amendment to the Royalty Purchase Agreement (the Amendment to Royalty Purchase Agreement) (see Note 8) which removed all restrictions related to HCR’s rate of return, and it is no longer a sale of a specified percentage of royalty revenue. The Amendment to Royalty Purchase Agreement was accounted for under ASC 610-20, </w:t>
      </w:r>
      <w:r>
        <w:rPr>
          <w:rFonts w:ascii="Arial" w:cs="Arial" w:eastAsia="Arial" w:hAnsi="Arial"/>
          <w:sz w:val="17"/>
          <w:szCs w:val="17"/>
          <w:i w:val="1"/>
          <w:iCs w:val="1"/>
          <w:color w:val="auto"/>
        </w:rPr>
        <w:t>Gains and Losses from Derecognition of Nonfinancial Assets</w:t>
      </w:r>
      <w:r>
        <w:rPr>
          <w:rFonts w:ascii="Arial" w:cs="Arial" w:eastAsia="Arial" w:hAnsi="Arial"/>
          <w:sz w:val="17"/>
          <w:szCs w:val="17"/>
          <w:color w:val="auto"/>
        </w:rPr>
        <w:t xml:space="preserve"> and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xml:space="preserve"> and the transaction was no longer considered a debt-like financing.</w:t>
      </w:r>
    </w:p>
    <w:p>
      <w:pPr>
        <w:spacing w:after="0" w:line="6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 xml:space="preserve">As a result of the Amendment to Royalty Purchase Agreement, the Company recognized a gain of $37.2 million in the second quarter of 2022, which was the total balance of liability related to the sale of royalties on the closing date. Future Milestone Amounts will be accounted for as variable consideration and recognized as other income when such milestones are earned using the most likely method in accordance with ASC 610-20 </w:t>
      </w:r>
      <w:r>
        <w:rPr>
          <w:rFonts w:ascii="Arial" w:cs="Arial" w:eastAsia="Arial" w:hAnsi="Arial"/>
          <w:sz w:val="16"/>
          <w:szCs w:val="16"/>
          <w:i w:val="1"/>
          <w:iCs w:val="1"/>
          <w:color w:val="auto"/>
        </w:rPr>
        <w:t>Other Income</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 Gains and Losses from the Derecognition of Nonfinancial Assets. </w:t>
      </w:r>
      <w:r>
        <w:rPr>
          <w:rFonts w:ascii="Arial" w:cs="Arial" w:eastAsia="Arial" w:hAnsi="Arial"/>
          <w:sz w:val="16"/>
          <w:szCs w:val="16"/>
          <w:color w:val="auto"/>
        </w:rPr>
        <w:t>We received the 2022 milestone payment of $2.5 million on February 28, 2023.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from the 2022 milestone payment were recorded as other income in the consolidated statement of operations for the year ended December 31, 2022. The Company is eligible to receive an additional milestone payment of $10 million based on achievement of sales milestones in 2023.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0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We recognized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RUXIENCE Royalty 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Aptevo’s royalty revenue was exclusively related to royalties on Pfizer’s net sales of RUXIENCE. We did not recognize royalty revenue for the three months ended March 31, 2023. Royalty revenue for the period covered by this report reflects revenue recorded only in the first quarter of 2022 due to our Amendment to Royalty Purchase Agreement with HCR (see Note 8). As a result of the Amendment to Royalty Purchase Agreement, we ceased reporting as royalty revenue, royalties paid by Pfizer to HCR related to Pfizer’s sales of RUXIENCE.</w:t>
      </w:r>
    </w:p>
    <w:p>
      <w:pPr>
        <w:spacing w:after="0" w:line="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recognized royalty revenue under ASC 606, which provides revenue recognition constraints by requiring the recognition of revenue at the later of the following: (1) when the subsequent sale or usage occurs or (2) when the performance obligation to which some or all of the sales-based or usage-based royalty has been allocated has been satisfied (or partially satisfied). We satisfied our performance obligation prior to the period covered by this report, specifically in May 2011 when the original Collaboration and License Agreement between Trubion Pharmaceuticals and Wyeth was amended to remove the exclusivity/non-compete restrictions so that Pfizer could develop a CD20 biosimilar product in exchange for a one-time payment of $2.5 million and future royalties of 2.5% on any CD20 biosimilar product commercialized by Pfizer in the future. We do not have future performance obligations under this agreement. We applied the royalty recognition constraint required under the guidance for sales-based royalties, which requires a sales-based royalty to be recorded no sooner than the underlying sale. Therefore, royalties on sales of products commercialized by Pfizer were recognized in the quarter the product is sold.</w:t>
      </w:r>
    </w:p>
    <w:p>
      <w:pPr>
        <w:spacing w:after="0" w:line="8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Given the royalty revenues were based on 2.5% of global net sales of RUXIENCE, the considerations were considered variable. Pfizer generally reported sales information to us within 60 days of quarter end. Unless we received finalized sales information for the respective quarter, we estimated the expected royalty proceeds based on an analysis of historical experience, analyst expectations, interim data provided by Pfizer, including their publicly announced sales, and other publicly available information. Differences between actual and estimated royalty revenues were adjusted for in the period in which they became known, typically the following quarter. Aptevo did not record revenue for the three months ended March 31, 2023 due to our Amendment to Royalty Purchase Agreement. Revenue recorded for the three months ended March 31, 2022 represents actual royalty revenue given the timing of RUXIENCE sales reports received from Pfizer. There was no significant financing component to the contract.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Modification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On March 29, 2023, we used a portion of the proceeds from our Purchase Agreement with XOMA to fully repay the $2.8 million outstanding principal balance of our MidCap debt, and $0.3 million in exit fees. The pre-payment was not considered an amendment to our Credit Agreement since we were required to fully repay the remaining principal balance if we sold our IXINITY deferred payment stream and milestones.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2022 that was filed with the SEC on March 30, 2023. Our other significant accounting policies have not changed materially from the policies previously reported.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discontinued operations from two separate transactions: the sale of our hyperimmune business to Saol International Limited (subsequently acquired by Kamada Ltd.) in September 2017, from which we received a payment in March 2023 related to the collection of certain accounts receivable, and the sale of our Aptevo BioTherapeutics LLC business to Medexus in February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jc w:val="both"/>
        <w:ind w:firstLine="50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1340" w:type="dxa"/>
            <w:vAlign w:val="bottom"/>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13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4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20"/>
                <w:szCs w:val="20"/>
                <w:color w:val="auto"/>
              </w:rPr>
            </w:pPr>
          </w:p>
        </w:tc>
      </w:tr>
      <w:tr>
        <w:trPr>
          <w:trHeight w:val="215"/>
        </w:trPr>
        <w:tc>
          <w:tcPr>
            <w:tcW w:w="5780" w:type="dxa"/>
            <w:vAlign w:val="bottom"/>
          </w:tcPr>
          <w:p>
            <w:pPr>
              <w:spacing w:after="0"/>
              <w:rPr>
                <w:sz w:val="20"/>
                <w:szCs w:val="20"/>
                <w:color w:val="auto"/>
              </w:rPr>
            </w:pPr>
            <w:r>
              <w:rPr>
                <w:rFonts w:ascii="Arial" w:cs="Arial" w:eastAsia="Arial" w:hAnsi="Arial"/>
                <w:sz w:val="18"/>
                <w:szCs w:val="18"/>
                <w:color w:val="auto"/>
                <w:w w:val="97"/>
              </w:rPr>
              <w:t>Gain on contingent consideration from release of escrow related to sale of</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Aptevo BioTherapeutics</w:t>
            </w:r>
          </w:p>
        </w:tc>
        <w:tc>
          <w:tcPr>
            <w:tcW w:w="1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contingent consideration from Kamada</w:t>
            </w:r>
          </w:p>
        </w:tc>
        <w:tc>
          <w:tcPr>
            <w:tcW w:w="13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340" w:type="dxa"/>
            <w:vAlign w:val="bottom"/>
          </w:tcPr>
          <w:p>
            <w:pPr>
              <w:jc w:val="right"/>
              <w:ind w:right="116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946</w:t>
            </w:r>
          </w:p>
        </w:tc>
        <w:tc>
          <w:tcPr>
            <w:tcW w:w="176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-187960</wp:posOffset>
            </wp:positionV>
            <wp:extent cx="7683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LLC Purchase Agreement with Medexus entitled us to future deferred payments and milestones. For the three months ended March 31, 2023, we collected $0.5 million in deferred payments from Medexus related to IXINITY sales and $0.2 million related to funds released from escrow from the sale of Aptevo BioTherapeutics in 2020. Additionally, we received $0.3 million related to the sale of hyperimmune business to Saol as a result of the collection of certain accounts receivable. For the three months ended March 31, 2022, we collected $0.2 million in deferred payment from Medexus related to IXINITY sales. The proceeds from the income from discontinued operations is included within net income in the operating section of the unaudited condensed consolidated statements of cash flows.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XOMA Transaction</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2020 LLC Purchase Agreement. Under the terms of our Purchase Agreement with XOMA, we received $9.6 million at closing (the “Closing Payment”) and we were eligible to receive an additional post-closing payment of $0.05 million (the “Post-Closing Payment”) if the deferred payment in respect of net sales under the LLC Purchase Agreement for the Q1 2023 exceeds $0.5 million.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8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We accounted for the $9.6 million Closing Payment and the $0.05 million post-closing payment from XOMA as other income in accordance with </w:t>
      </w:r>
      <w:r>
        <w:rPr>
          <w:rFonts w:ascii="Arial" w:cs="Arial" w:eastAsia="Arial" w:hAnsi="Arial"/>
          <w:sz w:val="16"/>
          <w:szCs w:val="16"/>
          <w:i w:val="1"/>
          <w:iCs w:val="1"/>
          <w:color w:val="auto"/>
        </w:rPr>
        <w:t xml:space="preserve">ASC 610-20 Other Income - Gains and Losses from the Derecognition of Nonfinancial Assets </w:t>
      </w:r>
      <w:r>
        <w:rPr>
          <w:rFonts w:ascii="Arial" w:cs="Arial" w:eastAsia="Arial" w:hAnsi="Arial"/>
          <w:sz w:val="16"/>
          <w:szCs w:val="16"/>
          <w:color w:val="auto"/>
        </w:rPr>
        <w:t>in the first quarter of 2023. Contractual rights sold to XOMA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an intangible asset under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xml:space="preserve"> for which XOMA bears all benefit and Aptevo has no obligations going forward. The Company will continue to account for its portion of future milestones under our LLC Purchase Agreement with Medexus as contingent consideration under </w:t>
      </w:r>
      <w:r>
        <w:rPr>
          <w:rFonts w:ascii="Arial" w:cs="Arial" w:eastAsia="Arial" w:hAnsi="Arial"/>
          <w:sz w:val="16"/>
          <w:szCs w:val="16"/>
          <w:i w:val="1"/>
          <w:iCs w:val="1"/>
          <w:color w:val="auto"/>
        </w:rPr>
        <w:t>ASC 450-30 Gain Contingencies</w:t>
      </w:r>
      <w:r>
        <w:rPr>
          <w:rFonts w:ascii="Arial" w:cs="Arial" w:eastAsia="Arial" w:hAnsi="Arial"/>
          <w:sz w:val="16"/>
          <w:szCs w:val="16"/>
          <w:color w:val="auto"/>
        </w:rPr>
        <w:t xml:space="preserve"> and will record income when proceeds are received.</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 Bioscience AB</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lead bispecific antibody candidate simultaneously targeting 4-1BB (CD137), a member of the TNFR superfamily of a costimulatory receptor found on activated T cells, and 5T4, a tumor antigen widely overexpressed in a number of different types of cancer.</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In accordance with ASC 808, we concluded that because the Collaboration Agreement is a cost sharing agreement, there is no revenue.</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we recorded approximately $0.8 million and $0.2 million, which represent 50% of our cost share, in our research and development expense related to the Collaboration Agreement,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At March 31, 2023 and December 31, 2022, we had $22.8 million and $21.6 million in Level 1 money market funds, respectively. The carrying amounts of our money market funds approximate their fair value. At March 31, 2023 and December 31, 2022, we did not have any Level 2 or Level 3 assets.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Cash, Cash Equivalents, and Restricted Cash</w:t>
      </w:r>
    </w:p>
    <w:p>
      <w:pPr>
        <w:spacing w:after="0" w:line="13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Company’s cash equivalents are highly liquid investments with a maturity of 90 days or less at the date of purchase and include time deposits and investments in money market funds. Restricted cash, which are time deposits, includes $0.4 million securing letters of credit.</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restricted cash as of March 31, 2023 and December 31, 2022:</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317"/>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5"/>
                <w:szCs w:val="15"/>
                <w:color w:val="auto"/>
              </w:rPr>
            </w:pPr>
          </w:p>
        </w:tc>
      </w:tr>
      <w:tr>
        <w:trPr>
          <w:trHeight w:val="18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7"/>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20"/>
                <w:szCs w:val="20"/>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12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25,328</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On August 5, 2020, we entered into a Credit Agreement, with MidCap Financial. The Credit Agreement provided us with up to $25.0 million of available borrowing capacity under a term loan facility. The full $25.0 million was drawn on the closing date of the Credit Agreement.</w:t>
      </w:r>
    </w:p>
    <w:p>
      <w:pPr>
        <w:spacing w:after="0" w:line="3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June 7, 2022, we amended the Credit Agreement with MidCap Financial to obtain MidCap Financial’s limited consent to amend our Royalty Purchase Agreement with HCR. The Limited Consent and Second Amendment to Credit Agreement did not change future cash flows or other terms of the Credit Agreement.</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Additionally, on August 30, 2022, we amended our Credit Agreement with MidCap Financial to replace the LIBOR benchmark with SOFR, which is regulated by the Federal Reserve Bank of New York. We amended our Credit Agreement due to FCA’s planned phase-out of one-month US Dollar LIBOR settings in 2023. Our Credit Agreement continues to bear base interest at a rate of 6.25% per annum plus SOFR, subject to a 1.50% SOFR floor and a 2.50% SOFR cap.</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29, 2023, we used a portion of the proceeds from our Purchase Agreement with XOMA to fully repay the $2.8 million outstanding principal of our MidCap debt, including payment of $0.3 million in exit fees. The pre-payment was not considered an amendment to our Credit Agreement since we were required to fully repay the remaining principal balance if we sold IXINITY deferred payment stream and milestones. As of March 31, 2023, we do not have any outstanding debt on the balance sheet.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Liability Related to Sale of Royalties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March 31,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Due to the nature of the transaction, which included a cap on HCR’s rate of return, we recorded a liability related to the proceeds received from HCR of $35.0 million, net of transaction costs of $1.1 million and the 2021 milestone payments in the collective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 xml:space="preserve">of $10.0 million as an additional liability related to the sale of royalties on the consolidated balance sheet as of March 31, 2022 pursuant to ASC 470-10-25, </w:t>
      </w:r>
      <w:r>
        <w:rPr>
          <w:rFonts w:ascii="Arial" w:cs="Arial" w:eastAsia="Arial" w:hAnsi="Arial"/>
          <w:sz w:val="18"/>
          <w:szCs w:val="18"/>
          <w:i w:val="1"/>
          <w:iCs w:val="1"/>
          <w:color w:val="auto"/>
        </w:rPr>
        <w:t>Debt – Sales of Future Revenues or Various Other Measures of Income</w:t>
      </w:r>
      <w:r>
        <w:rPr>
          <w:rFonts w:ascii="Arial" w:cs="Arial" w:eastAsia="Arial" w:hAnsi="Arial"/>
          <w:sz w:val="18"/>
          <w:szCs w:val="18"/>
          <w:color w:val="auto"/>
        </w:rPr>
        <w:t>.</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On June 7, 2022, we entered into and closed an amendment to our Royalty Purchase Agreement, resulting in the Company recognizing a $37.2 million gain, which was the total balance of liability related to the sale of royalties on the closing date.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Arial" w:cs="Arial" w:eastAsia="Arial" w:hAnsi="Arial"/>
          <w:sz w:val="18"/>
          <w:szCs w:val="18"/>
          <w:i w:val="1"/>
          <w:iCs w:val="1"/>
          <w:color w:val="auto"/>
        </w:rPr>
        <w:t>Gains and Losses from Derecognition of Nonfinancial Assets</w:t>
      </w:r>
      <w:r>
        <w:rPr>
          <w:rFonts w:ascii="Arial" w:cs="Arial" w:eastAsia="Arial" w:hAnsi="Arial"/>
          <w:sz w:val="18"/>
          <w:szCs w:val="18"/>
          <w:color w:val="auto"/>
        </w:rPr>
        <w:t xml:space="preserve"> and ASC 405-20, </w:t>
      </w:r>
      <w:r>
        <w:rPr>
          <w:rFonts w:ascii="Arial" w:cs="Arial" w:eastAsia="Arial" w:hAnsi="Arial"/>
          <w:sz w:val="18"/>
          <w:szCs w:val="18"/>
          <w:i w:val="1"/>
          <w:iCs w:val="1"/>
          <w:color w:val="auto"/>
        </w:rPr>
        <w:t>Liabilities –</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w:t>
      </w:r>
    </w:p>
    <w:p>
      <w:pPr>
        <w:spacing w:after="0" w:line="8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 xml:space="preserve">Future milestone payments will be accounted for as variable consideration and recognized using the most likely method in accordance with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We received 2022 milestone payment of $2.5 million on February 28, 2023. The proceeds from 2022 milestone payment were recorded as other income in the consolidated statement of operations for the year ended December 31, 2022. We are eligible to receive additional milestone payment of $10 million based on achievement of sales milestones in 2023.</w:t>
      </w:r>
    </w:p>
    <w:p>
      <w:pPr>
        <w:spacing w:after="0" w:line="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Due to our Amendment to Royalty Purchase Agreement, we did not have any liability related to sale of royalties as of March 31, 2023. The following table presents the changes in the liability in the prior period related to the sale of royalties under the Royalty Purchase Agreement with HCR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75"/>
        </w:trPr>
        <w:tc>
          <w:tcPr>
            <w:tcW w:w="7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r>
      <w:tr>
        <w:trPr>
          <w:trHeight w:val="185"/>
        </w:trPr>
        <w:tc>
          <w:tcPr>
            <w:tcW w:w="7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r>
      <w:tr>
        <w:trPr>
          <w:trHeight w:val="23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royalties, 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31,045</w:t>
            </w:r>
          </w:p>
        </w:tc>
        <w:tc>
          <w:tcPr>
            <w:tcW w:w="120" w:type="dxa"/>
            <w:vAlign w:val="bottom"/>
            <w:shd w:val="clear" w:color="auto" w:fill="CFF0FC"/>
          </w:tcPr>
          <w:p>
            <w:pPr>
              <w:spacing w:after="0"/>
              <w:rPr>
                <w:sz w:val="20"/>
                <w:szCs w:val="20"/>
                <w:color w:val="auto"/>
              </w:rPr>
            </w:pPr>
          </w:p>
        </w:tc>
      </w:tr>
      <w:tr>
        <w:trPr>
          <w:trHeight w:val="237"/>
        </w:trPr>
        <w:tc>
          <w:tcPr>
            <w:tcW w:w="7860" w:type="dxa"/>
            <w:vAlign w:val="bottom"/>
          </w:tcPr>
          <w:p>
            <w:pPr>
              <w:ind w:left="100"/>
              <w:spacing w:after="0"/>
              <w:rPr>
                <w:sz w:val="20"/>
                <w:szCs w:val="20"/>
                <w:color w:val="auto"/>
              </w:rPr>
            </w:pPr>
            <w:r>
              <w:rPr>
                <w:rFonts w:ascii="Arial" w:cs="Arial" w:eastAsia="Arial" w:hAnsi="Arial"/>
                <w:sz w:val="18"/>
                <w:szCs w:val="18"/>
                <w:color w:val="auto"/>
              </w:rPr>
              <w:t>Proceeds from milestone payments, net of transaction costs</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0"/>
                <w:szCs w:val="20"/>
                <w:color w:val="auto"/>
              </w:rPr>
            </w:pPr>
          </w:p>
        </w:tc>
      </w:tr>
      <w:tr>
        <w:trPr>
          <w:trHeight w:val="249"/>
        </w:trPr>
        <w:tc>
          <w:tcPr>
            <w:tcW w:w="7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FF0FC"/>
          </w:tcPr>
          <w:p>
            <w:pPr>
              <w:spacing w:after="0"/>
              <w:rPr>
                <w:sz w:val="21"/>
                <w:szCs w:val="21"/>
                <w:color w:val="auto"/>
              </w:rPr>
            </w:pPr>
          </w:p>
        </w:tc>
      </w:tr>
      <w:tr>
        <w:trPr>
          <w:trHeight w:val="237"/>
        </w:trPr>
        <w:tc>
          <w:tcPr>
            <w:tcW w:w="7860" w:type="dxa"/>
            <w:vAlign w:val="bottom"/>
          </w:tcPr>
          <w:p>
            <w:pPr>
              <w:ind w:left="100"/>
              <w:spacing w:after="0"/>
              <w:rPr>
                <w:sz w:val="20"/>
                <w:szCs w:val="20"/>
                <w:color w:val="auto"/>
              </w:rPr>
            </w:pPr>
            <w:r>
              <w:rPr>
                <w:rFonts w:ascii="Arial" w:cs="Arial" w:eastAsia="Arial" w:hAnsi="Arial"/>
                <w:sz w:val="18"/>
                <w:szCs w:val="18"/>
                <w:color w:val="auto"/>
              </w:rPr>
              <w:t>RUXIENCE royalties paid by Pfizer to HCR</w:t>
            </w:r>
          </w:p>
        </w:tc>
        <w:tc>
          <w:tcPr>
            <w:tcW w:w="120" w:type="dxa"/>
            <w:vAlign w:val="bottom"/>
          </w:tcPr>
          <w:p>
            <w:pPr>
              <w:spacing w:after="0"/>
              <w:rPr>
                <w:sz w:val="20"/>
                <w:szCs w:val="20"/>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(3,665 )</w:t>
            </w:r>
          </w:p>
        </w:tc>
      </w:tr>
      <w:tr>
        <w:trPr>
          <w:trHeight w:val="24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royalties, ending balance</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38,660</w:t>
            </w:r>
          </w:p>
        </w:tc>
        <w:tc>
          <w:tcPr>
            <w:tcW w:w="120" w:type="dxa"/>
            <w:vAlign w:val="bottom"/>
            <w:shd w:val="clear" w:color="auto" w:fill="CFF0FC"/>
          </w:tcPr>
          <w:p>
            <w:pPr>
              <w:spacing w:after="0"/>
              <w:rPr>
                <w:sz w:val="21"/>
                <w:szCs w:val="21"/>
                <w:color w:val="auto"/>
              </w:rPr>
            </w:pPr>
          </w:p>
        </w:tc>
      </w:tr>
      <w:tr>
        <w:trPr>
          <w:trHeight w:val="237"/>
        </w:trPr>
        <w:tc>
          <w:tcPr>
            <w:tcW w:w="7860" w:type="dxa"/>
            <w:vAlign w:val="bottom"/>
          </w:tcPr>
          <w:p>
            <w:pPr>
              <w:ind w:left="100"/>
              <w:spacing w:after="0"/>
              <w:rPr>
                <w:sz w:val="20"/>
                <w:szCs w:val="20"/>
                <w:color w:val="auto"/>
              </w:rPr>
            </w:pPr>
            <w:r>
              <w:rPr>
                <w:rFonts w:ascii="Arial" w:cs="Arial" w:eastAsia="Arial" w:hAnsi="Arial"/>
                <w:sz w:val="18"/>
                <w:szCs w:val="18"/>
                <w:color w:val="auto"/>
              </w:rPr>
              <w:t>Current portion of liability related to sale of royalties</w:t>
            </w:r>
          </w:p>
        </w:tc>
        <w:tc>
          <w:tcPr>
            <w:tcW w:w="120" w:type="dxa"/>
            <w:vAlign w:val="bottom"/>
          </w:tcPr>
          <w:p>
            <w:pPr>
              <w:spacing w:after="0"/>
              <w:rPr>
                <w:sz w:val="20"/>
                <w:szCs w:val="20"/>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(15,318 )</w:t>
            </w:r>
          </w:p>
        </w:tc>
      </w:tr>
      <w:tr>
        <w:trPr>
          <w:trHeight w:val="277"/>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related to sale of royalties, non-current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non-cash interest expense through the date of the Amendment to Royalty Purchase Agreement.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we should not include any periods after the termination option when evaluating this amendment as we were not reasonably certain to not exercise the option, therefore we recorded our liability through April 30, 2023.</w:t>
      </w:r>
    </w:p>
    <w:p>
      <w:pPr>
        <w:spacing w:after="0" w:line="4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March 31, 2023, we are not reasonably certain to exercise the two options to extend the lease term. Therefore, pursuant to our May 26, 2022 amendment, we recorded our lease liability through April 30, 2030.</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2023 and 2022, we recorded $0.2 million related to variable lease expense.</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For the 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2023</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lease cost</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6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-668020</wp:posOffset>
            </wp:positionV>
            <wp:extent cx="7747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-668020</wp:posOffset>
            </wp:positionV>
            <wp:extent cx="7747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Right of use assets acquired under operating leases:</w:t>
      </w:r>
    </w:p>
    <w:p>
      <w:pPr>
        <w:spacing w:after="0" w:line="325"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As of March 31,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As of 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2023</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Seattle office lease, including amendment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operating leases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5,200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Lease payments:</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For the Three Months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2023</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-1122045</wp:posOffset>
            </wp:positionV>
            <wp:extent cx="77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-1122045</wp:posOffset>
            </wp:positionV>
            <wp:extent cx="7747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March 31, 2023, the long-term and current portion of the lease liabilities is $5.9 million and $0.6 million, respectively. As of March 31, 2022, the long-term and current portion of the lease liabilities were $1.1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2023, the weighted-average remaining lease term and weighted-average discount rate for operating leases was 7.1 years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12.03%. As of March 31, 2022, the weighted-average remaining lease term and weighted-average discount rate for operating leases was 1.08 years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14.45%.</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Net Income (Loss) per Share</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Basic net income (loss) per share is calculated by dividing the net income (loss) by the weighted-average number of common shares outstanding for the period. Diluted net income (loss) per share is computed by dividing the net income (loss) by the weighted-average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computation of basic and diluted net income (loss) per share (in thousands, except share and per share amounts):</w:t>
      </w:r>
    </w:p>
    <w:p>
      <w:pPr>
        <w:spacing w:after="0" w:line="28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69"/>
        </w:trPr>
        <w:tc>
          <w:tcPr>
            <w:tcW w:w="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60" w:type="dxa"/>
            <w:vAlign w:val="bottom"/>
          </w:tcPr>
          <w:p>
            <w:pPr>
              <w:spacing w:after="0"/>
              <w:rPr>
                <w:sz w:val="20"/>
                <w:szCs w:val="20"/>
                <w:color w:val="auto"/>
              </w:rPr>
            </w:pPr>
          </w:p>
        </w:tc>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68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820" w:type="dxa"/>
            <w:vAlign w:val="bottom"/>
            <w:gridSpan w:val="3"/>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740" w:type="dxa"/>
            <w:vAlign w:val="bottom"/>
            <w:gridSpan w:val="4"/>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(1.59 )</w:t>
            </w:r>
          </w:p>
        </w:tc>
      </w:tr>
      <w:tr>
        <w:trPr>
          <w:trHeight w:val="236"/>
        </w:trPr>
        <w:tc>
          <w:tcPr>
            <w:tcW w:w="60" w:type="dxa"/>
            <w:vAlign w:val="bottom"/>
          </w:tcPr>
          <w:p>
            <w:pPr>
              <w:spacing w:after="0"/>
              <w:rPr>
                <w:sz w:val="20"/>
                <w:szCs w:val="20"/>
                <w:color w:val="auto"/>
              </w:rPr>
            </w:pPr>
          </w:p>
        </w:tc>
        <w:tc>
          <w:tcPr>
            <w:tcW w:w="682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6820" w:type="dxa"/>
            <w:vAlign w:val="bottom"/>
            <w:gridSpan w:val="3"/>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6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7,022,292</w:t>
            </w: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4,937,456</w:t>
            </w:r>
          </w:p>
        </w:tc>
        <w:tc>
          <w:tcPr>
            <w:tcW w:w="120" w:type="dxa"/>
            <w:vAlign w:val="bottom"/>
            <w:shd w:val="clear" w:color="auto" w:fill="CFF0FC"/>
          </w:tcPr>
          <w:p>
            <w:pPr>
              <w:spacing w:after="0"/>
              <w:rPr>
                <w:sz w:val="19"/>
                <w:szCs w:val="19"/>
                <w:color w:val="auto"/>
              </w:rPr>
            </w:pPr>
          </w:p>
        </w:tc>
      </w:tr>
      <w:tr>
        <w:trPr>
          <w:trHeight w:val="473"/>
        </w:trPr>
        <w:tc>
          <w:tcPr>
            <w:tcW w:w="6880" w:type="dxa"/>
            <w:vAlign w:val="bottom"/>
            <w:gridSpan w:val="4"/>
          </w:tcPr>
          <w:p>
            <w:pPr>
              <w:spacing w:after="0"/>
              <w:rPr>
                <w:sz w:val="20"/>
                <w:szCs w:val="20"/>
                <w:color w:val="auto"/>
              </w:rPr>
            </w:pPr>
            <w:r>
              <w:rPr>
                <w:rFonts w:ascii="Arial" w:cs="Arial" w:eastAsia="Arial" w:hAnsi="Arial"/>
                <w:sz w:val="18"/>
                <w:szCs w:val="18"/>
                <w:color w:val="auto"/>
              </w:rPr>
              <w:t>The following table represents all potentially dilutive shares: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60" w:type="dxa"/>
            <w:vAlign w:val="bottom"/>
          </w:tcPr>
          <w:p>
            <w:pPr>
              <w:spacing w:after="0"/>
              <w:rPr>
                <w:sz w:val="14"/>
                <w:szCs w:val="14"/>
                <w:color w:val="auto"/>
              </w:rPr>
            </w:pPr>
          </w:p>
        </w:tc>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60" w:type="dxa"/>
            <w:vAlign w:val="bottom"/>
          </w:tcPr>
          <w:p>
            <w:pPr>
              <w:spacing w:after="0"/>
              <w:rPr>
                <w:sz w:val="20"/>
                <w:szCs w:val="20"/>
                <w:color w:val="auto"/>
              </w:rPr>
            </w:pPr>
          </w:p>
        </w:tc>
        <w:tc>
          <w:tcPr>
            <w:tcW w:w="6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Outstanding options to purchase common stock</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r>
      <w:tr>
        <w:trPr>
          <w:trHeight w:val="249"/>
        </w:trPr>
        <w:tc>
          <w:tcPr>
            <w:tcW w:w="60" w:type="dxa"/>
            <w:vAlign w:val="bottom"/>
          </w:tcPr>
          <w:p>
            <w:pPr>
              <w:spacing w:after="0"/>
              <w:rPr>
                <w:sz w:val="21"/>
                <w:szCs w:val="21"/>
                <w:color w:val="auto"/>
              </w:rPr>
            </w:pPr>
          </w:p>
        </w:tc>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Unvested RSUs</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-2150745</wp:posOffset>
            </wp:positionV>
            <wp:extent cx="117411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4115" cy="1797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-1499870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-1499870</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use the treasury stock method when determining dilutive shares. As of March 31, 2023, we determined that outstanding warrants, options, and RSUs are not dilutive as the exercise and grant prices were higher than our average share price for the three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months ended March 31, 2023. For the three months ended March 31, 2022, the Company was in a net loss position, therefore the share number used to calculate diluted earnings per share is the same as the basic earnings per share calculation.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11.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December 14, 2020, we entered into an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shares of common stock by Piper Sandler will be sold pursuant to a Registration Statement on Form S-3 which we filed on December 14, 2020. In the three months ended March 31, 2023, the Company issued 730,913 shares of common stock at an average price of $2.26 under the Equity Distribution Agreement. We received $1.6 million in proceeds from the issuance of these shares. We did not issue any shares under the Equity Distribution Agreement in the three months ended March 31, 2022.</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February 16, 2022, we entered into a Purchase Agreement (2022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Purchase Agreement. We did not issue any shares of common stock for cash consideration to Lincoln Park under the Purchase Agreement in the three months ended March 31, 2023 and 2022.</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 and further amended on November 4, 2022 to extend the expiration of such agreement to November 4, 2023.</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1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June 7, 2022, at the 2022 Annual Meeting of Stockholders, our stockholders approved the Amended and Restated 2018 SIP to increase the number of shares authorized for issuance under the 2018 SIP by 500,000 shares of common stock. As of March 31, 2023, there are approximately 0.1 million shares available to be granted under the 2018 SIP.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ind w:firstLine="509"/>
        <w:spacing w:after="0" w:line="275" w:lineRule="auto"/>
        <w:rPr>
          <w:sz w:val="20"/>
          <w:szCs w:val="20"/>
          <w:color w:val="auto"/>
        </w:rPr>
      </w:pPr>
      <w:r>
        <w:rPr>
          <w:rFonts w:ascii="Arial" w:cs="Arial" w:eastAsia="Arial" w:hAnsi="Arial"/>
          <w:sz w:val="17"/>
          <w:szCs w:val="17"/>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9"/>
              </w:rPr>
              <w:t>For the Three Months Ended March 31,</w:t>
            </w:r>
          </w:p>
        </w:tc>
        <w:tc>
          <w:tcPr>
            <w:tcW w:w="120" w:type="dxa"/>
            <w:vAlign w:val="bottom"/>
          </w:tcPr>
          <w:p>
            <w:pPr>
              <w:spacing w:after="0"/>
              <w:rPr>
                <w:sz w:val="16"/>
                <w:szCs w:val="16"/>
                <w:color w:val="auto"/>
              </w:rPr>
            </w:pPr>
          </w:p>
        </w:tc>
      </w:tr>
      <w:tr>
        <w:trPr>
          <w:trHeight w:val="169"/>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20"/>
                <w:szCs w:val="20"/>
                <w:color w:val="auto"/>
              </w:rPr>
            </w:pPr>
          </w:p>
        </w:tc>
      </w:tr>
      <w:tr>
        <w:trPr>
          <w:trHeight w:val="237"/>
        </w:trPr>
        <w:tc>
          <w:tcPr>
            <w:tcW w:w="68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r>
      <w:tr>
        <w:trPr>
          <w:trHeight w:val="277"/>
        </w:trPr>
        <w:tc>
          <w:tcPr>
            <w:tcW w:w="6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180" w:type="dxa"/>
            <w:vAlign w:val="bottom"/>
          </w:tcPr>
          <w:p>
            <w:pPr>
              <w:jc w:val="center"/>
              <w:ind w:left="237"/>
              <w:spacing w:after="0"/>
              <w:rPr>
                <w:sz w:val="20"/>
                <w:szCs w:val="20"/>
                <w:color w:val="auto"/>
              </w:rPr>
            </w:pPr>
            <w:r>
              <w:rPr>
                <w:rFonts w:ascii="Arial" w:cs="Arial" w:eastAsia="Arial" w:hAnsi="Arial"/>
                <w:sz w:val="14"/>
                <w:szCs w:val="14"/>
                <w:b w:val="1"/>
                <w:bCs w:val="1"/>
                <w:color w:val="auto"/>
                <w:w w:val="96"/>
              </w:rPr>
              <w:t>2023</w:t>
            </w:r>
          </w:p>
        </w:tc>
        <w:tc>
          <w:tcPr>
            <w:tcW w:w="176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ind w:left="237"/>
              <w:spacing w:after="0"/>
              <w:rPr>
                <w:sz w:val="20"/>
                <w:szCs w:val="20"/>
                <w:color w:val="auto"/>
              </w:rPr>
            </w:pPr>
            <w:r>
              <w:rPr>
                <w:rFonts w:ascii="Arial" w:cs="Arial" w:eastAsia="Arial" w:hAnsi="Arial"/>
                <w:sz w:val="18"/>
                <w:szCs w:val="18"/>
                <w:color w:val="auto"/>
                <w:w w:val="92"/>
              </w:rPr>
              <w:t>103.63%</w:t>
            </w:r>
          </w:p>
        </w:tc>
        <w:tc>
          <w:tcPr>
            <w:tcW w:w="1760" w:type="dxa"/>
            <w:vAlign w:val="bottom"/>
            <w:gridSpan w:val="3"/>
          </w:tcPr>
          <w:p>
            <w:pPr>
              <w:jc w:val="center"/>
              <w:ind w:left="795"/>
              <w:spacing w:after="0"/>
              <w:rPr>
                <w:sz w:val="20"/>
                <w:szCs w:val="20"/>
                <w:color w:val="auto"/>
              </w:rPr>
            </w:pPr>
            <w:r>
              <w:rPr>
                <w:rFonts w:ascii="Arial" w:cs="Arial" w:eastAsia="Arial" w:hAnsi="Arial"/>
                <w:sz w:val="18"/>
                <w:szCs w:val="18"/>
                <w:color w:val="auto"/>
                <w:w w:val="90"/>
              </w:rPr>
              <w:t>106.30%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FF0FC"/>
          </w:tcPr>
          <w:p>
            <w:pPr>
              <w:jc w:val="center"/>
              <w:ind w:left="237"/>
              <w:spacing w:after="0"/>
              <w:rPr>
                <w:sz w:val="20"/>
                <w:szCs w:val="20"/>
                <w:color w:val="auto"/>
              </w:rPr>
            </w:pPr>
            <w:r>
              <w:rPr>
                <w:rFonts w:ascii="Arial" w:cs="Arial" w:eastAsia="Arial" w:hAnsi="Arial"/>
                <w:sz w:val="18"/>
                <w:szCs w:val="18"/>
                <w:color w:val="auto"/>
                <w:w w:val="90"/>
              </w:rPr>
              <w:t>4.18%</w:t>
            </w:r>
          </w:p>
        </w:tc>
        <w:tc>
          <w:tcPr>
            <w:tcW w:w="1760" w:type="dxa"/>
            <w:vAlign w:val="bottom"/>
            <w:gridSpan w:val="3"/>
            <w:shd w:val="clear" w:color="auto" w:fill="CFF0FC"/>
          </w:tcPr>
          <w:p>
            <w:pPr>
              <w:jc w:val="center"/>
              <w:ind w:left="775"/>
              <w:spacing w:after="0"/>
              <w:rPr>
                <w:sz w:val="20"/>
                <w:szCs w:val="20"/>
                <w:color w:val="auto"/>
              </w:rPr>
            </w:pPr>
            <w:r>
              <w:rPr>
                <w:rFonts w:ascii="Arial" w:cs="Arial" w:eastAsia="Arial" w:hAnsi="Arial"/>
                <w:sz w:val="18"/>
                <w:szCs w:val="18"/>
                <w:color w:val="auto"/>
                <w:w w:val="90"/>
              </w:rPr>
              <w:t>1.60%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180" w:type="dxa"/>
            <w:vAlign w:val="bottom"/>
          </w:tcPr>
          <w:p>
            <w:pPr>
              <w:ind w:left="500"/>
              <w:spacing w:after="0"/>
              <w:rPr>
                <w:sz w:val="20"/>
                <w:szCs w:val="20"/>
                <w:color w:val="auto"/>
              </w:rPr>
            </w:pPr>
            <w:r>
              <w:rPr>
                <w:rFonts w:ascii="Arial" w:cs="Arial" w:eastAsia="Arial" w:hAnsi="Arial"/>
                <w:sz w:val="18"/>
                <w:szCs w:val="18"/>
                <w:color w:val="auto"/>
              </w:rPr>
              <w:t>5 years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5 years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Management has applied an estimated forfeiture rate of 30% for the three months ended March 31, 2023, and 29% for the three months 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2022. Expected volatility slightly decreased as our stock price fluctuated from a low of $1.74 to a high of $2.54 for the three months ended March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2023, compared to a low of $4.48 to a high of $6.96 for the three months ended March 31, 2022.</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three months ended March 31, 2023:</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364,266</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103,965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(645 )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27.87</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467,586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249,006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March 31, 2023</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386,276</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-385445</wp:posOffset>
            </wp:positionV>
            <wp:extent cx="258000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80005" cy="20574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of March 31, 2023, we had $1.5 million of unrecognized compensation expense related to options expected to vest over a weighted-average remaining vesting period of 1.3 years. The weighted-average grant date fair value per share of options granted during the three months ended March 31, 2023 and 2022 was $1.68 and $4.43, respectively. The aggregate intrinsic value of options exercised for the three months ended March 31, 2023 and 2022 was $0. The total fair value of stock options vested for the three months ended March 31, 2023 and 2022 was $0.9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jc w:val="both"/>
        <w:ind w:firstLine="509"/>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Aptevo’s common stock on the last trading day of March 2023 and the exercise price, multiplied by the number of in the money options) that would have been received by the option holders had all the option holders exercised their options on the last trading day of the quarter.</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three months ended March 31, 2023:</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7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Value per Unit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223,775</w:t>
            </w: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150,313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(46,056 )</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(1,414 )</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expected to vest at March 31,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326,618</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March 31, 2023, there was $1.4 million unrecognized stock-based compensation expense related to unvested RSUs expected to vest over the weighted-average period of 1.7 years. As of March 31, 2022, there was $1.2 million unrecognized stock-based compensation expense related to unvested RSUs expected to vest over the weighted-average period of 2.1 years.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These are therefore included within equity on our unaudited condensed consolidated balance sheet. For the three months ended March 31, 2023 and 2022, the Company did not have any of its warrants exercised. As of March 31, 2023 and 2022, there were warrants to purchase 350,589 shares of common stock outstanding.</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From May 5, 2023, through May 11, 2023, we issued 50,000 shares of our common stock to Lincoln Park under the 2022 Purchase Agreement. We received $0.1 million in proceeds from issuance of these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5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7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Our lead clinical candidates, APVO436 and ALG.APV-527 (in collaboration with Alligator), and preclinical candidates, APVO603 and APVO711,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immunotherapy candidates that are designed to engage immune effector cells and disease targets to produce signaling responses that modulate the immune system to kill tumor cells.</w:t>
      </w:r>
    </w:p>
    <w:p>
      <w:pPr>
        <w:spacing w:after="0" w:line="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believe we are skilled at candidate generation, validation, and subsequent preclinical and clinical development using the ADAPTIR platform and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Raised $9.7 million in non-dilutive funding, extending cash runway beyond 12 months.</w:t>
      </w:r>
    </w:p>
    <w:p>
      <w:pPr>
        <w:spacing w:after="0" w:line="117"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proceeds was used to fully repay the existing debt facility on the Company's balance sheet.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achieved this by closing a transaction for the complete sale of all future IXINITY deferred payments and a portion of IXINITY milestones to XOMA Corporation.</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Announced plans to initiate its Phase 2 program in the second half of 2023 to further evaluate APVO436, a bispecific CD3xCD123 ADAPTIR molecule, in combination with venetoclax and azacytidine in frontline and relapsed/refractory venetoclax treatment naïve patients with acute myeloid leukemia (AML). The trial design will be informed by the positive Phase 1 results announced at ASH in December 2022.</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Dosed the first patient in the Company’s Phase 1 trial evaluating ALG.APV-527 intended for the treatment of solid tumors, potentially including, but not limited to, breast, colon, lung and pancreatic, which are likely to express the 5T4 antigen.</w:t>
      </w:r>
    </w:p>
    <w:p>
      <w:pPr>
        <w:spacing w:after="0" w:line="62" w:lineRule="exact"/>
        <w:rPr>
          <w:sz w:val="20"/>
          <w:szCs w:val="20"/>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ALG.APV-527 is a bispecific antibody designed to target cancer cells by activating both T-cells and natural killer cells and is intended to bind to tumor-specific antigens while sparing healthy cells and maximizing immune response.</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Introduced pipeline candidate, APVO711, a PD-L1 x CD40 compound with a dual mechanism of action that includes a checkpoint inhibitor that blocks the T cell inhibitory pathway while also stimulating antigen presenting cells.</w:t>
      </w:r>
    </w:p>
    <w:p>
      <w:pPr>
        <w:spacing w:after="0" w:line="62" w:lineRule="exact"/>
        <w:rPr>
          <w:sz w:val="20"/>
          <w:szCs w:val="20"/>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APVO711 has the potential to fight a range of solid malignancies such as head and neck squamous cell carcinoma, melanoma, and carcinomas of the lung, gastrointestinal tract and colon.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filed a provisional patent for APVO711 in January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financial statements for additional information.</w:t>
      </w:r>
    </w:p>
    <w:p>
      <w:pPr>
        <w:spacing w:after="0" w:line="183" w:lineRule="exact"/>
        <w:rPr>
          <w:sz w:val="20"/>
          <w:szCs w:val="20"/>
          <w:color w:val="auto"/>
        </w:rPr>
      </w:pPr>
    </w:p>
    <w:p>
      <w:pPr>
        <w:ind w:left="520" w:right="4860"/>
        <w:spacing w:after="0" w:line="378" w:lineRule="auto"/>
        <w:rPr>
          <w:sz w:val="20"/>
          <w:szCs w:val="20"/>
          <w:color w:val="auto"/>
        </w:rPr>
      </w:pPr>
      <w:r>
        <w:rPr>
          <w:rFonts w:ascii="Arial" w:cs="Arial" w:eastAsia="Arial" w:hAnsi="Arial"/>
          <w:sz w:val="18"/>
          <w:szCs w:val="18"/>
          <w:b w:val="1"/>
          <w:bCs w:val="1"/>
          <w:color w:val="auto"/>
        </w:rPr>
        <w:t>Comparison of the Three months ended March 31, 2023 and March 31, 2022 Royalty Revenue</w:t>
      </w:r>
    </w:p>
    <w:p>
      <w:pPr>
        <w:jc w:val="both"/>
        <w:ind w:firstLine="509"/>
        <w:spacing w:after="0" w:line="255" w:lineRule="auto"/>
        <w:rPr>
          <w:sz w:val="20"/>
          <w:szCs w:val="20"/>
          <w:color w:val="auto"/>
        </w:rPr>
      </w:pPr>
      <w:r>
        <w:rPr>
          <w:rFonts w:ascii="Arial" w:cs="Arial" w:eastAsia="Arial" w:hAnsi="Arial"/>
          <w:sz w:val="18"/>
          <w:szCs w:val="18"/>
          <w:color w:val="auto"/>
        </w:rPr>
        <w:t>For the three months ended March 31, 2023 and 2022, royalty revenue was $0 and $3.1 million, respectively. We did not recognize royalty revenue in 2023 due to our Amendment to Royalty Purchase Agreement with HCR. As a result of the amendment, we ceased reporting as royalty revenue, royalties paid by Pfizer to HCR related to Pfizer’s sales of RUXIENCE beginning in the second quarter of 2022. The royalty revenue from Pfizer related to a Collaboration and License Agreement (Definitive Agreement) acquired by Aptevo as part of our spin-off from Emergent in 2016. The agreement was originally executed by Trubion Pharmaceuticals, which was subsequently acquired by Emergent, and Wyeth, a wholly owned subsidiary of Pfizer (see Note 8).</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received 2022 milestone payment of $2.5 million on February 28, 2023. The proceeds from 2022 milestone payment were recorded as other income in the consolidated statement of operations for the year ended December 31, 2022. We are eligible to receive additional milestone payment of $10 million based on achievement of sales milestones in 2023.</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63" w:lineRule="exact"/>
        <w:rPr>
          <w:sz w:val="20"/>
          <w:szCs w:val="20"/>
          <w:color w:val="auto"/>
        </w:rPr>
      </w:pPr>
    </w:p>
    <w:p>
      <w:pPr>
        <w:ind w:left="1800" w:hanging="384"/>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800" w:hanging="384"/>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costs related to our clinical and pre-clinical programs;</w:t>
      </w:r>
    </w:p>
    <w:p>
      <w:pPr>
        <w:spacing w:after="0" w:line="117" w:lineRule="exact"/>
        <w:rPr>
          <w:rFonts w:ascii="Arial" w:cs="Arial" w:eastAsia="Arial" w:hAnsi="Arial"/>
          <w:sz w:val="18"/>
          <w:szCs w:val="18"/>
          <w:color w:val="auto"/>
        </w:rPr>
      </w:pPr>
    </w:p>
    <w:p>
      <w:pPr>
        <w:ind w:left="1800" w:hanging="384"/>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1800" w:hanging="384"/>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800" w:hanging="384"/>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program for the three months ended March 31, 2023 and 2022 are shown in the following table:</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Change</w:t>
            </w:r>
          </w:p>
        </w:tc>
      </w:tr>
      <w:tr>
        <w:trPr>
          <w:trHeight w:val="237"/>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APVO436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1,048</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1,587</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(539 )</w:t>
            </w:r>
          </w:p>
        </w:tc>
      </w:tr>
      <w:tr>
        <w:trPr>
          <w:trHeight w:val="249"/>
        </w:trPr>
        <w:tc>
          <w:tcPr>
            <w:tcW w:w="4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ALG.APV-527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FF0FC"/>
          </w:tcPr>
          <w:p>
            <w:pPr>
              <w:spacing w:after="0"/>
              <w:rPr>
                <w:sz w:val="21"/>
                <w:szCs w:val="21"/>
                <w:color w:val="auto"/>
              </w:rPr>
            </w:pPr>
          </w:p>
        </w:tc>
      </w:tr>
      <w:tr>
        <w:trPr>
          <w:trHeight w:val="237"/>
        </w:trPr>
        <w:tc>
          <w:tcPr>
            <w:tcW w:w="488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(861 )</w:t>
            </w:r>
          </w:p>
        </w:tc>
      </w:tr>
      <w:tr>
        <w:trPr>
          <w:trHeight w:val="278"/>
        </w:trPr>
        <w:tc>
          <w:tcPr>
            <w:tcW w:w="4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4,866</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For the three months ended March 31, 2023, research and development expenses decreased by $0.7 million, to $4.2 million from $4.9 million for the three months ended March 31, 2022. The decrease was primarily due to lower spending on APVO436 as we concluded enrollment in our dose expansion phase of the clinical trial and working toward the launch of Phase 2, following promising clinical data reported in the fourth quarter of 2022. Additionally, we had lower consulting and employee related costs compared to the same period in prior year. The decrease was partially offset by higher spending on the ALG.APV-527 Phase 1 clinical trial.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general and administrative expenses decreased by $0.3 million, to $3.6 million from $3.9 million for the three months ended March 31, 2022. The decrease is primarily due to lower employee and consulting costs.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consists primarily of a gain related to the sale of nonfinancial asset, costs related to debt extinguishment, accrued exit fees on debt, non-cash interest on financing agreements, and interest on debt.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 Expense, Net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Other expense, net was $0.1 million and $2.3 million for the three months ended March 31, 2023 and 2022, respectively. Beginning in Q2 2022, we no longer record non-cash interest expense due to our Amendment to the Royalty Purchase Agreement in the second quarter of 2022, which eliminated the liability related to the sale of royalties. This contributed $1.7 million of the decrease during the period. The rest of the decrease is primarily due to lower interest expense recorded in Q1 2023 on our MidCap term loan due to principal paydown.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Gain Related to Sale of Nonfinancial Asset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recorded $9.7 million in other income for the three months ended March 31, 2023, due to the sale of the deferred payments and milestones to XOMA during the quarter (see Note 3). We did not have any such gain for the comparative period in the prior year.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accompanying unaudited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For the Three Months Ended March 31,</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980" w:type="dxa"/>
            <w:vAlign w:val="bottom"/>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9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6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FF0FC"/>
          </w:tcPr>
          <w:p>
            <w:pPr>
              <w:spacing w:after="0"/>
              <w:rPr>
                <w:sz w:val="20"/>
                <w:szCs w:val="20"/>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Gain on contingent consideration from release of escrow related to sale of Aptevo</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BioTherapeutics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contingent consideration from Kamada</w:t>
            </w:r>
          </w:p>
        </w:tc>
        <w:tc>
          <w:tcPr>
            <w:tcW w:w="9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946</w:t>
            </w: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178</w:t>
            </w:r>
          </w:p>
        </w:tc>
        <w:tc>
          <w:tcPr>
            <w:tcW w:w="12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-187960</wp:posOffset>
            </wp:positionV>
            <wp:extent cx="7747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For the three months ended March 31, 2023, we collected $0.5 million in deferred payments from Medexus related to IXINITY sales and $0.2 million related to funds released from escrow from the sale of Aptevo BioTherapeutics in 2020. Additionally, we received $0.3 million related to the sale of hyperimmune business Saol as a result of the collection of certain accounts receivable. For the three months ended March 31, 2022, we collected $0.2 million in deferred payments from Medexus related IXINITY sales. The proceeds from the income from discontinued operations is included within net income in the operating section of the unaudited condensed consolidated statements of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for discussion of our accounting policies, significant judgments, and estimates.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2023 and 2022</w:t>
      </w:r>
      <w:r>
        <w:rPr>
          <w:rFonts w:ascii="Arial" w:cs="Arial" w:eastAsia="Arial" w:hAnsi="Arial"/>
          <w:sz w:val="18"/>
          <w:szCs w:val="18"/>
          <w:color w:val="231F20"/>
        </w:rPr>
        <w: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69"/>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4,566</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(5,117 )</w:t>
            </w:r>
          </w:p>
        </w:tc>
      </w:tr>
      <w:tr>
        <w:trPr>
          <w:trHeight w:val="249"/>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r>
      <w:tr>
        <w:trPr>
          <w:trHeight w:val="237"/>
        </w:trPr>
        <w:tc>
          <w:tcPr>
            <w:tcW w:w="6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(1,873 )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(4,936 )</w:t>
            </w:r>
          </w:p>
        </w:tc>
      </w:tr>
      <w:tr>
        <w:trPr>
          <w:trHeight w:val="277"/>
        </w:trPr>
        <w:tc>
          <w:tcPr>
            <w:tcW w:w="6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Net cash provided by operating activities of $4.6 million for the three months ended March 31, 2023 was primarily due to our net income for the period and changes in working capital accounts. The net income position was primarily due to $9.7 million received from our XOMA transaction. Net cash used in operating activities of $5.1 million for the three months ended March 31, 2022 was primarily due to our net loss of $7.7 million and changes in working capital accounts.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investing activities for the three months ended March 31, 2023 and 2022.</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Net cash used in financing activities of $1.9 million for the three months ended March 31, 2023 was primarily due to the $3.5 million of repayments of the MidCap Financial term loan, which included the remaining outstanding principal balance and loan prepayment fees. This was offset by the $1.6 million proceeds received from issuance of common stock pursuant to our Equity Distribution Agreement with Piper Sandler. Net cash used in financing activities for the three months ended March 31, 2022 was primarily due to the $10.7 million of partial repayments of the MidCap Financial term loan and $3.7 million of royalties received by HCR pursuant to our Royalty Purchase Agreement. This was offset by the $10 million milestone received from HCR related to the sale of royalties, net of $0.5 million transaction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Royalty Purchase Agreement and Milestone Payments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March 31, 2023 ($35 million at closing and $12.5 million in milestone payments) and we are eligible to receive an additional $10 million based on the achievement of sales milestone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IXINITY Milestone Payments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On February 28, 2020, Aptevo entered into an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a consideration, we received $9.6 million at closing from XOMA and we were eligible to receive an additional $0.05 million post-closing payment if Medexus' first quarter 2023 net sales of IXINITY exceeds $0.5 million. Aptevo continues to be eligible to receive up to $5.8 million in milestone payments from Medexus upon achievement of certain regulatory and IXINITY net sales threshold. For the three months ended March 31, 2023, Aptevo received $0.5 million in deferred payments from Medexus related to IXINITY sales for the fourth quarter of 2022.</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December 14, 2020, we filed a Registration Statement on Form S-3 covering the offering, issuance, and sale of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any registered shares under this Form S-3 with a value of more than one-third of the aggregate market value of our common stock held by non-affiliates in any 12-month period due to the limitations of General Instruction I.B.6 of Form S-3 and the current public float of our common stock. In the last 12 months, we have sold $8.8 million worth of shares of our common stock pursuant to our Equity Distribution Agreement. If our public float increases such that we may sell additional amounts under the Equity Distribution Agreement and the prospectus than is mentioned in our last prospectus supplement to the Registration Statement on Form S-3 filed on December 13, 2020, we will file another amendment to the prospectus supplement prior to making additional sales. The limitations of General Instruction I.B.6 do not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apply to sales of our shares under our Purchase Agreement with Lincoln Park Financial LLC as those sales were committed prior to us being subject to the limitations of General Instruction I.B.6.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In the three months ended March 31, 2023, the Company issued 730,913 shares of common stock at an average price of $2.26 under the Equity Distribution Agreement. We received $1.6 million in proceeds from the issuance of these shares. We did not issue any shares under the Equity Distribution Agreement in the three months ended March 31, 2022.</w:t>
      </w:r>
    </w:p>
    <w:p>
      <w:pPr>
        <w:spacing w:after="0" w:line="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On February 16, 2022, we entered into a new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issued 99,276 shares of our common stock to Lincoln Park for no cash consideration as an initial fee for its commitment to purchase shares of our common stock under the Purchase Agreement. The aggregate number of shares that we can sell to Lincoln Park under the Purchase Agreement may not exceed 981,103 shares, unless shareholder approval is obtained or the average price of all applicable sales of our common stock sold to Lincoln Park equals or exceeds $6.14 per share. The Company did not issue any shares of common stock for cash consideration to Lincoln Park under the Purchase Agreement in the three months ended March 31, 2023.</w:t>
      </w:r>
    </w:p>
    <w:p>
      <w:pPr>
        <w:spacing w:after="0" w:line="5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3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March 11, 2019, in connection with the completion of a public offering of common stock, we issued warrants to purchase 1,571,247 shares of common stock at a price of $18.20. As of March 31, 2023 and 2022, there were warrants to purchase 350,589 shares of common stock outstanding. These warrants have a 5-year life, and expire in March 2024.</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Royalty Purchase Agreement with HCR, royalty payments from Pfizer, deferred payments from Medexus, the Purchase Agreement with XOMA,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cash and cash equivalents of $25.3 million and an accumulated deficit of $203.3 million as of March 31, 2023.</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2023, net cash provided by our operating activities was $4.6 million.</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jc w:val="both"/>
        <w:ind w:firstLine="509"/>
        <w:spacing w:after="0" w:line="270" w:lineRule="auto"/>
        <w:rPr>
          <w:sz w:val="20"/>
          <w:szCs w:val="20"/>
          <w:color w:val="auto"/>
        </w:rPr>
      </w:pPr>
      <w:r>
        <w:rPr>
          <w:rFonts w:ascii="Arial" w:cs="Arial" w:eastAsia="Arial" w:hAnsi="Arial"/>
          <w:sz w:val="17"/>
          <w:szCs w:val="17"/>
          <w:color w:val="auto"/>
        </w:rPr>
        <w:t>Due to the current macroeconomic environment, 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 Additionally, we may experience potential impacts on our future milestones, which are based on global net sales of RUXIENCE, from HCR due to the effects of the macroeconomic environment, which may impact Pfizer’s ability to continue to successfully commercialize the RUXIENCE business. We believe that our existing cash resources, milestone payments related to the Royalty Purchase Agreement with HCR, funds available under Purchase Agreement with Lincoln Park and the Equity Distribution Agreement with Piper Sandler, cash to be generated from future milestones related to IXINITY sales and approvals by Medexus, will be sufficient to meet our projected operating requirements for at least twelve months from the date of this filing of this Quarterly Report on Form 10-Q.</w:t>
      </w:r>
    </w:p>
    <w:p>
      <w:pPr>
        <w:spacing w:after="0" w:line="7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or on acceptable terms;</w:t>
      </w:r>
    </w:p>
    <w:p>
      <w:pPr>
        <w:spacing w:after="0" w:line="333"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profitability given our historical losses;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regulatory clearance to commence clinical trials for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macroeconomic conditions, including rising and fluctuating inflation, interest rates and supply chain constraints;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develop our ADAPTIR or ADAPTIR-FLEX platforms;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current and planned preclinical studies and clinical trials;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and to what extent future milestones are received under our Royalty Purchase Agreement with HCR;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from Medexus with respect to IXINITY.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260" w:hanging="368"/>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260" w:hanging="368"/>
        <w:spacing w:after="0" w:line="27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jc w:val="both"/>
        <w:ind w:firstLine="509"/>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6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are required to make a $2.0 million milestone payment upon dosing the first patient in our Phase 2 clinical trial of APVO436.</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March 31, 2023, there were no material changes to the information provided under Item 7A, Quantitative and Qualitative Disclosures About Market Risk in our Annual Report on Form 10-K for the year ended December 31, 2022 filed on March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of March 31, 2023,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March 31, 2023,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is dependent on our continued ability to attract, motivate and retain key personnel, and any failure to attract or retain key personnel may negatively affect our business.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long-term success depends, in part, upon our ability to develop, receive regulatory approval for and commercialize our product candidates.</w:t>
      </w:r>
    </w:p>
    <w:p>
      <w:pPr>
        <w:spacing w:after="0" w:line="1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establishing and maintaining collaborations that leverage our capabilities in pursuit of developing and commercializing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affected by macroeconomic conditions, including rising and fluctuating inflation, interest rates, market volatility, economic uncertainty, bank failure, and supply chain constraints.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of activist stockholders against us have been and could be disruptive and costly and may cause uncertainty about the strategic direction of our business.</w:t>
      </w:r>
    </w:p>
    <w:p>
      <w:pPr>
        <w:spacing w:after="0" w:line="62"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Medexus to successfully further develop, market and commercialize IXINITY, resulting in milestone payments to the Company by Medexus.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reoccurrences of COVID-19 or other pandemics, or other future widespread public health epidemics could adversely impact our business, including our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experienced significant operating losses in the past and may not be profitable in the future. For the three months ended March 31, 2023, we had net income of $2.8 million compared to $7.7 million net loss for the same period in 2022. The net income for the three months ended March 31, 2023 was due to a one-time $9.7 million gain recognized as a result of our Purchase Agreement with XOMA. As of March 31, 2023, we had an accumulated deficit of $203.3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Purchase Agreement with XOMA, the ability to receive Milestone Amounts under the Royalty Purchase Agreement with HCR, potential future milestone payments from Medexus under our LLC Purchase Agreement, our ability to issue securities under the Equity Distribution Agreement with Piper Sandler and our Purchase Agreement with Lincoln Park Capital, and exercises of warrants will provide us with sufficient liquidity to meet our cash requirements through at least next twelve months, our future success and ability to attain profitability will depend upon our ability to develop and commercialize our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As of March 31, 2023, we had cash, cash equivalents, and restricted cash in the amount of $25.3 million. We will require additional funding to grow our business including to support the ongoing clinical development of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could harm our business, results of operations and future prospects. Our future capital requirements will depend on many factors, including:</w:t>
      </w:r>
    </w:p>
    <w:p>
      <w:pPr>
        <w:spacing w:after="0" w:line="70" w:lineRule="exact"/>
        <w:rPr>
          <w:sz w:val="20"/>
          <w:szCs w:val="20"/>
          <w:color w:val="auto"/>
        </w:rPr>
      </w:pPr>
    </w:p>
    <w:p>
      <w:pPr>
        <w:ind w:left="1260" w:hanging="368"/>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level, timing and receipt of any milestone payments under our agreements with Medexus with respect to the sales of IXINITY;</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and to what extent future milestone payments are received under our Amendment to Royalty Purchase Agreement with HCR;</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development costs, timing, and other requirements to complete dosing of our Phase 1b clinical trial for APVO436 and Phase 1 clinical trial of ALG.APV-527, as well as future clinical trials;</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macroeconomic conditions, including the impact of inflation and cost of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ind w:firstLine="509"/>
        <w:spacing w:after="0" w:line="277" w:lineRule="auto"/>
        <w:rPr>
          <w:sz w:val="20"/>
          <w:szCs w:val="20"/>
          <w:color w:val="auto"/>
        </w:rPr>
      </w:pPr>
      <w:r>
        <w:rPr>
          <w:rFonts w:ascii="Arial" w:cs="Arial" w:eastAsia="Arial" w:hAnsi="Arial"/>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or other factors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Future issuances of common stock may include, but not be limited to, (i) any sale of up to $50.0 million worth of shares of our common stock pursuant to our Equity Distribution Agreement with Piper Sandler, (ii) any sale of up to $35 million worth of shares of our common stock to issue from our Purchase Agreement with Lincoln Park, (iii) the issuance of up to 350,589 remaining outstanding shares of common stock upon the exercise of warrants issued in connection with our March 2019 public offering of common stock and warrants or (iv)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SEC regulations limit the amount of funds we can raise during any 12-month period pursuant to our shelf registration statement on Form S-</w:t>
      </w:r>
    </w:p>
    <w:p>
      <w:pPr>
        <w:spacing w:after="0" w:line="46" w:lineRule="exact"/>
        <w:rPr>
          <w:sz w:val="20"/>
          <w:szCs w:val="20"/>
          <w:color w:val="auto"/>
        </w:rPr>
      </w:pPr>
    </w:p>
    <w:p>
      <w:pPr>
        <w:jc w:val="both"/>
        <w:ind w:firstLine="8"/>
        <w:spacing w:after="0" w:line="251" w:lineRule="auto"/>
        <w:tabs>
          <w:tab w:leader="none" w:pos="1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March 29, 2022, we filed an amendment to the prospectus related to the Registration Statement on Form S-3 filed on December 14, 2020 pursuant to General Instruction I.B.6 of Form S-3 (General Instruction I.B.6), which updates the amount of registered shares that we are eligible to sell. So long as the aggregate market value of our common stock held by non-affiliates is less than $75 million, we will not sell any registered shares under this Form S-3 with a value of more than one-third of the aggregate market value of our common stock held by non-affiliates in any 12-month period due to the limitations of General Instruction I.B.6 of Form S-3 and the current public float of our common stock. In the last 12 months, we have sold $8.8 million worth of shares of our common stock pursuant to our Equity Distribution Agreement.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5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 For example, on March 10 and March 12, 2023, the Federal Deposit Insurance Corporation (“FDIC”) took control and was appointed receiver of Silicon Valley Bank (“SVB”) and Signature Bank, respectively, after each bank was unable to continue their operations. These events exposed vulnerabilities in the banking sector, including legal uncertainties, significant volatility and contagion risk, and caused market prices of regional bank stocks to plummet. As of the date of this filing, we don’t have any exposure to SVB and Signature Bank, however,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SVB and Signature Bank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jc w:val="both"/>
        <w:ind w:firstLine="509"/>
        <w:spacing w:after="0" w:line="254" w:lineRule="auto"/>
        <w:rPr>
          <w:sz w:val="20"/>
          <w:szCs w:val="20"/>
          <w:color w:val="auto"/>
        </w:rPr>
      </w:pPr>
      <w:r>
        <w:rPr>
          <w:rFonts w:ascii="Arial" w:cs="Arial" w:eastAsia="Arial" w:hAnsi="Arial"/>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a consideration, we received $9.6 million at closing from XOMA and we were eligible to receive an additional $0.05 million post-closing payment if Medexus' first quarter 2023 net sales of IXINITY exceeds $0.5 million. We accounted for the $9.6 million Closing Payment and the $0.05 million post-closing payment from XOMA as other income in accordance with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xml:space="preserve"> in the first quarter of 2023.</w:t>
      </w:r>
    </w:p>
    <w:p>
      <w:pPr>
        <w:spacing w:after="0" w:line="5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of a variety of factors, including:</w:t>
      </w:r>
    </w:p>
    <w:p>
      <w:pPr>
        <w:spacing w:after="0" w:line="62" w:lineRule="exact"/>
        <w:rPr>
          <w:sz w:val="20"/>
          <w:szCs w:val="20"/>
          <w:color w:val="auto"/>
        </w:rPr>
      </w:pPr>
    </w:p>
    <w:p>
      <w:pPr>
        <w:ind w:left="5540" w:right="3100" w:hanging="4573"/>
        <w:spacing w:after="0" w:line="527" w:lineRule="auto"/>
        <w:tabs>
          <w:tab w:leader="none" w:pos="1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timing of any milestone payments with respect to sales of IXINITY by Medexus;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left="1340" w:hanging="373"/>
        <w:spacing w:after="0"/>
        <w:tabs>
          <w:tab w:leader="none" w:pos="1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and to what extent future milestone payments are received under our Amendment to Royalty Purchase Agreement with HCR;</w:t>
      </w:r>
    </w:p>
    <w:p>
      <w:pPr>
        <w:spacing w:after="0" w:line="140" w:lineRule="exact"/>
        <w:rPr>
          <w:rFonts w:ascii="Arial" w:cs="Arial" w:eastAsia="Arial" w:hAnsi="Arial"/>
          <w:sz w:val="16"/>
          <w:szCs w:val="16"/>
          <w:color w:val="auto"/>
        </w:rPr>
      </w:pPr>
    </w:p>
    <w:p>
      <w:pPr>
        <w:jc w:val="both"/>
        <w:ind w:left="1340" w:hanging="373"/>
        <w:spacing w:after="0" w:line="263"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5" w:lineRule="exact"/>
        <w:rPr>
          <w:rFonts w:ascii="Arial" w:cs="Arial" w:eastAsia="Arial" w:hAnsi="Arial"/>
          <w:sz w:val="18"/>
          <w:szCs w:val="18"/>
          <w:color w:val="auto"/>
        </w:rPr>
      </w:pPr>
    </w:p>
    <w:p>
      <w:pPr>
        <w:ind w:left="1340" w:hanging="373"/>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and clinical activities as well as expenditures we will or may incur to acquire or develop additional technologies, products and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On June 25, 2020, we announced that we were entitled to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of RUXIENCE. The agreement was originally executed by Trubion Pharmaceuticals (which was subsequently acquired by Emergent) and Wyeth (a wholly-owned subsidiary of Pfizer).</w:t>
      </w:r>
    </w:p>
    <w:p>
      <w:pPr>
        <w:spacing w:after="0" w:line="5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March 31,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have no control over the sales of RUXIENCE and are therefore dependent on the efforts and ability of Pfizer to generate net sales of RUXIENCE sufficient for us to receive Milestone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milestone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509"/>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84" w:lineRule="exact"/>
        <w:rPr>
          <w:sz w:val="20"/>
          <w:szCs w:val="20"/>
          <w:color w:val="auto"/>
        </w:rPr>
      </w:pPr>
    </w:p>
    <w:p>
      <w:pPr>
        <w:jc w:val="both"/>
        <w:ind w:firstLine="530"/>
        <w:spacing w:after="0" w:line="257" w:lineRule="auto"/>
        <w:rPr>
          <w:sz w:val="20"/>
          <w:szCs w:val="20"/>
          <w:color w:val="auto"/>
        </w:rPr>
      </w:pPr>
      <w:r>
        <w:rPr>
          <w:rFonts w:ascii="Arial" w:cs="Arial" w:eastAsia="Arial" w:hAnsi="Arial"/>
          <w:sz w:val="18"/>
          <w:szCs w:val="18"/>
          <w:color w:val="auto"/>
        </w:rPr>
        <w:t>As of December 31, 2022, we had approximately $156.2 million and $71.1 million of federal and state net operating loss carryforwards, respectively, available to reduce future taxable income that will begin to expire in 2037 for federal income tax purposes. We completed an IRC Section 382 study through December 31, 2021. The study concluded that we have experienced an ownership change in November of 2020 and December of 2020 and $162.6 of our NOL carry forwards are subject to an annual limitation. It is not expected that the annual limitations will result in the expiration of NOL carryforwards prior to utilization assuming sufficient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jc w:val="both"/>
        <w:ind w:firstLine="509"/>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such as a deterioration in the bilateral relationship between the US and China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COVID-19 pandemic, reoccurrences of COVID-19 or other pandemics, or other future widespread public health epidemics could adversely impact our business, including our clinical trials.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COVID-19 pandemic caused severe global economic and societal disruptions and uncertainties. Although the COVID-19 pandemic has ended, reoccurrences of COVID-19 or other pandemics, or other future widespread public health epidemics may cause disruptions that could severely impact our business, such as delays or difficulties to the financing environment and raising capital due to economic uncertainty or volatility; supply constraints; delays in opportunities to partner our product candidates, due to financial and other impacts on potential partners; diversion of healthcare resources away from the conduct of clinical trials; potential impacts on our future milestone payments from Medexus due to the environment which may impact Medexus’ ability to continue to successfully commercialize the IXINITY business or Pfizer to successfully commercialize RUXIENCE; and negative impacts on suppliers and licensees. The ultimate impact of COVID-19 reoccurrences or other pandemics on our business, results of operations, financial condition and cash flows is dependent on future developments, including the duration of any pandemic and the related length of its impact on the United States and global economies, which are uncertain and cannot be predicted at this time. The impact of the COVID-19 pandemic, recurrences, or future other pandemics may also exacerbate many of the other risks described in this “Risk Factors” section. Despite our efforts to manage these impacts, their ultimate impact depends on factors beyond our knowledge or control, including the duration and severity of any outbreak and actions taken to contain its spread and mitigate its public health effects. The foregoing and other continued disruptions in our business as a result of COVID-19 could result in a material adverse effect on our business, results of operations, financial condition, prospects and the trading prices of our securities in the near-term and beyond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concluded enrollment in our Phase 1b clinical trial with APVO436 and are in the process of initiating a Phase 2 study in the second half of 2023. Additionally, we initiated a first-in-human Phase 1 clinical study of ALG.APV-527 in the first quarter of 2023.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6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we cannot guarantee that this trial or future trials of ALG.APV-527 will show the desired safety and efficacy.</w:t>
      </w:r>
    </w:p>
    <w:p>
      <w:pPr>
        <w:spacing w:after="0" w:line="7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For example, we released preliminary data regarding our APVO436 Phase 1b clinical trial study which may change or be inconsistent with future results.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260" w:hanging="368"/>
        <w:spacing w:after="0" w:line="263"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260" w:hanging="368"/>
        <w:spacing w:after="0" w:line="342" w:lineRule="auto"/>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15" w:lineRule="exact"/>
        <w:rPr>
          <w:rFonts w:ascii="Arial" w:cs="Arial" w:eastAsia="Arial" w:hAnsi="Arial"/>
          <w:sz w:val="16"/>
          <w:szCs w:val="16"/>
          <w:color w:val="auto"/>
        </w:rPr>
      </w:pPr>
    </w:p>
    <w:p>
      <w:pPr>
        <w:ind w:left="1260" w:hanging="368"/>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left="1260" w:hanging="368"/>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fail to reach an agreement with regulators or IRBs regarding the scope, design, or implementation of our clinical trials;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62" w:lineRule="exact"/>
        <w:rPr>
          <w:rFonts w:ascii="Arial" w:cs="Arial" w:eastAsia="Arial" w:hAnsi="Arial"/>
          <w:sz w:val="18"/>
          <w:szCs w:val="18"/>
          <w:color w:val="auto"/>
        </w:rPr>
      </w:pPr>
    </w:p>
    <w:p>
      <w:pPr>
        <w:ind w:left="1260" w:hanging="368"/>
        <w:spacing w:after="0" w:line="308"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260" w:hanging="368"/>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submitted an IND for ALG.APV-527 to the FDA in the second half of 2022 for which we received a “may proceed” notification from the FDA.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study participants as we require that patients have specific characteristics that we can measure to assure their disease is either severe enough or not too advanced to include them in a study.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clinical trial, including the patient eligibility criteria for the study in question;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of preliminary results of any of our clinical trial sites;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5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64" w:lineRule="exact"/>
        <w:rPr>
          <w:sz w:val="20"/>
          <w:szCs w:val="20"/>
          <w:color w:val="auto"/>
        </w:rPr>
      </w:pPr>
    </w:p>
    <w:p>
      <w:pPr>
        <w:ind w:left="1260" w:hanging="368"/>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us to conduct additional clinical trials or abandon our research efforts for our other product candidates;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jc w:val="both"/>
        <w:ind w:left="1260" w:hanging="368"/>
        <w:spacing w:after="0" w:line="286"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57" w:lineRule="exact"/>
        <w:rPr>
          <w:rFonts w:ascii="Arial" w:cs="Arial" w:eastAsia="Arial" w:hAnsi="Arial"/>
          <w:sz w:val="17"/>
          <w:szCs w:val="17"/>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5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41"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jc w:val="both"/>
        <w:ind w:firstLine="509"/>
        <w:spacing w:after="0" w:line="273" w:lineRule="auto"/>
        <w:rPr>
          <w:sz w:val="20"/>
          <w:szCs w:val="20"/>
          <w:color w:val="auto"/>
        </w:rPr>
      </w:pPr>
      <w:r>
        <w:rPr>
          <w:rFonts w:ascii="Arial" w:cs="Arial" w:eastAsia="Arial" w:hAnsi="Arial"/>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7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93"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regimens. Drugs designated as breakthrough therapies by the FDA are also eligible for accelerated approval and priority review.</w:t>
      </w:r>
    </w:p>
    <w:p>
      <w:pPr>
        <w:spacing w:after="0" w:line="34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200" w:lineRule="exact"/>
        <w:rPr>
          <w:sz w:val="20"/>
          <w:szCs w:val="20"/>
          <w:color w:val="auto"/>
        </w:rPr>
      </w:pP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1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2" w:lineRule="exact"/>
        <w:rPr>
          <w:sz w:val="20"/>
          <w:szCs w:val="20"/>
          <w:color w:val="auto"/>
        </w:rPr>
      </w:pPr>
    </w:p>
    <w:p>
      <w:pPr>
        <w:jc w:val="both"/>
        <w:ind w:firstLine="8"/>
        <w:spacing w:after="0" w:line="287"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 the past and may in the future conduct clinical trials for our product candidates outside the United States, and the FDA or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authorities may not accept data from such trials in the development or approval of our product candidates in those jurisdictions.</w:t>
      </w:r>
    </w:p>
    <w:p>
      <w:pPr>
        <w:spacing w:after="0" w:line="12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7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 key element of our strategy is to expand our product pipeline of immunotherapy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5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believe that our most significant competitors in the oncology market include: AbbVie Inc., Affimed, ALX Oncology Holdings Inc., Amgen Inc., AnaptysBio, Inc., Arcellx, Astellas Pharma Inc., AvenCell Therapeutics, Inc., Bayer AG, Biogen Idec Inc., Boehringer Ingelheim GmbH, Bristol Myers Squibb, Cellectis, Chinook Therapeutics, City of Hope, Genentech Inc. (a subsidiary of F. Hoffmann-La Roche Ltd.), Genmab A/S, Gilead Sciences, Inc., GlaxoSmithKline plc, Grifols USA LLC, Harpoon Therapeutics, ImmunoGen, Inc., Immunomedics, Inc., Inhibrx Inc., Innate Pharma, invoX Pharma, Janssen BioTech Inc., Johnson &amp; Johnson, Kyowa Hakko Kirin Pharma, Macrogenics, Inc., Molecular Partners, Mustang Bio, Pieris Pharmaceuticals, Inc., ProMab Biotechnologies, Sanofi-Aventis US LLC, Shattuck Labs, Strike Pharma, Syros Pharmaceuticals, Inc., Pfizer Inc., Takeda Pharmaceuticals U.S.A., Inc., University of Pennsylvania, VenCell Therapeutics, Xencor, Inc., Y-mAbs Therapeutics,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64" w:lineRule="exact"/>
        <w:rPr>
          <w:sz w:val="20"/>
          <w:szCs w:val="20"/>
          <w:color w:val="auto"/>
        </w:rPr>
      </w:pPr>
    </w:p>
    <w:p>
      <w:pPr>
        <w:jc w:val="both"/>
        <w:ind w:left="1260" w:hanging="368"/>
        <w:spacing w:after="0" w:line="275"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will resume on July 1, 2022.</w:t>
      </w:r>
    </w:p>
    <w:p>
      <w:pPr>
        <w:spacing w:after="0" w:line="68" w:lineRule="exact"/>
        <w:rPr>
          <w:rFonts w:ascii="Arial" w:cs="Arial" w:eastAsia="Arial" w:hAnsi="Arial"/>
          <w:sz w:val="17"/>
          <w:szCs w:val="17"/>
          <w:color w:val="auto"/>
        </w:rPr>
      </w:pPr>
    </w:p>
    <w:p>
      <w:pPr>
        <w:jc w:val="both"/>
        <w:ind w:left="1260" w:hanging="368"/>
        <w:spacing w:after="0" w:line="275"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6"/>
          <w:szCs w:val="16"/>
          <w:color w:val="auto"/>
        </w:rPr>
        <w:t>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5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jc w:val="both"/>
        <w:ind w:firstLine="509"/>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80" w:lineRule="exact"/>
        <w:rPr>
          <w:sz w:val="20"/>
          <w:szCs w:val="20"/>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373"/>
        <w:spacing w:after="0" w:line="25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040" w:hanging="373"/>
        <w:spacing w:after="0" w:line="25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040" w:hanging="373"/>
        <w:spacing w:after="0" w:line="29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040" w:hanging="373"/>
        <w:spacing w:after="0" w:line="25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jc w:val="both"/>
        <w:ind w:left="1040" w:hanging="373"/>
        <w:spacing w:after="0" w:line="296"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40" w:hanging="373"/>
        <w:spacing w:after="0" w:line="271"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both"/>
        <w:spacing w:after="0" w:line="272" w:lineRule="auto"/>
        <w:rPr>
          <w:sz w:val="20"/>
          <w:szCs w:val="20"/>
          <w:color w:val="auto"/>
        </w:rPr>
      </w:pPr>
      <w:r>
        <w:rPr>
          <w:rFonts w:ascii="Arial" w:cs="Arial" w:eastAsia="Arial" w:hAnsi="Arial"/>
          <w:sz w:val="17"/>
          <w:szCs w:val="17"/>
          <w:color w:val="auto"/>
        </w:rPr>
        <w:t>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on the part of employees or third parties, including computer hackers, encryption by ransomware, or may result from technological failure.</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68" w:lineRule="exact"/>
        <w:rPr>
          <w:sz w:val="20"/>
          <w:szCs w:val="20"/>
          <w:color w:val="auto"/>
        </w:rPr>
      </w:pPr>
    </w:p>
    <w:p>
      <w:pPr>
        <w:ind w:left="1260" w:hanging="368"/>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U.S. and foreign patents, that are meaningful to our products, including defending those patents against adverse claims;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jc w:val="both"/>
        <w:ind w:firstLine="509"/>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(PTAB) of the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If approved, our products regulated as biologics may face competition from biosimilars approved through an abbreviated regulatory pathway.</w:t>
      </w:r>
    </w:p>
    <w:p>
      <w:pPr>
        <w:spacing w:after="0" w:line="1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have an application pending that covers the APTEVO THERAPEUTICS trademark and received a notice of allowance from the USPTO for the APTEVO BIOTHERAPEUTICS and APTEVO RESEARCH AND DEVELOPMENT trademarks in August 2022.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Collaborations and Other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260" w:hanging="368"/>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6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Our stock price has fluctuated in the past and is likely to be volatile in the future. Between August 1, 2016 and up to March 31, 2023, the reported closing price of our common stock has fluctuated between $1.74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macroeconomic conditions, including rising and fluctuating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58"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expenses, and results of clinical and preclinical trials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whether and to what extent future milestone payments are received under our Amendment to Royalty Purchase Agreement with HCR;</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industry and macroeconomic conditions, including domestic and global financial, economic, and geopolitical instability;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such as the Tang Ownership Change,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both"/>
        <w:ind w:firstLine="509"/>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April 1, 2022, the Company received a letter from Nasdaq indicating that it was not in compliance with Nasdaq Listing Rule 5550(b)(1), which requires companies listed on Nasdaq to maintain a minimum of $2,500,000 in stockholders’ equity for continued listing. On its annual report for the year ended December 31, 2021, the Company reported stockholders’ equity of $1,216,000, and, as a result, did not satisfy Listing Rule 5550(b)(1). In the second quarter of 2022, the Company regained compliance with the Nasdaq Listing Rule.</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existing Purchase Agreement with Lincoln Park,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8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Moreover, we currently have a short-term stockholder rights agreement in effect. This rights agreement was amended on November 4, 2021 to extend the expiration date of such agreement from November 8, 2021 to November 5, 2022 and further amended on November 4, 2022 to extend the expiration of such agreement to November 4, 2023.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connection with the transaction with Lincoln Park, we registered under the Securities Act of 1933, as amended, the resale of shares of common stock that have been and may be issued under the Purchase Agreement with Lincoln Park. Any such sales or perception that such sales may occur, whether under the Lincoln Park Purchase Agreement or otherwise, could decrease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80" w:type="dxa"/>
            <w:vAlign w:val="bottom"/>
            <w:gridSpan w:val="4"/>
          </w:tcPr>
          <w:p>
            <w:pPr>
              <w:ind w:left="30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gridSpan w:val="4"/>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Payment Interest Purchase Agreement by and between Aptevo Therapeutics Inc. and XOMA (US) LLC, dated March 29, 2023.</w:t>
            </w:r>
          </w:p>
        </w:tc>
        <w:tc>
          <w:tcPr>
            <w:tcW w:w="20" w:type="dxa"/>
            <w:vAlign w:val="bottom"/>
            <w:tcBorders>
              <w:bottom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Arial" w:cs="Arial" w:eastAsia="Arial" w:hAnsi="Arial"/>
                <w:sz w:val="18"/>
                <w:szCs w:val="18"/>
                <w:color w:val="0000FF"/>
              </w:rPr>
              <w:t>Adopted Pursuant to Section 302 of the Sarbanes 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1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6"/>
              </w:rPr>
              <w:t>Certification of Principal Financial Officer Pursuant to Rules 13a-14(a) and 15d-14(a) under the Securities Exchange Act of 1934, as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Arial" w:cs="Arial" w:eastAsia="Arial" w:hAnsi="Arial"/>
                <w:sz w:val="18"/>
                <w:szCs w:val="18"/>
                <w:color w:val="0000FF"/>
              </w:rPr>
              <w:t>Adopted Pursuant to Section 302 of the Sarbanes 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1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right="20" w:firstLine="8"/>
        <w:spacing w:after="0" w:line="277"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Schedules and other similar attachments have been omitted pursuant to Item 601(a)(5) of Regulation S-K. Aptevo will furnish copies of any such schedules and attachments to the Securities and Exchange Commission upon request.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APTEVO THERAPEUTICS INC.</w:t>
      </w:r>
    </w:p>
    <w:p>
      <w:pPr>
        <w:spacing w:after="0" w:line="306" w:lineRule="exact"/>
        <w:rPr>
          <w:sz w:val="20"/>
          <w:szCs w:val="20"/>
          <w:color w:val="auto"/>
        </w:rPr>
      </w:pPr>
    </w:p>
    <w:p>
      <w:pPr>
        <w:ind w:left="20"/>
        <w:spacing w:after="0"/>
        <w:tabs>
          <w:tab w:leader="none" w:pos="6160" w:val="left"/>
          <w:tab w:leader="none" w:pos="82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23495</wp:posOffset>
            </wp:positionV>
            <wp:extent cx="29063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10" w:lineRule="exact"/>
        <w:rPr>
          <w:sz w:val="20"/>
          <w:szCs w:val="20"/>
          <w:color w:val="auto"/>
        </w:rPr>
      </w:pPr>
    </w:p>
    <w:p>
      <w:pPr>
        <w:ind w:left="20"/>
        <w:spacing w:after="0"/>
        <w:tabs>
          <w:tab w:leader="none" w:pos="6160" w:val="left"/>
          <w:tab w:leader="none" w:pos="828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23495</wp:posOffset>
            </wp:positionV>
            <wp:extent cx="29063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Daphne Taylor</w:t>
      </w:r>
    </w:p>
    <w:p>
      <w:pPr>
        <w:spacing w:after="0" w:line="3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i w:val="1"/>
          <w:iCs w:val="1"/>
          <w:color w:val="auto"/>
        </w:rPr>
        <w:t>EXHIBIT 10.1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CERTAIN IDENTIFIED INFORMATION HAS BEEN EXCLUDED (INDICATED BY: [***]) FROM THE EXHIBIT BECAUSE IT IS BOTH (I) NOT MATERIAL AND (II) THE TYPE OF INFORMATION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PAYMENT INTEREST PURCHASE AGREEMENT</w:t>
      </w:r>
    </w:p>
    <w:p>
      <w:pPr>
        <w:spacing w:after="0" w:line="4"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BY AND BETWEEN</w:t>
      </w:r>
    </w:p>
    <w:p>
      <w:pPr>
        <w:jc w:val="center"/>
        <w:ind w:right="420"/>
        <w:spacing w:after="0" w:line="230" w:lineRule="auto"/>
        <w:rPr>
          <w:sz w:val="20"/>
          <w:szCs w:val="20"/>
          <w:color w:val="auto"/>
        </w:rPr>
      </w:pPr>
      <w:r>
        <w:rPr>
          <w:rFonts w:ascii="Arial" w:cs="Arial" w:eastAsia="Arial" w:hAnsi="Arial"/>
          <w:sz w:val="22"/>
          <w:szCs w:val="22"/>
          <w:b w:val="1"/>
          <w:bCs w:val="1"/>
          <w:color w:val="auto"/>
        </w:rPr>
        <w:t>APTEVO THERAPEUTICS INC.</w:t>
      </w:r>
    </w:p>
    <w:p>
      <w:pPr>
        <w:jc w:val="center"/>
        <w:ind w:right="420"/>
        <w:spacing w:after="0" w:line="231" w:lineRule="auto"/>
        <w:rPr>
          <w:sz w:val="20"/>
          <w:szCs w:val="20"/>
          <w:color w:val="auto"/>
        </w:rPr>
      </w:pPr>
      <w:r>
        <w:rPr>
          <w:rFonts w:ascii="Arial" w:cs="Arial" w:eastAsia="Arial" w:hAnsi="Arial"/>
          <w:sz w:val="22"/>
          <w:szCs w:val="22"/>
          <w:b w:val="1"/>
          <w:bCs w:val="1"/>
          <w:color w:val="auto"/>
        </w:rPr>
        <w:t>AND</w:t>
      </w:r>
    </w:p>
    <w:p>
      <w:pPr>
        <w:jc w:val="center"/>
        <w:ind w:right="420"/>
        <w:spacing w:after="0" w:line="230" w:lineRule="auto"/>
        <w:rPr>
          <w:sz w:val="20"/>
          <w:szCs w:val="20"/>
          <w:color w:val="auto"/>
        </w:rPr>
      </w:pPr>
      <w:r>
        <w:rPr>
          <w:rFonts w:ascii="Arial" w:cs="Arial" w:eastAsia="Arial" w:hAnsi="Arial"/>
          <w:sz w:val="22"/>
          <w:szCs w:val="22"/>
          <w:b w:val="1"/>
          <w:bCs w:val="1"/>
          <w:color w:val="auto"/>
        </w:rPr>
        <w:t>XOMA (US) LLC</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DATED AS OF 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1251585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40" w:top="12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74"/>
        </w:trPr>
        <w:tc>
          <w:tcPr>
            <w:tcW w:w="2140" w:type="dxa"/>
            <w:vAlign w:val="bottom"/>
          </w:tcPr>
          <w:p>
            <w:pPr>
              <w:spacing w:after="0"/>
              <w:rPr>
                <w:sz w:val="23"/>
                <w:szCs w:val="23"/>
                <w:color w:val="auto"/>
              </w:rPr>
            </w:pPr>
          </w:p>
        </w:tc>
        <w:tc>
          <w:tcPr>
            <w:tcW w:w="6560" w:type="dxa"/>
            <w:vAlign w:val="bottom"/>
          </w:tcPr>
          <w:p>
            <w:pPr>
              <w:ind w:left="266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able of</w:t>
            </w:r>
            <w:r>
              <w:rPr>
                <w:rFonts w:ascii="Arial" w:cs="Arial" w:eastAsia="Arial" w:hAnsi="Arial"/>
                <w:sz w:val="22"/>
                <w:szCs w:val="22"/>
                <w:color w:val="auto"/>
              </w:rPr>
              <w:t xml:space="preserve"> C</w:t>
            </w:r>
            <w:r>
              <w:rPr>
                <w:rFonts w:ascii="Arial" w:cs="Arial" w:eastAsia="Arial" w:hAnsi="Arial"/>
                <w:sz w:val="14"/>
                <w:szCs w:val="14"/>
                <w:color w:val="auto"/>
              </w:rPr>
              <w:t>ontents</w:t>
            </w:r>
          </w:p>
        </w:tc>
        <w:tc>
          <w:tcPr>
            <w:tcW w:w="2540" w:type="dxa"/>
            <w:vAlign w:val="bottom"/>
          </w:tcPr>
          <w:p>
            <w:pPr>
              <w:spacing w:after="0"/>
              <w:rPr>
                <w:sz w:val="23"/>
                <w:szCs w:val="23"/>
                <w:color w:val="auto"/>
              </w:rPr>
            </w:pPr>
          </w:p>
        </w:tc>
      </w:tr>
      <w:tr>
        <w:trPr>
          <w:trHeight w:val="486"/>
        </w:trPr>
        <w:tc>
          <w:tcPr>
            <w:tcW w:w="21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522"/>
        </w:trPr>
        <w:tc>
          <w:tcPr>
            <w:tcW w:w="8700" w:type="dxa"/>
            <w:vAlign w:val="bottom"/>
            <w:gridSpan w:val="2"/>
          </w:tcPr>
          <w:p>
            <w:pPr>
              <w:ind w:left="20"/>
              <w:spacing w:after="0"/>
              <w:rPr>
                <w:sz w:val="20"/>
                <w:szCs w:val="20"/>
                <w:color w:val="auto"/>
              </w:rPr>
            </w:pPr>
            <w:r>
              <w:rPr>
                <w:rFonts w:ascii="Arial" w:cs="Arial" w:eastAsia="Arial" w:hAnsi="Arial"/>
                <w:sz w:val="22"/>
                <w:szCs w:val="22"/>
                <w:color w:val="0000FF"/>
              </w:rPr>
              <w:t>ARTICLE I DEFINITIONS; INTERPRETATION</w:t>
            </w:r>
          </w:p>
        </w:tc>
        <w:tc>
          <w:tcPr>
            <w:tcW w:w="2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1.1</w:t>
            </w:r>
          </w:p>
        </w:tc>
        <w:tc>
          <w:tcPr>
            <w:tcW w:w="6560" w:type="dxa"/>
            <w:vAlign w:val="bottom"/>
          </w:tcPr>
          <w:p>
            <w:pPr>
              <w:ind w:left="400"/>
              <w:spacing w:after="0"/>
              <w:rPr>
                <w:sz w:val="20"/>
                <w:szCs w:val="20"/>
                <w:color w:val="auto"/>
              </w:rPr>
            </w:pPr>
            <w:r>
              <w:rPr>
                <w:rFonts w:ascii="Arial" w:cs="Arial" w:eastAsia="Arial" w:hAnsi="Arial"/>
                <w:sz w:val="22"/>
                <w:szCs w:val="22"/>
                <w:color w:val="0000FF"/>
              </w:rPr>
              <w:t>Definitions</w:t>
            </w:r>
          </w:p>
        </w:tc>
        <w:tc>
          <w:tcPr>
            <w:tcW w:w="2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1.2</w:t>
            </w:r>
          </w:p>
        </w:tc>
        <w:tc>
          <w:tcPr>
            <w:tcW w:w="6560" w:type="dxa"/>
            <w:vAlign w:val="bottom"/>
          </w:tcPr>
          <w:p>
            <w:pPr>
              <w:ind w:left="400"/>
              <w:spacing w:after="0"/>
              <w:rPr>
                <w:sz w:val="20"/>
                <w:szCs w:val="20"/>
                <w:color w:val="auto"/>
              </w:rPr>
            </w:pPr>
            <w:r>
              <w:rPr>
                <w:rFonts w:ascii="Arial" w:cs="Arial" w:eastAsia="Arial" w:hAnsi="Arial"/>
                <w:sz w:val="22"/>
                <w:szCs w:val="22"/>
                <w:color w:val="0000FF"/>
              </w:rPr>
              <w:t>Certain Interpretations</w:t>
            </w:r>
          </w:p>
        </w:tc>
        <w:tc>
          <w:tcPr>
            <w:tcW w:w="2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82"/>
        </w:trPr>
        <w:tc>
          <w:tcPr>
            <w:tcW w:w="8700" w:type="dxa"/>
            <w:vAlign w:val="bottom"/>
            <w:gridSpan w:val="2"/>
          </w:tcPr>
          <w:p>
            <w:pPr>
              <w:ind w:left="20"/>
              <w:spacing w:after="0"/>
              <w:rPr>
                <w:sz w:val="20"/>
                <w:szCs w:val="20"/>
                <w:color w:val="auto"/>
              </w:rPr>
            </w:pPr>
            <w:r>
              <w:rPr>
                <w:rFonts w:ascii="Arial" w:cs="Arial" w:eastAsia="Arial" w:hAnsi="Arial"/>
                <w:sz w:val="22"/>
                <w:szCs w:val="22"/>
                <w:color w:val="0000FF"/>
              </w:rPr>
              <w:t>ARTICLE II PURCHASE AND SALE OF PURCHASED RECEIVABLES</w:t>
            </w:r>
          </w:p>
        </w:tc>
        <w:tc>
          <w:tcPr>
            <w:tcW w:w="2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2.1</w:t>
            </w:r>
          </w:p>
        </w:tc>
        <w:tc>
          <w:tcPr>
            <w:tcW w:w="6560" w:type="dxa"/>
            <w:vAlign w:val="bottom"/>
          </w:tcPr>
          <w:p>
            <w:pPr>
              <w:ind w:left="400"/>
              <w:spacing w:after="0"/>
              <w:rPr>
                <w:sz w:val="20"/>
                <w:szCs w:val="20"/>
                <w:color w:val="auto"/>
              </w:rPr>
            </w:pPr>
            <w:r>
              <w:rPr>
                <w:rFonts w:ascii="Arial" w:cs="Arial" w:eastAsia="Arial" w:hAnsi="Arial"/>
                <w:sz w:val="22"/>
                <w:szCs w:val="22"/>
                <w:color w:val="0000FF"/>
              </w:rPr>
              <w:t>Purchase and Sale of Purchased Receivables</w:t>
            </w:r>
          </w:p>
        </w:tc>
        <w:tc>
          <w:tcPr>
            <w:tcW w:w="2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2.2</w:t>
            </w:r>
          </w:p>
        </w:tc>
        <w:tc>
          <w:tcPr>
            <w:tcW w:w="6560" w:type="dxa"/>
            <w:vAlign w:val="bottom"/>
          </w:tcPr>
          <w:p>
            <w:pPr>
              <w:ind w:left="400"/>
              <w:spacing w:after="0"/>
              <w:rPr>
                <w:sz w:val="20"/>
                <w:szCs w:val="20"/>
                <w:color w:val="auto"/>
              </w:rPr>
            </w:pPr>
            <w:r>
              <w:rPr>
                <w:rFonts w:ascii="Arial" w:cs="Arial" w:eastAsia="Arial" w:hAnsi="Arial"/>
                <w:sz w:val="22"/>
                <w:szCs w:val="22"/>
                <w:color w:val="0000FF"/>
              </w:rPr>
              <w:t>Post-Closing Trigger Payment</w:t>
            </w:r>
          </w:p>
        </w:tc>
        <w:tc>
          <w:tcPr>
            <w:tcW w:w="2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2.3</w:t>
            </w:r>
          </w:p>
        </w:tc>
        <w:tc>
          <w:tcPr>
            <w:tcW w:w="6560" w:type="dxa"/>
            <w:vAlign w:val="bottom"/>
          </w:tcPr>
          <w:p>
            <w:pPr>
              <w:ind w:left="400"/>
              <w:spacing w:after="0"/>
              <w:rPr>
                <w:sz w:val="20"/>
                <w:szCs w:val="20"/>
                <w:color w:val="auto"/>
              </w:rPr>
            </w:pPr>
            <w:r>
              <w:rPr>
                <w:rFonts w:ascii="Arial" w:cs="Arial" w:eastAsia="Arial" w:hAnsi="Arial"/>
                <w:sz w:val="22"/>
                <w:szCs w:val="22"/>
                <w:color w:val="0000FF"/>
              </w:rPr>
              <w:t>Excluded Assets</w:t>
            </w:r>
          </w:p>
        </w:tc>
        <w:tc>
          <w:tcPr>
            <w:tcW w:w="25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2.4</w:t>
            </w:r>
          </w:p>
        </w:tc>
        <w:tc>
          <w:tcPr>
            <w:tcW w:w="6560" w:type="dxa"/>
            <w:vAlign w:val="bottom"/>
          </w:tcPr>
          <w:p>
            <w:pPr>
              <w:ind w:left="400"/>
              <w:spacing w:after="0"/>
              <w:rPr>
                <w:sz w:val="20"/>
                <w:szCs w:val="20"/>
                <w:color w:val="auto"/>
              </w:rPr>
            </w:pPr>
            <w:r>
              <w:rPr>
                <w:rFonts w:ascii="Arial" w:cs="Arial" w:eastAsia="Arial" w:hAnsi="Arial"/>
                <w:sz w:val="22"/>
                <w:szCs w:val="22"/>
                <w:color w:val="0000FF"/>
              </w:rPr>
              <w:t>No Obligations Transferred</w:t>
            </w:r>
          </w:p>
        </w:tc>
        <w:tc>
          <w:tcPr>
            <w:tcW w:w="25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2.5</w:t>
            </w:r>
          </w:p>
        </w:tc>
        <w:tc>
          <w:tcPr>
            <w:tcW w:w="6560" w:type="dxa"/>
            <w:vAlign w:val="bottom"/>
          </w:tcPr>
          <w:p>
            <w:pPr>
              <w:ind w:left="400"/>
              <w:spacing w:after="0"/>
              <w:rPr>
                <w:sz w:val="20"/>
                <w:szCs w:val="20"/>
                <w:color w:val="auto"/>
              </w:rPr>
            </w:pPr>
            <w:r>
              <w:rPr>
                <w:rFonts w:ascii="Arial" w:cs="Arial" w:eastAsia="Arial" w:hAnsi="Arial"/>
                <w:sz w:val="22"/>
                <w:szCs w:val="22"/>
                <w:color w:val="0000FF"/>
              </w:rPr>
              <w:t>True Sale</w:t>
            </w:r>
          </w:p>
        </w:tc>
        <w:tc>
          <w:tcPr>
            <w:tcW w:w="25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2.6</w:t>
            </w:r>
          </w:p>
        </w:tc>
        <w:tc>
          <w:tcPr>
            <w:tcW w:w="6560" w:type="dxa"/>
            <w:vAlign w:val="bottom"/>
          </w:tcPr>
          <w:p>
            <w:pPr>
              <w:ind w:left="400"/>
              <w:spacing w:after="0"/>
              <w:rPr>
                <w:sz w:val="20"/>
                <w:szCs w:val="20"/>
                <w:color w:val="auto"/>
              </w:rPr>
            </w:pPr>
            <w:r>
              <w:rPr>
                <w:rFonts w:ascii="Arial" w:cs="Arial" w:eastAsia="Arial" w:hAnsi="Arial"/>
                <w:sz w:val="22"/>
                <w:szCs w:val="22"/>
                <w:color w:val="0000FF"/>
              </w:rPr>
              <w:t>Payments</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2"/>
        </w:trPr>
        <w:tc>
          <w:tcPr>
            <w:tcW w:w="8700" w:type="dxa"/>
            <w:vAlign w:val="bottom"/>
            <w:gridSpan w:val="2"/>
          </w:tcPr>
          <w:p>
            <w:pPr>
              <w:ind w:left="20"/>
              <w:spacing w:after="0"/>
              <w:rPr>
                <w:sz w:val="20"/>
                <w:szCs w:val="20"/>
                <w:color w:val="auto"/>
              </w:rPr>
            </w:pPr>
            <w:r>
              <w:rPr>
                <w:rFonts w:ascii="Arial" w:cs="Arial" w:eastAsia="Arial" w:hAnsi="Arial"/>
                <w:sz w:val="22"/>
                <w:szCs w:val="22"/>
                <w:color w:val="0000FF"/>
              </w:rPr>
              <w:t>ARTICLE III CLOSING; DELIVERABLES</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3.1</w:t>
            </w:r>
          </w:p>
        </w:tc>
        <w:tc>
          <w:tcPr>
            <w:tcW w:w="6560" w:type="dxa"/>
            <w:vAlign w:val="bottom"/>
          </w:tcPr>
          <w:p>
            <w:pPr>
              <w:ind w:left="400"/>
              <w:spacing w:after="0"/>
              <w:rPr>
                <w:sz w:val="20"/>
                <w:szCs w:val="20"/>
                <w:color w:val="auto"/>
              </w:rPr>
            </w:pPr>
            <w:r>
              <w:rPr>
                <w:rFonts w:ascii="Arial" w:cs="Arial" w:eastAsia="Arial" w:hAnsi="Arial"/>
                <w:sz w:val="22"/>
                <w:szCs w:val="22"/>
                <w:color w:val="0000FF"/>
              </w:rPr>
              <w:t>Closing</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3.2</w:t>
            </w:r>
          </w:p>
        </w:tc>
        <w:tc>
          <w:tcPr>
            <w:tcW w:w="6560" w:type="dxa"/>
            <w:vAlign w:val="bottom"/>
          </w:tcPr>
          <w:p>
            <w:pPr>
              <w:ind w:left="400"/>
              <w:spacing w:after="0"/>
              <w:rPr>
                <w:sz w:val="20"/>
                <w:szCs w:val="20"/>
                <w:color w:val="auto"/>
              </w:rPr>
            </w:pPr>
            <w:r>
              <w:rPr>
                <w:rFonts w:ascii="Arial" w:cs="Arial" w:eastAsia="Arial" w:hAnsi="Arial"/>
                <w:sz w:val="22"/>
                <w:szCs w:val="22"/>
                <w:color w:val="0000FF"/>
              </w:rPr>
              <w:t>Payment of Purchase Price</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3.3</w:t>
            </w:r>
          </w:p>
        </w:tc>
        <w:tc>
          <w:tcPr>
            <w:tcW w:w="6560" w:type="dxa"/>
            <w:vAlign w:val="bottom"/>
          </w:tcPr>
          <w:p>
            <w:pPr>
              <w:ind w:left="400"/>
              <w:spacing w:after="0"/>
              <w:rPr>
                <w:sz w:val="20"/>
                <w:szCs w:val="20"/>
                <w:color w:val="auto"/>
              </w:rPr>
            </w:pPr>
            <w:r>
              <w:rPr>
                <w:rFonts w:ascii="Arial" w:cs="Arial" w:eastAsia="Arial" w:hAnsi="Arial"/>
                <w:sz w:val="22"/>
                <w:szCs w:val="22"/>
                <w:color w:val="0000FF"/>
              </w:rPr>
              <w:t>Closing Certificates</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3.4</w:t>
            </w:r>
          </w:p>
        </w:tc>
        <w:tc>
          <w:tcPr>
            <w:tcW w:w="6560" w:type="dxa"/>
            <w:vAlign w:val="bottom"/>
          </w:tcPr>
          <w:p>
            <w:pPr>
              <w:ind w:left="400"/>
              <w:spacing w:after="0"/>
              <w:rPr>
                <w:sz w:val="20"/>
                <w:szCs w:val="20"/>
                <w:color w:val="auto"/>
              </w:rPr>
            </w:pPr>
            <w:r>
              <w:rPr>
                <w:rFonts w:ascii="Arial" w:cs="Arial" w:eastAsia="Arial" w:hAnsi="Arial"/>
                <w:sz w:val="22"/>
                <w:szCs w:val="22"/>
                <w:color w:val="0000FF"/>
              </w:rPr>
              <w:t>Bill of Sale and Assignment</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3.5</w:t>
            </w:r>
          </w:p>
        </w:tc>
        <w:tc>
          <w:tcPr>
            <w:tcW w:w="6560" w:type="dxa"/>
            <w:vAlign w:val="bottom"/>
          </w:tcPr>
          <w:p>
            <w:pPr>
              <w:ind w:left="400"/>
              <w:spacing w:after="0"/>
              <w:rPr>
                <w:sz w:val="20"/>
                <w:szCs w:val="20"/>
                <w:color w:val="auto"/>
              </w:rPr>
            </w:pPr>
            <w:r>
              <w:rPr>
                <w:rFonts w:ascii="Arial" w:cs="Arial" w:eastAsia="Arial" w:hAnsi="Arial"/>
                <w:sz w:val="22"/>
                <w:szCs w:val="22"/>
                <w:color w:val="0000FF"/>
              </w:rPr>
              <w:t>Tax Forms</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3.6</w:t>
            </w:r>
          </w:p>
        </w:tc>
        <w:tc>
          <w:tcPr>
            <w:tcW w:w="6560" w:type="dxa"/>
            <w:vAlign w:val="bottom"/>
          </w:tcPr>
          <w:p>
            <w:pPr>
              <w:ind w:left="400"/>
              <w:spacing w:after="0"/>
              <w:rPr>
                <w:sz w:val="20"/>
                <w:szCs w:val="20"/>
                <w:color w:val="auto"/>
              </w:rPr>
            </w:pPr>
            <w:r>
              <w:rPr>
                <w:rFonts w:ascii="Arial" w:cs="Arial" w:eastAsia="Arial" w:hAnsi="Arial"/>
                <w:sz w:val="22"/>
                <w:szCs w:val="22"/>
                <w:color w:val="0000FF"/>
              </w:rPr>
              <w:t>Medexus Consent</w:t>
            </w:r>
          </w:p>
        </w:tc>
        <w:tc>
          <w:tcPr>
            <w:tcW w:w="2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3.7</w:t>
            </w:r>
          </w:p>
        </w:tc>
        <w:tc>
          <w:tcPr>
            <w:tcW w:w="6560" w:type="dxa"/>
            <w:vAlign w:val="bottom"/>
          </w:tcPr>
          <w:p>
            <w:pPr>
              <w:ind w:left="400"/>
              <w:spacing w:after="0"/>
              <w:rPr>
                <w:sz w:val="20"/>
                <w:szCs w:val="20"/>
                <w:color w:val="auto"/>
              </w:rPr>
            </w:pPr>
            <w:r>
              <w:rPr>
                <w:rFonts w:ascii="Arial" w:cs="Arial" w:eastAsia="Arial" w:hAnsi="Arial"/>
                <w:sz w:val="22"/>
                <w:szCs w:val="22"/>
                <w:color w:val="0000FF"/>
              </w:rPr>
              <w:t>Legal Opinion</w:t>
            </w:r>
          </w:p>
        </w:tc>
        <w:tc>
          <w:tcPr>
            <w:tcW w:w="25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3.8</w:t>
            </w:r>
          </w:p>
        </w:tc>
        <w:tc>
          <w:tcPr>
            <w:tcW w:w="6560" w:type="dxa"/>
            <w:vAlign w:val="bottom"/>
          </w:tcPr>
          <w:p>
            <w:pPr>
              <w:ind w:left="400"/>
              <w:spacing w:after="0"/>
              <w:rPr>
                <w:sz w:val="20"/>
                <w:szCs w:val="20"/>
                <w:color w:val="auto"/>
              </w:rPr>
            </w:pPr>
            <w:r>
              <w:rPr>
                <w:rFonts w:ascii="Arial" w:cs="Arial" w:eastAsia="Arial" w:hAnsi="Arial"/>
                <w:sz w:val="22"/>
                <w:szCs w:val="22"/>
                <w:color w:val="0000FF"/>
              </w:rPr>
              <w:t>MidCap Release</w:t>
            </w:r>
          </w:p>
        </w:tc>
        <w:tc>
          <w:tcPr>
            <w:tcW w:w="25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3.9</w:t>
            </w:r>
          </w:p>
        </w:tc>
        <w:tc>
          <w:tcPr>
            <w:tcW w:w="6560" w:type="dxa"/>
            <w:vAlign w:val="bottom"/>
          </w:tcPr>
          <w:p>
            <w:pPr>
              <w:ind w:left="400"/>
              <w:spacing w:after="0"/>
              <w:rPr>
                <w:sz w:val="20"/>
                <w:szCs w:val="20"/>
                <w:color w:val="auto"/>
              </w:rPr>
            </w:pPr>
            <w:r>
              <w:rPr>
                <w:rFonts w:ascii="Arial" w:cs="Arial" w:eastAsia="Arial" w:hAnsi="Arial"/>
                <w:sz w:val="22"/>
                <w:szCs w:val="22"/>
                <w:color w:val="0000FF"/>
              </w:rPr>
              <w:t>Lien Searches</w:t>
            </w:r>
          </w:p>
        </w:tc>
        <w:tc>
          <w:tcPr>
            <w:tcW w:w="25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3.10</w:t>
            </w:r>
          </w:p>
        </w:tc>
        <w:tc>
          <w:tcPr>
            <w:tcW w:w="6560" w:type="dxa"/>
            <w:vAlign w:val="bottom"/>
          </w:tcPr>
          <w:p>
            <w:pPr>
              <w:ind w:left="400"/>
              <w:spacing w:after="0"/>
              <w:rPr>
                <w:sz w:val="20"/>
                <w:szCs w:val="20"/>
                <w:color w:val="auto"/>
              </w:rPr>
            </w:pPr>
            <w:r>
              <w:rPr>
                <w:rFonts w:ascii="Arial" w:cs="Arial" w:eastAsia="Arial" w:hAnsi="Arial"/>
                <w:sz w:val="22"/>
                <w:szCs w:val="22"/>
                <w:color w:val="0000FF"/>
              </w:rPr>
              <w:t>Data Room</w:t>
            </w:r>
          </w:p>
        </w:tc>
        <w:tc>
          <w:tcPr>
            <w:tcW w:w="25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2"/>
        </w:trPr>
        <w:tc>
          <w:tcPr>
            <w:tcW w:w="8700" w:type="dxa"/>
            <w:vAlign w:val="bottom"/>
            <w:gridSpan w:val="2"/>
          </w:tcPr>
          <w:p>
            <w:pPr>
              <w:ind w:left="20"/>
              <w:spacing w:after="0"/>
              <w:rPr>
                <w:sz w:val="20"/>
                <w:szCs w:val="20"/>
                <w:color w:val="auto"/>
              </w:rPr>
            </w:pPr>
            <w:r>
              <w:rPr>
                <w:rFonts w:ascii="Arial" w:cs="Arial" w:eastAsia="Arial" w:hAnsi="Arial"/>
                <w:sz w:val="22"/>
                <w:szCs w:val="22"/>
                <w:color w:val="0000FF"/>
              </w:rPr>
              <w:t>ARTICLE IV SELLER’S REPRESENTATIONS AND WARRANTIES</w:t>
            </w:r>
          </w:p>
        </w:tc>
        <w:tc>
          <w:tcPr>
            <w:tcW w:w="25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4.1</w:t>
            </w:r>
          </w:p>
        </w:tc>
        <w:tc>
          <w:tcPr>
            <w:tcW w:w="6560" w:type="dxa"/>
            <w:vAlign w:val="bottom"/>
          </w:tcPr>
          <w:p>
            <w:pPr>
              <w:ind w:left="400"/>
              <w:spacing w:after="0"/>
              <w:rPr>
                <w:sz w:val="20"/>
                <w:szCs w:val="20"/>
                <w:color w:val="auto"/>
              </w:rPr>
            </w:pPr>
            <w:r>
              <w:rPr>
                <w:rFonts w:ascii="Arial" w:cs="Arial" w:eastAsia="Arial" w:hAnsi="Arial"/>
                <w:sz w:val="22"/>
                <w:szCs w:val="22"/>
                <w:color w:val="0000FF"/>
              </w:rPr>
              <w:t>Organization</w:t>
            </w:r>
          </w:p>
        </w:tc>
        <w:tc>
          <w:tcPr>
            <w:tcW w:w="25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4.2</w:t>
            </w:r>
          </w:p>
        </w:tc>
        <w:tc>
          <w:tcPr>
            <w:tcW w:w="6560" w:type="dxa"/>
            <w:vAlign w:val="bottom"/>
          </w:tcPr>
          <w:p>
            <w:pPr>
              <w:ind w:left="400"/>
              <w:spacing w:after="0"/>
              <w:rPr>
                <w:sz w:val="20"/>
                <w:szCs w:val="20"/>
                <w:color w:val="auto"/>
              </w:rPr>
            </w:pPr>
            <w:r>
              <w:rPr>
                <w:rFonts w:ascii="Arial" w:cs="Arial" w:eastAsia="Arial" w:hAnsi="Arial"/>
                <w:sz w:val="22"/>
                <w:szCs w:val="22"/>
                <w:color w:val="0000FF"/>
              </w:rPr>
              <w:t>Authorization</w:t>
            </w:r>
          </w:p>
        </w:tc>
        <w:tc>
          <w:tcPr>
            <w:tcW w:w="25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73"/>
        </w:trPr>
        <w:tc>
          <w:tcPr>
            <w:tcW w:w="2140" w:type="dxa"/>
            <w:vAlign w:val="bottom"/>
          </w:tcPr>
          <w:p>
            <w:pPr>
              <w:spacing w:after="0"/>
              <w:rPr>
                <w:sz w:val="24"/>
                <w:szCs w:val="24"/>
                <w:color w:val="auto"/>
              </w:rPr>
            </w:pPr>
          </w:p>
        </w:tc>
        <w:tc>
          <w:tcPr>
            <w:tcW w:w="6560" w:type="dxa"/>
            <w:vAlign w:val="bottom"/>
          </w:tcPr>
          <w:p>
            <w:pPr>
              <w:ind w:left="3420"/>
              <w:spacing w:after="0"/>
              <w:rPr>
                <w:sz w:val="20"/>
                <w:szCs w:val="20"/>
                <w:color w:val="auto"/>
              </w:rPr>
            </w:pPr>
            <w:r>
              <w:rPr>
                <w:rFonts w:ascii="Arial" w:cs="Arial" w:eastAsia="Arial" w:hAnsi="Arial"/>
                <w:sz w:val="22"/>
                <w:szCs w:val="22"/>
                <w:color w:val="auto"/>
              </w:rPr>
              <w:t>ii</w:t>
            </w:r>
          </w:p>
        </w:tc>
        <w:tc>
          <w:tcPr>
            <w:tcW w:w="2540" w:type="dxa"/>
            <w:vAlign w:val="bottom"/>
          </w:tcPr>
          <w:p>
            <w:pPr>
              <w:spacing w:after="0"/>
              <w:rPr>
                <w:sz w:val="24"/>
                <w:szCs w:val="24"/>
                <w:color w:val="auto"/>
              </w:rPr>
            </w:pPr>
          </w:p>
        </w:tc>
      </w:tr>
      <w:tr>
        <w:trPr>
          <w:trHeight w:val="105"/>
        </w:trPr>
        <w:tc>
          <w:tcPr>
            <w:tcW w:w="2140" w:type="dxa"/>
            <w:vAlign w:val="bottom"/>
            <w:tcBorders>
              <w:bottom w:val="single" w:sz="8" w:color="9A9A9A"/>
            </w:tcBorders>
          </w:tcPr>
          <w:p>
            <w:pPr>
              <w:spacing w:after="0"/>
              <w:rPr>
                <w:sz w:val="9"/>
                <w:szCs w:val="9"/>
                <w:color w:val="auto"/>
              </w:rPr>
            </w:pPr>
          </w:p>
        </w:tc>
        <w:tc>
          <w:tcPr>
            <w:tcW w:w="656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4.3</w:t>
            </w:r>
          </w:p>
        </w:tc>
        <w:tc>
          <w:tcPr>
            <w:tcW w:w="6400" w:type="dxa"/>
            <w:vAlign w:val="bottom"/>
          </w:tcPr>
          <w:p>
            <w:pPr>
              <w:ind w:left="400"/>
              <w:spacing w:after="0"/>
              <w:rPr>
                <w:sz w:val="20"/>
                <w:szCs w:val="20"/>
                <w:color w:val="auto"/>
              </w:rPr>
            </w:pPr>
            <w:r>
              <w:rPr>
                <w:rFonts w:ascii="Arial" w:cs="Arial" w:eastAsia="Arial" w:hAnsi="Arial"/>
                <w:sz w:val="22"/>
                <w:szCs w:val="22"/>
                <w:color w:val="0000FF"/>
              </w:rPr>
              <w:t>Enforceability</w:t>
            </w:r>
          </w:p>
        </w:tc>
        <w:tc>
          <w:tcPr>
            <w:tcW w:w="2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4.4</w:t>
            </w:r>
          </w:p>
        </w:tc>
        <w:tc>
          <w:tcPr>
            <w:tcW w:w="6400" w:type="dxa"/>
            <w:vAlign w:val="bottom"/>
          </w:tcPr>
          <w:p>
            <w:pPr>
              <w:ind w:left="400"/>
              <w:spacing w:after="0"/>
              <w:rPr>
                <w:sz w:val="20"/>
                <w:szCs w:val="20"/>
                <w:color w:val="auto"/>
              </w:rPr>
            </w:pPr>
            <w:r>
              <w:rPr>
                <w:rFonts w:ascii="Arial" w:cs="Arial" w:eastAsia="Arial" w:hAnsi="Arial"/>
                <w:sz w:val="22"/>
                <w:szCs w:val="22"/>
                <w:color w:val="0000FF"/>
              </w:rPr>
              <w:t>Absence of Conflicts</w:t>
            </w:r>
          </w:p>
        </w:tc>
        <w:tc>
          <w:tcPr>
            <w:tcW w:w="2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4.5</w:t>
            </w:r>
          </w:p>
        </w:tc>
        <w:tc>
          <w:tcPr>
            <w:tcW w:w="6400" w:type="dxa"/>
            <w:vAlign w:val="bottom"/>
          </w:tcPr>
          <w:p>
            <w:pPr>
              <w:ind w:left="400"/>
              <w:spacing w:after="0"/>
              <w:rPr>
                <w:sz w:val="20"/>
                <w:szCs w:val="20"/>
                <w:color w:val="auto"/>
              </w:rPr>
            </w:pPr>
            <w:r>
              <w:rPr>
                <w:rFonts w:ascii="Arial" w:cs="Arial" w:eastAsia="Arial" w:hAnsi="Arial"/>
                <w:sz w:val="22"/>
                <w:szCs w:val="22"/>
                <w:color w:val="0000FF"/>
              </w:rPr>
              <w:t>Consents</w:t>
            </w:r>
          </w:p>
        </w:tc>
        <w:tc>
          <w:tcPr>
            <w:tcW w:w="2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4.6</w:t>
            </w:r>
          </w:p>
        </w:tc>
        <w:tc>
          <w:tcPr>
            <w:tcW w:w="6400" w:type="dxa"/>
            <w:vAlign w:val="bottom"/>
          </w:tcPr>
          <w:p>
            <w:pPr>
              <w:ind w:left="400"/>
              <w:spacing w:after="0"/>
              <w:rPr>
                <w:sz w:val="20"/>
                <w:szCs w:val="20"/>
                <w:color w:val="auto"/>
              </w:rPr>
            </w:pPr>
            <w:r>
              <w:rPr>
                <w:rFonts w:ascii="Arial" w:cs="Arial" w:eastAsia="Arial" w:hAnsi="Arial"/>
                <w:sz w:val="22"/>
                <w:szCs w:val="22"/>
                <w:color w:val="0000FF"/>
              </w:rPr>
              <w:t>Litigation</w:t>
            </w:r>
          </w:p>
        </w:tc>
        <w:tc>
          <w:tcPr>
            <w:tcW w:w="2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4.7</w:t>
            </w:r>
          </w:p>
        </w:tc>
        <w:tc>
          <w:tcPr>
            <w:tcW w:w="6400" w:type="dxa"/>
            <w:vAlign w:val="bottom"/>
          </w:tcPr>
          <w:p>
            <w:pPr>
              <w:ind w:left="400"/>
              <w:spacing w:after="0"/>
              <w:rPr>
                <w:sz w:val="20"/>
                <w:szCs w:val="20"/>
                <w:color w:val="auto"/>
              </w:rPr>
            </w:pPr>
            <w:r>
              <w:rPr>
                <w:rFonts w:ascii="Arial" w:cs="Arial" w:eastAsia="Arial" w:hAnsi="Arial"/>
                <w:sz w:val="22"/>
                <w:szCs w:val="22"/>
                <w:color w:val="0000FF"/>
              </w:rPr>
              <w:t>Compliance with Laws</w:t>
            </w:r>
          </w:p>
        </w:tc>
        <w:tc>
          <w:tcPr>
            <w:tcW w:w="2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4.8</w:t>
            </w:r>
          </w:p>
        </w:tc>
        <w:tc>
          <w:tcPr>
            <w:tcW w:w="6400" w:type="dxa"/>
            <w:vAlign w:val="bottom"/>
          </w:tcPr>
          <w:p>
            <w:pPr>
              <w:ind w:left="400"/>
              <w:spacing w:after="0"/>
              <w:rPr>
                <w:sz w:val="20"/>
                <w:szCs w:val="20"/>
                <w:color w:val="auto"/>
              </w:rPr>
            </w:pPr>
            <w:r>
              <w:rPr>
                <w:rFonts w:ascii="Arial" w:cs="Arial" w:eastAsia="Arial" w:hAnsi="Arial"/>
                <w:sz w:val="22"/>
                <w:szCs w:val="22"/>
                <w:color w:val="0000FF"/>
              </w:rPr>
              <w:t>Brokers’ Fees</w:t>
            </w:r>
          </w:p>
        </w:tc>
        <w:tc>
          <w:tcPr>
            <w:tcW w:w="27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4.9</w:t>
            </w:r>
          </w:p>
        </w:tc>
        <w:tc>
          <w:tcPr>
            <w:tcW w:w="6400" w:type="dxa"/>
            <w:vAlign w:val="bottom"/>
          </w:tcPr>
          <w:p>
            <w:pPr>
              <w:ind w:left="400"/>
              <w:spacing w:after="0"/>
              <w:rPr>
                <w:sz w:val="20"/>
                <w:szCs w:val="20"/>
                <w:color w:val="auto"/>
              </w:rPr>
            </w:pPr>
            <w:r>
              <w:rPr>
                <w:rFonts w:ascii="Arial" w:cs="Arial" w:eastAsia="Arial" w:hAnsi="Arial"/>
                <w:sz w:val="22"/>
                <w:szCs w:val="22"/>
                <w:color w:val="0000FF"/>
              </w:rPr>
              <w:t>Sale Agreement</w:t>
            </w:r>
          </w:p>
        </w:tc>
        <w:tc>
          <w:tcPr>
            <w:tcW w:w="27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4.10</w:t>
            </w:r>
          </w:p>
        </w:tc>
        <w:tc>
          <w:tcPr>
            <w:tcW w:w="6400" w:type="dxa"/>
            <w:vAlign w:val="bottom"/>
          </w:tcPr>
          <w:p>
            <w:pPr>
              <w:ind w:left="400"/>
              <w:spacing w:after="0"/>
              <w:rPr>
                <w:sz w:val="20"/>
                <w:szCs w:val="20"/>
                <w:color w:val="auto"/>
              </w:rPr>
            </w:pPr>
            <w:r>
              <w:rPr>
                <w:rFonts w:ascii="Arial" w:cs="Arial" w:eastAsia="Arial" w:hAnsi="Arial"/>
                <w:sz w:val="22"/>
                <w:szCs w:val="22"/>
                <w:color w:val="0000FF"/>
              </w:rPr>
              <w:t>Title to Purchased Receivables</w:t>
            </w:r>
          </w:p>
        </w:tc>
        <w:tc>
          <w:tcPr>
            <w:tcW w:w="2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4.11</w:t>
            </w:r>
          </w:p>
        </w:tc>
        <w:tc>
          <w:tcPr>
            <w:tcW w:w="6400" w:type="dxa"/>
            <w:vAlign w:val="bottom"/>
          </w:tcPr>
          <w:p>
            <w:pPr>
              <w:ind w:left="400"/>
              <w:spacing w:after="0"/>
              <w:rPr>
                <w:sz w:val="20"/>
                <w:szCs w:val="20"/>
                <w:color w:val="auto"/>
              </w:rPr>
            </w:pPr>
            <w:r>
              <w:rPr>
                <w:rFonts w:ascii="Arial" w:cs="Arial" w:eastAsia="Arial" w:hAnsi="Arial"/>
                <w:sz w:val="22"/>
                <w:szCs w:val="22"/>
                <w:color w:val="0000FF"/>
              </w:rPr>
              <w:t>UCC Matters</w:t>
            </w:r>
          </w:p>
        </w:tc>
        <w:tc>
          <w:tcPr>
            <w:tcW w:w="2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4.12</w:t>
            </w:r>
          </w:p>
        </w:tc>
        <w:tc>
          <w:tcPr>
            <w:tcW w:w="6400" w:type="dxa"/>
            <w:vAlign w:val="bottom"/>
          </w:tcPr>
          <w:p>
            <w:pPr>
              <w:ind w:left="400"/>
              <w:spacing w:after="0"/>
              <w:rPr>
                <w:sz w:val="20"/>
                <w:szCs w:val="20"/>
                <w:color w:val="auto"/>
              </w:rPr>
            </w:pPr>
            <w:r>
              <w:rPr>
                <w:rFonts w:ascii="Arial" w:cs="Arial" w:eastAsia="Arial" w:hAnsi="Arial"/>
                <w:sz w:val="22"/>
                <w:szCs w:val="22"/>
                <w:color w:val="0000FF"/>
              </w:rPr>
              <w:t>Taxes</w:t>
            </w:r>
          </w:p>
        </w:tc>
        <w:tc>
          <w:tcPr>
            <w:tcW w:w="2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4.13</w:t>
            </w:r>
          </w:p>
        </w:tc>
        <w:tc>
          <w:tcPr>
            <w:tcW w:w="6400" w:type="dxa"/>
            <w:vAlign w:val="bottom"/>
          </w:tcPr>
          <w:p>
            <w:pPr>
              <w:ind w:left="400"/>
              <w:spacing w:after="0"/>
              <w:rPr>
                <w:sz w:val="20"/>
                <w:szCs w:val="20"/>
                <w:color w:val="auto"/>
              </w:rPr>
            </w:pPr>
            <w:r>
              <w:rPr>
                <w:rFonts w:ascii="Arial" w:cs="Arial" w:eastAsia="Arial" w:hAnsi="Arial"/>
                <w:sz w:val="22"/>
                <w:szCs w:val="22"/>
                <w:color w:val="0000FF"/>
              </w:rPr>
              <w:t>Solvency</w:t>
            </w:r>
          </w:p>
        </w:tc>
        <w:tc>
          <w:tcPr>
            <w:tcW w:w="2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4.14</w:t>
            </w:r>
          </w:p>
        </w:tc>
        <w:tc>
          <w:tcPr>
            <w:tcW w:w="6400" w:type="dxa"/>
            <w:vAlign w:val="bottom"/>
          </w:tcPr>
          <w:p>
            <w:pPr>
              <w:ind w:left="400"/>
              <w:spacing w:after="0"/>
              <w:rPr>
                <w:sz w:val="20"/>
                <w:szCs w:val="20"/>
                <w:color w:val="auto"/>
              </w:rPr>
            </w:pPr>
            <w:r>
              <w:rPr>
                <w:rFonts w:ascii="Arial" w:cs="Arial" w:eastAsia="Arial" w:hAnsi="Arial"/>
                <w:sz w:val="22"/>
                <w:szCs w:val="22"/>
                <w:color w:val="0000FF"/>
              </w:rPr>
              <w:t>Disclosure</w:t>
            </w:r>
          </w:p>
        </w:tc>
        <w:tc>
          <w:tcPr>
            <w:tcW w:w="2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2"/>
        </w:trPr>
        <w:tc>
          <w:tcPr>
            <w:tcW w:w="8540" w:type="dxa"/>
            <w:vAlign w:val="bottom"/>
            <w:gridSpan w:val="2"/>
          </w:tcPr>
          <w:p>
            <w:pPr>
              <w:ind w:left="20"/>
              <w:spacing w:after="0"/>
              <w:rPr>
                <w:sz w:val="20"/>
                <w:szCs w:val="20"/>
                <w:color w:val="auto"/>
              </w:rPr>
            </w:pPr>
            <w:r>
              <w:rPr>
                <w:rFonts w:ascii="Arial" w:cs="Arial" w:eastAsia="Arial" w:hAnsi="Arial"/>
                <w:sz w:val="22"/>
                <w:szCs w:val="22"/>
                <w:color w:val="0000FF"/>
              </w:rPr>
              <w:t>ARTICLE V BUYER’S REPRESENTATIONS AND WARRANTIES</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5.1</w:t>
            </w:r>
          </w:p>
        </w:tc>
        <w:tc>
          <w:tcPr>
            <w:tcW w:w="6400" w:type="dxa"/>
            <w:vAlign w:val="bottom"/>
          </w:tcPr>
          <w:p>
            <w:pPr>
              <w:ind w:left="400"/>
              <w:spacing w:after="0"/>
              <w:rPr>
                <w:sz w:val="20"/>
                <w:szCs w:val="20"/>
                <w:color w:val="auto"/>
              </w:rPr>
            </w:pPr>
            <w:r>
              <w:rPr>
                <w:rFonts w:ascii="Arial" w:cs="Arial" w:eastAsia="Arial" w:hAnsi="Arial"/>
                <w:sz w:val="22"/>
                <w:szCs w:val="22"/>
                <w:color w:val="0000FF"/>
              </w:rPr>
              <w:t>Organization</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5.2</w:t>
            </w:r>
          </w:p>
        </w:tc>
        <w:tc>
          <w:tcPr>
            <w:tcW w:w="6400" w:type="dxa"/>
            <w:vAlign w:val="bottom"/>
          </w:tcPr>
          <w:p>
            <w:pPr>
              <w:ind w:left="400"/>
              <w:spacing w:after="0"/>
              <w:rPr>
                <w:sz w:val="20"/>
                <w:szCs w:val="20"/>
                <w:color w:val="auto"/>
              </w:rPr>
            </w:pPr>
            <w:r>
              <w:rPr>
                <w:rFonts w:ascii="Arial" w:cs="Arial" w:eastAsia="Arial" w:hAnsi="Arial"/>
                <w:sz w:val="22"/>
                <w:szCs w:val="22"/>
                <w:color w:val="0000FF"/>
              </w:rPr>
              <w:t>Authorization</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5.3</w:t>
            </w:r>
          </w:p>
        </w:tc>
        <w:tc>
          <w:tcPr>
            <w:tcW w:w="6400" w:type="dxa"/>
            <w:vAlign w:val="bottom"/>
          </w:tcPr>
          <w:p>
            <w:pPr>
              <w:ind w:left="400"/>
              <w:spacing w:after="0"/>
              <w:rPr>
                <w:sz w:val="20"/>
                <w:szCs w:val="20"/>
                <w:color w:val="auto"/>
              </w:rPr>
            </w:pPr>
            <w:r>
              <w:rPr>
                <w:rFonts w:ascii="Arial" w:cs="Arial" w:eastAsia="Arial" w:hAnsi="Arial"/>
                <w:sz w:val="22"/>
                <w:szCs w:val="22"/>
                <w:color w:val="0000FF"/>
              </w:rPr>
              <w:t>Enforceability</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5.4</w:t>
            </w:r>
          </w:p>
        </w:tc>
        <w:tc>
          <w:tcPr>
            <w:tcW w:w="6400" w:type="dxa"/>
            <w:vAlign w:val="bottom"/>
          </w:tcPr>
          <w:p>
            <w:pPr>
              <w:ind w:left="400"/>
              <w:spacing w:after="0"/>
              <w:rPr>
                <w:sz w:val="20"/>
                <w:szCs w:val="20"/>
                <w:color w:val="auto"/>
              </w:rPr>
            </w:pPr>
            <w:r>
              <w:rPr>
                <w:rFonts w:ascii="Arial" w:cs="Arial" w:eastAsia="Arial" w:hAnsi="Arial"/>
                <w:sz w:val="22"/>
                <w:szCs w:val="22"/>
                <w:color w:val="0000FF"/>
              </w:rPr>
              <w:t>Absence of Conflicts</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5.5</w:t>
            </w:r>
          </w:p>
        </w:tc>
        <w:tc>
          <w:tcPr>
            <w:tcW w:w="6400" w:type="dxa"/>
            <w:vAlign w:val="bottom"/>
          </w:tcPr>
          <w:p>
            <w:pPr>
              <w:ind w:left="400"/>
              <w:spacing w:after="0"/>
              <w:rPr>
                <w:sz w:val="20"/>
                <w:szCs w:val="20"/>
                <w:color w:val="auto"/>
              </w:rPr>
            </w:pPr>
            <w:r>
              <w:rPr>
                <w:rFonts w:ascii="Arial" w:cs="Arial" w:eastAsia="Arial" w:hAnsi="Arial"/>
                <w:sz w:val="22"/>
                <w:szCs w:val="22"/>
                <w:color w:val="0000FF"/>
              </w:rPr>
              <w:t>Consents</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5.6</w:t>
            </w:r>
          </w:p>
        </w:tc>
        <w:tc>
          <w:tcPr>
            <w:tcW w:w="6400" w:type="dxa"/>
            <w:vAlign w:val="bottom"/>
          </w:tcPr>
          <w:p>
            <w:pPr>
              <w:ind w:left="400"/>
              <w:spacing w:after="0"/>
              <w:rPr>
                <w:sz w:val="20"/>
                <w:szCs w:val="20"/>
                <w:color w:val="auto"/>
              </w:rPr>
            </w:pPr>
            <w:r>
              <w:rPr>
                <w:rFonts w:ascii="Arial" w:cs="Arial" w:eastAsia="Arial" w:hAnsi="Arial"/>
                <w:sz w:val="22"/>
                <w:szCs w:val="22"/>
                <w:color w:val="0000FF"/>
              </w:rPr>
              <w:t>Litigation</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5.7</w:t>
            </w:r>
          </w:p>
        </w:tc>
        <w:tc>
          <w:tcPr>
            <w:tcW w:w="6400" w:type="dxa"/>
            <w:vAlign w:val="bottom"/>
          </w:tcPr>
          <w:p>
            <w:pPr>
              <w:ind w:left="400"/>
              <w:spacing w:after="0"/>
              <w:rPr>
                <w:sz w:val="20"/>
                <w:szCs w:val="20"/>
                <w:color w:val="auto"/>
              </w:rPr>
            </w:pPr>
            <w:r>
              <w:rPr>
                <w:rFonts w:ascii="Arial" w:cs="Arial" w:eastAsia="Arial" w:hAnsi="Arial"/>
                <w:sz w:val="22"/>
                <w:szCs w:val="22"/>
                <w:color w:val="0000FF"/>
              </w:rPr>
              <w:t>Brokers’ Fees</w:t>
            </w:r>
          </w:p>
        </w:tc>
        <w:tc>
          <w:tcPr>
            <w:tcW w:w="2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5.8</w:t>
            </w:r>
          </w:p>
        </w:tc>
        <w:tc>
          <w:tcPr>
            <w:tcW w:w="6400" w:type="dxa"/>
            <w:vAlign w:val="bottom"/>
          </w:tcPr>
          <w:p>
            <w:pPr>
              <w:ind w:left="400"/>
              <w:spacing w:after="0"/>
              <w:rPr>
                <w:sz w:val="20"/>
                <w:szCs w:val="20"/>
                <w:color w:val="auto"/>
              </w:rPr>
            </w:pPr>
            <w:r>
              <w:rPr>
                <w:rFonts w:ascii="Arial" w:cs="Arial" w:eastAsia="Arial" w:hAnsi="Arial"/>
                <w:sz w:val="22"/>
                <w:szCs w:val="22"/>
                <w:color w:val="0000FF"/>
              </w:rPr>
              <w:t>Financing</w:t>
            </w:r>
          </w:p>
        </w:tc>
        <w:tc>
          <w:tcPr>
            <w:tcW w:w="27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5.9</w:t>
            </w:r>
          </w:p>
        </w:tc>
        <w:tc>
          <w:tcPr>
            <w:tcW w:w="6400" w:type="dxa"/>
            <w:vAlign w:val="bottom"/>
          </w:tcPr>
          <w:p>
            <w:pPr>
              <w:ind w:left="400"/>
              <w:spacing w:after="0"/>
              <w:rPr>
                <w:sz w:val="20"/>
                <w:szCs w:val="20"/>
                <w:color w:val="auto"/>
              </w:rPr>
            </w:pPr>
            <w:r>
              <w:rPr>
                <w:rFonts w:ascii="Arial" w:cs="Arial" w:eastAsia="Arial" w:hAnsi="Arial"/>
                <w:sz w:val="22"/>
                <w:szCs w:val="22"/>
                <w:color w:val="0000FF"/>
              </w:rPr>
              <w:t>Tax Status</w:t>
            </w:r>
          </w:p>
        </w:tc>
        <w:tc>
          <w:tcPr>
            <w:tcW w:w="27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2"/>
        </w:trPr>
        <w:tc>
          <w:tcPr>
            <w:tcW w:w="8540" w:type="dxa"/>
            <w:vAlign w:val="bottom"/>
            <w:gridSpan w:val="2"/>
          </w:tcPr>
          <w:p>
            <w:pPr>
              <w:ind w:left="20"/>
              <w:spacing w:after="0"/>
              <w:rPr>
                <w:sz w:val="20"/>
                <w:szCs w:val="20"/>
                <w:color w:val="auto"/>
              </w:rPr>
            </w:pPr>
            <w:r>
              <w:rPr>
                <w:rFonts w:ascii="Arial" w:cs="Arial" w:eastAsia="Arial" w:hAnsi="Arial"/>
                <w:sz w:val="22"/>
                <w:szCs w:val="22"/>
                <w:color w:val="0000FF"/>
              </w:rPr>
              <w:t>ARTICLE VI GENERAL COVENANTS</w:t>
            </w:r>
          </w:p>
        </w:tc>
        <w:tc>
          <w:tcPr>
            <w:tcW w:w="27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4"/>
        </w:trPr>
        <w:tc>
          <w:tcPr>
            <w:tcW w:w="2140" w:type="dxa"/>
            <w:vAlign w:val="bottom"/>
          </w:tcPr>
          <w:p>
            <w:pPr>
              <w:ind w:left="660"/>
              <w:spacing w:after="0"/>
              <w:rPr>
                <w:sz w:val="20"/>
                <w:szCs w:val="20"/>
                <w:color w:val="auto"/>
              </w:rPr>
            </w:pPr>
            <w:r>
              <w:rPr>
                <w:rFonts w:ascii="Arial" w:cs="Arial" w:eastAsia="Arial" w:hAnsi="Arial"/>
                <w:sz w:val="22"/>
                <w:szCs w:val="22"/>
                <w:color w:val="0000FF"/>
              </w:rPr>
              <w:t>Section 6.1</w:t>
            </w:r>
          </w:p>
        </w:tc>
        <w:tc>
          <w:tcPr>
            <w:tcW w:w="6400" w:type="dxa"/>
            <w:vAlign w:val="bottom"/>
          </w:tcPr>
          <w:p>
            <w:pPr>
              <w:ind w:left="400"/>
              <w:spacing w:after="0"/>
              <w:rPr>
                <w:sz w:val="20"/>
                <w:szCs w:val="20"/>
                <w:color w:val="auto"/>
              </w:rPr>
            </w:pPr>
            <w:r>
              <w:rPr>
                <w:rFonts w:ascii="Arial" w:cs="Arial" w:eastAsia="Arial" w:hAnsi="Arial"/>
                <w:sz w:val="22"/>
                <w:szCs w:val="22"/>
                <w:color w:val="0000FF"/>
              </w:rPr>
              <w:t>Confidentiality</w:t>
            </w:r>
          </w:p>
        </w:tc>
        <w:tc>
          <w:tcPr>
            <w:tcW w:w="27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6.2</w:t>
            </w:r>
          </w:p>
        </w:tc>
        <w:tc>
          <w:tcPr>
            <w:tcW w:w="6400" w:type="dxa"/>
            <w:vAlign w:val="bottom"/>
          </w:tcPr>
          <w:p>
            <w:pPr>
              <w:ind w:left="400"/>
              <w:spacing w:after="0"/>
              <w:rPr>
                <w:sz w:val="20"/>
                <w:szCs w:val="20"/>
                <w:color w:val="auto"/>
              </w:rPr>
            </w:pPr>
            <w:r>
              <w:rPr>
                <w:rFonts w:ascii="Arial" w:cs="Arial" w:eastAsia="Arial" w:hAnsi="Arial"/>
                <w:sz w:val="22"/>
                <w:szCs w:val="22"/>
                <w:color w:val="0000FF"/>
              </w:rPr>
              <w:t>Taxes</w:t>
            </w:r>
          </w:p>
        </w:tc>
        <w:tc>
          <w:tcPr>
            <w:tcW w:w="2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2140" w:type="dxa"/>
            <w:vAlign w:val="bottom"/>
          </w:tcPr>
          <w:p>
            <w:pPr>
              <w:ind w:left="660"/>
              <w:spacing w:after="0"/>
              <w:rPr>
                <w:sz w:val="20"/>
                <w:szCs w:val="20"/>
                <w:color w:val="auto"/>
              </w:rPr>
            </w:pPr>
            <w:r>
              <w:rPr>
                <w:rFonts w:ascii="Arial" w:cs="Arial" w:eastAsia="Arial" w:hAnsi="Arial"/>
                <w:sz w:val="22"/>
                <w:szCs w:val="22"/>
                <w:color w:val="0000FF"/>
              </w:rPr>
              <w:t>Section 6.3</w:t>
            </w:r>
          </w:p>
        </w:tc>
        <w:tc>
          <w:tcPr>
            <w:tcW w:w="6400" w:type="dxa"/>
            <w:vAlign w:val="bottom"/>
          </w:tcPr>
          <w:p>
            <w:pPr>
              <w:ind w:left="400"/>
              <w:spacing w:after="0"/>
              <w:rPr>
                <w:sz w:val="20"/>
                <w:szCs w:val="20"/>
                <w:color w:val="auto"/>
              </w:rPr>
            </w:pPr>
            <w:r>
              <w:rPr>
                <w:rFonts w:ascii="Arial" w:cs="Arial" w:eastAsia="Arial" w:hAnsi="Arial"/>
                <w:sz w:val="22"/>
                <w:szCs w:val="22"/>
                <w:color w:val="0000FF"/>
              </w:rPr>
              <w:t>Further Actions</w:t>
            </w:r>
          </w:p>
        </w:tc>
        <w:tc>
          <w:tcPr>
            <w:tcW w:w="2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73"/>
        </w:trPr>
        <w:tc>
          <w:tcPr>
            <w:tcW w:w="2140" w:type="dxa"/>
            <w:vAlign w:val="bottom"/>
          </w:tcPr>
          <w:p>
            <w:pPr>
              <w:spacing w:after="0"/>
              <w:rPr>
                <w:sz w:val="24"/>
                <w:szCs w:val="24"/>
                <w:color w:val="auto"/>
              </w:rPr>
            </w:pPr>
          </w:p>
        </w:tc>
        <w:tc>
          <w:tcPr>
            <w:tcW w:w="6400" w:type="dxa"/>
            <w:vAlign w:val="bottom"/>
          </w:tcPr>
          <w:p>
            <w:pPr>
              <w:ind w:left="3400"/>
              <w:spacing w:after="0"/>
              <w:rPr>
                <w:sz w:val="20"/>
                <w:szCs w:val="20"/>
                <w:color w:val="auto"/>
              </w:rPr>
            </w:pPr>
            <w:r>
              <w:rPr>
                <w:rFonts w:ascii="Arial" w:cs="Arial" w:eastAsia="Arial" w:hAnsi="Arial"/>
                <w:sz w:val="22"/>
                <w:szCs w:val="22"/>
                <w:color w:val="auto"/>
              </w:rPr>
              <w:t>iii</w:t>
            </w:r>
          </w:p>
        </w:tc>
        <w:tc>
          <w:tcPr>
            <w:tcW w:w="2700" w:type="dxa"/>
            <w:vAlign w:val="bottom"/>
          </w:tcPr>
          <w:p>
            <w:pPr>
              <w:spacing w:after="0"/>
              <w:rPr>
                <w:sz w:val="24"/>
                <w:szCs w:val="24"/>
                <w:color w:val="auto"/>
              </w:rPr>
            </w:pPr>
          </w:p>
        </w:tc>
      </w:tr>
      <w:tr>
        <w:trPr>
          <w:trHeight w:val="105"/>
        </w:trPr>
        <w:tc>
          <w:tcPr>
            <w:tcW w:w="2140" w:type="dxa"/>
            <w:vAlign w:val="bottom"/>
            <w:tcBorders>
              <w:bottom w:val="single" w:sz="8" w:color="9A9A9A"/>
            </w:tcBorders>
          </w:tcPr>
          <w:p>
            <w:pPr>
              <w:spacing w:after="0"/>
              <w:rPr>
                <w:sz w:val="9"/>
                <w:szCs w:val="9"/>
                <w:color w:val="auto"/>
              </w:rPr>
            </w:pPr>
          </w:p>
        </w:tc>
        <w:tc>
          <w:tcPr>
            <w:tcW w:w="64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4"/>
        </w:trPr>
        <w:tc>
          <w:tcPr>
            <w:tcW w:w="2100" w:type="dxa"/>
            <w:vAlign w:val="bottom"/>
          </w:tcPr>
          <w:p>
            <w:pPr>
              <w:ind w:left="660"/>
              <w:spacing w:after="0"/>
              <w:rPr>
                <w:sz w:val="20"/>
                <w:szCs w:val="20"/>
                <w:color w:val="auto"/>
              </w:rPr>
            </w:pPr>
            <w:r>
              <w:rPr>
                <w:rFonts w:ascii="Arial" w:cs="Arial" w:eastAsia="Arial" w:hAnsi="Arial"/>
                <w:sz w:val="22"/>
                <w:szCs w:val="22"/>
                <w:color w:val="0000FF"/>
              </w:rPr>
              <w:t>Section 6.4</w:t>
            </w:r>
          </w:p>
        </w:tc>
        <w:tc>
          <w:tcPr>
            <w:tcW w:w="7380" w:type="dxa"/>
            <w:vAlign w:val="bottom"/>
          </w:tcPr>
          <w:p>
            <w:pPr>
              <w:ind w:left="440"/>
              <w:spacing w:after="0"/>
              <w:rPr>
                <w:sz w:val="20"/>
                <w:szCs w:val="20"/>
                <w:color w:val="auto"/>
              </w:rPr>
            </w:pPr>
            <w:r>
              <w:rPr>
                <w:rFonts w:ascii="Arial" w:cs="Arial" w:eastAsia="Arial" w:hAnsi="Arial"/>
                <w:sz w:val="22"/>
                <w:szCs w:val="22"/>
                <w:color w:val="0000FF"/>
              </w:rPr>
              <w:t>Distribution of Purchased Receivables</w:t>
            </w:r>
          </w:p>
        </w:tc>
        <w:tc>
          <w:tcPr>
            <w:tcW w:w="17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6.5</w:t>
            </w:r>
          </w:p>
        </w:tc>
        <w:tc>
          <w:tcPr>
            <w:tcW w:w="7380" w:type="dxa"/>
            <w:vAlign w:val="bottom"/>
          </w:tcPr>
          <w:p>
            <w:pPr>
              <w:ind w:left="440"/>
              <w:spacing w:after="0"/>
              <w:rPr>
                <w:sz w:val="20"/>
                <w:szCs w:val="20"/>
                <w:color w:val="auto"/>
              </w:rPr>
            </w:pPr>
            <w:r>
              <w:rPr>
                <w:rFonts w:ascii="Arial" w:cs="Arial" w:eastAsia="Arial" w:hAnsi="Arial"/>
                <w:sz w:val="22"/>
                <w:szCs w:val="22"/>
                <w:color w:val="0000FF"/>
              </w:rPr>
              <w:t>Medexus Instructions</w:t>
            </w:r>
          </w:p>
        </w:tc>
        <w:tc>
          <w:tcPr>
            <w:tcW w:w="17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6.6</w:t>
            </w:r>
          </w:p>
        </w:tc>
        <w:tc>
          <w:tcPr>
            <w:tcW w:w="7380" w:type="dxa"/>
            <w:vAlign w:val="bottom"/>
          </w:tcPr>
          <w:p>
            <w:pPr>
              <w:ind w:left="440"/>
              <w:spacing w:after="0"/>
              <w:rPr>
                <w:sz w:val="20"/>
                <w:szCs w:val="20"/>
                <w:color w:val="auto"/>
              </w:rPr>
            </w:pPr>
            <w:r>
              <w:rPr>
                <w:rFonts w:ascii="Arial" w:cs="Arial" w:eastAsia="Arial" w:hAnsi="Arial"/>
                <w:sz w:val="22"/>
                <w:szCs w:val="22"/>
                <w:color w:val="0000FF"/>
              </w:rPr>
              <w:t>Escrow Agreement</w:t>
            </w:r>
          </w:p>
        </w:tc>
        <w:tc>
          <w:tcPr>
            <w:tcW w:w="17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6.7</w:t>
            </w:r>
          </w:p>
        </w:tc>
        <w:tc>
          <w:tcPr>
            <w:tcW w:w="7380" w:type="dxa"/>
            <w:vAlign w:val="bottom"/>
          </w:tcPr>
          <w:p>
            <w:pPr>
              <w:ind w:left="440"/>
              <w:spacing w:after="0"/>
              <w:rPr>
                <w:sz w:val="20"/>
                <w:szCs w:val="20"/>
                <w:color w:val="auto"/>
              </w:rPr>
            </w:pPr>
            <w:r>
              <w:rPr>
                <w:rFonts w:ascii="Arial" w:cs="Arial" w:eastAsia="Arial" w:hAnsi="Arial"/>
                <w:sz w:val="22"/>
                <w:szCs w:val="22"/>
                <w:color w:val="0000FF"/>
              </w:rPr>
              <w:t>Medexus Instruction Letter</w:t>
            </w:r>
          </w:p>
        </w:tc>
        <w:tc>
          <w:tcPr>
            <w:tcW w:w="17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2"/>
        </w:trPr>
        <w:tc>
          <w:tcPr>
            <w:tcW w:w="9480" w:type="dxa"/>
            <w:vAlign w:val="bottom"/>
            <w:gridSpan w:val="2"/>
          </w:tcPr>
          <w:p>
            <w:pPr>
              <w:ind w:left="20"/>
              <w:spacing w:after="0"/>
              <w:rPr>
                <w:sz w:val="20"/>
                <w:szCs w:val="20"/>
                <w:color w:val="auto"/>
              </w:rPr>
            </w:pPr>
            <w:r>
              <w:rPr>
                <w:rFonts w:ascii="Arial" w:cs="Arial" w:eastAsia="Arial" w:hAnsi="Arial"/>
                <w:sz w:val="22"/>
                <w:szCs w:val="22"/>
                <w:color w:val="0000FF"/>
              </w:rPr>
              <w:t>ARTICLE VII COVENANTS RELATING TO THE SALE AGREEMENT</w:t>
            </w:r>
          </w:p>
        </w:tc>
        <w:tc>
          <w:tcPr>
            <w:tcW w:w="17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4"/>
        </w:trPr>
        <w:tc>
          <w:tcPr>
            <w:tcW w:w="2100" w:type="dxa"/>
            <w:vAlign w:val="bottom"/>
          </w:tcPr>
          <w:p>
            <w:pPr>
              <w:ind w:left="660"/>
              <w:spacing w:after="0"/>
              <w:rPr>
                <w:sz w:val="20"/>
                <w:szCs w:val="20"/>
                <w:color w:val="auto"/>
              </w:rPr>
            </w:pPr>
            <w:r>
              <w:rPr>
                <w:rFonts w:ascii="Arial" w:cs="Arial" w:eastAsia="Arial" w:hAnsi="Arial"/>
                <w:sz w:val="22"/>
                <w:szCs w:val="22"/>
                <w:color w:val="0000FF"/>
              </w:rPr>
              <w:t>Section 7.1</w:t>
            </w:r>
          </w:p>
        </w:tc>
        <w:tc>
          <w:tcPr>
            <w:tcW w:w="7380" w:type="dxa"/>
            <w:vAlign w:val="bottom"/>
          </w:tcPr>
          <w:p>
            <w:pPr>
              <w:ind w:left="440"/>
              <w:spacing w:after="0"/>
              <w:rPr>
                <w:sz w:val="20"/>
                <w:szCs w:val="20"/>
                <w:color w:val="auto"/>
              </w:rPr>
            </w:pPr>
            <w:r>
              <w:rPr>
                <w:rFonts w:ascii="Arial" w:cs="Arial" w:eastAsia="Arial" w:hAnsi="Arial"/>
                <w:sz w:val="22"/>
                <w:szCs w:val="22"/>
                <w:color w:val="0000FF"/>
              </w:rPr>
              <w:t>Performance of Sale Agreement</w:t>
            </w:r>
          </w:p>
        </w:tc>
        <w:tc>
          <w:tcPr>
            <w:tcW w:w="17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7.2</w:t>
            </w:r>
          </w:p>
        </w:tc>
        <w:tc>
          <w:tcPr>
            <w:tcW w:w="7380" w:type="dxa"/>
            <w:vAlign w:val="bottom"/>
          </w:tcPr>
          <w:p>
            <w:pPr>
              <w:ind w:left="440"/>
              <w:spacing w:after="0"/>
              <w:rPr>
                <w:sz w:val="20"/>
                <w:szCs w:val="20"/>
                <w:color w:val="auto"/>
              </w:rPr>
            </w:pPr>
            <w:r>
              <w:rPr>
                <w:rFonts w:ascii="Arial" w:cs="Arial" w:eastAsia="Arial" w:hAnsi="Arial"/>
                <w:sz w:val="22"/>
                <w:szCs w:val="22"/>
                <w:color w:val="0000FF"/>
              </w:rPr>
              <w:t>Misdirected Payments; Setoffs</w:t>
            </w:r>
          </w:p>
        </w:tc>
        <w:tc>
          <w:tcPr>
            <w:tcW w:w="17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7.3</w:t>
            </w:r>
          </w:p>
        </w:tc>
        <w:tc>
          <w:tcPr>
            <w:tcW w:w="7380" w:type="dxa"/>
            <w:vAlign w:val="bottom"/>
          </w:tcPr>
          <w:p>
            <w:pPr>
              <w:ind w:left="440"/>
              <w:spacing w:after="0"/>
              <w:rPr>
                <w:sz w:val="20"/>
                <w:szCs w:val="20"/>
                <w:color w:val="auto"/>
              </w:rPr>
            </w:pPr>
            <w:r>
              <w:rPr>
                <w:rFonts w:ascii="Arial" w:cs="Arial" w:eastAsia="Arial" w:hAnsi="Arial"/>
                <w:sz w:val="22"/>
                <w:szCs w:val="22"/>
                <w:color w:val="0000FF"/>
              </w:rPr>
              <w:t>Medexus Reports; Notices; Correspondence</w:t>
            </w:r>
          </w:p>
        </w:tc>
        <w:tc>
          <w:tcPr>
            <w:tcW w:w="17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7.4</w:t>
            </w:r>
          </w:p>
        </w:tc>
        <w:tc>
          <w:tcPr>
            <w:tcW w:w="7380" w:type="dxa"/>
            <w:vAlign w:val="bottom"/>
          </w:tcPr>
          <w:p>
            <w:pPr>
              <w:ind w:left="440"/>
              <w:spacing w:after="0"/>
              <w:rPr>
                <w:sz w:val="20"/>
                <w:szCs w:val="20"/>
                <w:color w:val="auto"/>
              </w:rPr>
            </w:pPr>
            <w:r>
              <w:rPr>
                <w:rFonts w:ascii="Arial" w:cs="Arial" w:eastAsia="Arial" w:hAnsi="Arial"/>
                <w:sz w:val="22"/>
                <w:szCs w:val="22"/>
                <w:color w:val="0000FF"/>
              </w:rPr>
              <w:t>Audits of Medexus</w:t>
            </w:r>
          </w:p>
        </w:tc>
        <w:tc>
          <w:tcPr>
            <w:tcW w:w="17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7.5</w:t>
            </w:r>
          </w:p>
        </w:tc>
        <w:tc>
          <w:tcPr>
            <w:tcW w:w="7380" w:type="dxa"/>
            <w:vAlign w:val="bottom"/>
          </w:tcPr>
          <w:p>
            <w:pPr>
              <w:ind w:left="440"/>
              <w:spacing w:after="0"/>
              <w:rPr>
                <w:sz w:val="20"/>
                <w:szCs w:val="20"/>
                <w:color w:val="auto"/>
              </w:rPr>
            </w:pPr>
            <w:r>
              <w:rPr>
                <w:rFonts w:ascii="Arial" w:cs="Arial" w:eastAsia="Arial" w:hAnsi="Arial"/>
                <w:sz w:val="22"/>
                <w:szCs w:val="22"/>
                <w:color w:val="0000FF"/>
              </w:rPr>
              <w:t>Amendment of Sale Agreement</w:t>
            </w:r>
          </w:p>
        </w:tc>
        <w:tc>
          <w:tcPr>
            <w:tcW w:w="17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7.6</w:t>
            </w:r>
          </w:p>
        </w:tc>
        <w:tc>
          <w:tcPr>
            <w:tcW w:w="7380" w:type="dxa"/>
            <w:vAlign w:val="bottom"/>
          </w:tcPr>
          <w:p>
            <w:pPr>
              <w:ind w:left="440"/>
              <w:spacing w:after="0"/>
              <w:rPr>
                <w:sz w:val="20"/>
                <w:szCs w:val="20"/>
                <w:color w:val="auto"/>
              </w:rPr>
            </w:pPr>
            <w:r>
              <w:rPr>
                <w:rFonts w:ascii="Arial" w:cs="Arial" w:eastAsia="Arial" w:hAnsi="Arial"/>
                <w:sz w:val="22"/>
                <w:szCs w:val="22"/>
                <w:color w:val="0000FF"/>
              </w:rPr>
              <w:t>Enforcement of Sale Agreement</w:t>
            </w:r>
          </w:p>
        </w:tc>
        <w:tc>
          <w:tcPr>
            <w:tcW w:w="17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7.7</w:t>
            </w:r>
          </w:p>
        </w:tc>
        <w:tc>
          <w:tcPr>
            <w:tcW w:w="7380" w:type="dxa"/>
            <w:vAlign w:val="bottom"/>
          </w:tcPr>
          <w:p>
            <w:pPr>
              <w:ind w:left="440"/>
              <w:spacing w:after="0"/>
              <w:rPr>
                <w:sz w:val="20"/>
                <w:szCs w:val="20"/>
                <w:color w:val="auto"/>
              </w:rPr>
            </w:pPr>
            <w:r>
              <w:rPr>
                <w:rFonts w:ascii="Arial" w:cs="Arial" w:eastAsia="Arial" w:hAnsi="Arial"/>
                <w:sz w:val="22"/>
                <w:szCs w:val="22"/>
                <w:color w:val="0000FF"/>
              </w:rPr>
              <w:t>Preservation of Rights; Assignments</w:t>
            </w:r>
          </w:p>
        </w:tc>
        <w:tc>
          <w:tcPr>
            <w:tcW w:w="17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2"/>
        </w:trPr>
        <w:tc>
          <w:tcPr>
            <w:tcW w:w="9480" w:type="dxa"/>
            <w:vAlign w:val="bottom"/>
            <w:gridSpan w:val="2"/>
          </w:tcPr>
          <w:p>
            <w:pPr>
              <w:ind w:left="20"/>
              <w:spacing w:after="0"/>
              <w:rPr>
                <w:sz w:val="20"/>
                <w:szCs w:val="20"/>
                <w:color w:val="auto"/>
              </w:rPr>
            </w:pPr>
            <w:r>
              <w:rPr>
                <w:rFonts w:ascii="Arial" w:cs="Arial" w:eastAsia="Arial" w:hAnsi="Arial"/>
                <w:sz w:val="22"/>
                <w:szCs w:val="22"/>
                <w:color w:val="0000FF"/>
              </w:rPr>
              <w:t>ARTICLE VIII INDEMNIFICATION</w:t>
            </w:r>
          </w:p>
        </w:tc>
        <w:tc>
          <w:tcPr>
            <w:tcW w:w="17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4"/>
        </w:trPr>
        <w:tc>
          <w:tcPr>
            <w:tcW w:w="2100" w:type="dxa"/>
            <w:vAlign w:val="bottom"/>
          </w:tcPr>
          <w:p>
            <w:pPr>
              <w:ind w:left="660"/>
              <w:spacing w:after="0"/>
              <w:rPr>
                <w:sz w:val="20"/>
                <w:szCs w:val="20"/>
                <w:color w:val="auto"/>
              </w:rPr>
            </w:pPr>
            <w:r>
              <w:rPr>
                <w:rFonts w:ascii="Arial" w:cs="Arial" w:eastAsia="Arial" w:hAnsi="Arial"/>
                <w:sz w:val="22"/>
                <w:szCs w:val="22"/>
                <w:color w:val="0000FF"/>
              </w:rPr>
              <w:t>Section 8.1</w:t>
            </w:r>
          </w:p>
        </w:tc>
        <w:tc>
          <w:tcPr>
            <w:tcW w:w="7380" w:type="dxa"/>
            <w:vAlign w:val="bottom"/>
          </w:tcPr>
          <w:p>
            <w:pPr>
              <w:ind w:left="440"/>
              <w:spacing w:after="0"/>
              <w:rPr>
                <w:sz w:val="20"/>
                <w:szCs w:val="20"/>
                <w:color w:val="auto"/>
              </w:rPr>
            </w:pPr>
            <w:r>
              <w:rPr>
                <w:rFonts w:ascii="Arial" w:cs="Arial" w:eastAsia="Arial" w:hAnsi="Arial"/>
                <w:sz w:val="22"/>
                <w:szCs w:val="22"/>
                <w:color w:val="0000FF"/>
              </w:rPr>
              <w:t>Obligation of Parties to Indemnify</w:t>
            </w:r>
          </w:p>
        </w:tc>
        <w:tc>
          <w:tcPr>
            <w:tcW w:w="17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8.2</w:t>
            </w:r>
          </w:p>
        </w:tc>
        <w:tc>
          <w:tcPr>
            <w:tcW w:w="7380" w:type="dxa"/>
            <w:vAlign w:val="bottom"/>
          </w:tcPr>
          <w:p>
            <w:pPr>
              <w:ind w:left="440"/>
              <w:spacing w:after="0"/>
              <w:rPr>
                <w:sz w:val="20"/>
                <w:szCs w:val="20"/>
                <w:color w:val="auto"/>
              </w:rPr>
            </w:pPr>
            <w:r>
              <w:rPr>
                <w:rFonts w:ascii="Arial" w:cs="Arial" w:eastAsia="Arial" w:hAnsi="Arial"/>
                <w:sz w:val="22"/>
                <w:szCs w:val="22"/>
                <w:color w:val="0000FF"/>
              </w:rPr>
              <w:t>Procedures Relating to Indemnification for Third Party Claims</w:t>
            </w:r>
          </w:p>
        </w:tc>
        <w:tc>
          <w:tcPr>
            <w:tcW w:w="17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8.3</w:t>
            </w:r>
          </w:p>
        </w:tc>
        <w:tc>
          <w:tcPr>
            <w:tcW w:w="7380" w:type="dxa"/>
            <w:vAlign w:val="bottom"/>
          </w:tcPr>
          <w:p>
            <w:pPr>
              <w:ind w:left="440"/>
              <w:spacing w:after="0"/>
              <w:rPr>
                <w:sz w:val="20"/>
                <w:szCs w:val="20"/>
                <w:color w:val="auto"/>
              </w:rPr>
            </w:pPr>
            <w:r>
              <w:rPr>
                <w:rFonts w:ascii="Arial" w:cs="Arial" w:eastAsia="Arial" w:hAnsi="Arial"/>
                <w:sz w:val="22"/>
                <w:szCs w:val="22"/>
                <w:color w:val="0000FF"/>
              </w:rPr>
              <w:t>Procedures Relating to Indemnification for Other Claims</w:t>
            </w:r>
          </w:p>
        </w:tc>
        <w:tc>
          <w:tcPr>
            <w:tcW w:w="17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8.4</w:t>
            </w:r>
          </w:p>
        </w:tc>
        <w:tc>
          <w:tcPr>
            <w:tcW w:w="7380" w:type="dxa"/>
            <w:vAlign w:val="bottom"/>
          </w:tcPr>
          <w:p>
            <w:pPr>
              <w:ind w:left="440"/>
              <w:spacing w:after="0"/>
              <w:rPr>
                <w:sz w:val="20"/>
                <w:szCs w:val="20"/>
                <w:color w:val="auto"/>
              </w:rPr>
            </w:pPr>
            <w:r>
              <w:rPr>
                <w:rFonts w:ascii="Arial" w:cs="Arial" w:eastAsia="Arial" w:hAnsi="Arial"/>
                <w:sz w:val="22"/>
                <w:szCs w:val="22"/>
                <w:color w:val="0000FF"/>
              </w:rPr>
              <w:t>Limitations on Indemnification</w:t>
            </w:r>
          </w:p>
        </w:tc>
        <w:tc>
          <w:tcPr>
            <w:tcW w:w="17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8.5</w:t>
            </w:r>
          </w:p>
        </w:tc>
        <w:tc>
          <w:tcPr>
            <w:tcW w:w="7380" w:type="dxa"/>
            <w:vAlign w:val="bottom"/>
          </w:tcPr>
          <w:p>
            <w:pPr>
              <w:ind w:left="440"/>
              <w:spacing w:after="0"/>
              <w:rPr>
                <w:sz w:val="20"/>
                <w:szCs w:val="20"/>
                <w:color w:val="auto"/>
              </w:rPr>
            </w:pPr>
            <w:r>
              <w:rPr>
                <w:rFonts w:ascii="Arial" w:cs="Arial" w:eastAsia="Arial" w:hAnsi="Arial"/>
                <w:sz w:val="22"/>
                <w:szCs w:val="22"/>
                <w:color w:val="0000FF"/>
              </w:rPr>
              <w:t>Survival of Representations and Warranties</w:t>
            </w:r>
          </w:p>
        </w:tc>
        <w:tc>
          <w:tcPr>
            <w:tcW w:w="17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8.6</w:t>
            </w:r>
          </w:p>
        </w:tc>
        <w:tc>
          <w:tcPr>
            <w:tcW w:w="7380" w:type="dxa"/>
            <w:vAlign w:val="bottom"/>
          </w:tcPr>
          <w:p>
            <w:pPr>
              <w:ind w:left="440"/>
              <w:spacing w:after="0"/>
              <w:rPr>
                <w:sz w:val="20"/>
                <w:szCs w:val="20"/>
                <w:color w:val="auto"/>
              </w:rPr>
            </w:pPr>
            <w:r>
              <w:rPr>
                <w:rFonts w:ascii="Arial" w:cs="Arial" w:eastAsia="Arial" w:hAnsi="Arial"/>
                <w:sz w:val="22"/>
                <w:szCs w:val="22"/>
                <w:color w:val="0000FF"/>
              </w:rPr>
              <w:t>No Implied Representations and Warranties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8.7</w:t>
            </w:r>
          </w:p>
        </w:tc>
        <w:tc>
          <w:tcPr>
            <w:tcW w:w="7380" w:type="dxa"/>
            <w:vAlign w:val="bottom"/>
          </w:tcPr>
          <w:p>
            <w:pPr>
              <w:ind w:left="440"/>
              <w:spacing w:after="0"/>
              <w:rPr>
                <w:sz w:val="20"/>
                <w:szCs w:val="20"/>
                <w:color w:val="auto"/>
              </w:rPr>
            </w:pPr>
            <w:r>
              <w:rPr>
                <w:rFonts w:ascii="Arial" w:cs="Arial" w:eastAsia="Arial" w:hAnsi="Arial"/>
                <w:sz w:val="22"/>
                <w:szCs w:val="22"/>
                <w:color w:val="0000FF"/>
              </w:rPr>
              <w:t>Exclusive Remedy</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8.8</w:t>
            </w:r>
          </w:p>
        </w:tc>
        <w:tc>
          <w:tcPr>
            <w:tcW w:w="7380" w:type="dxa"/>
            <w:vAlign w:val="bottom"/>
          </w:tcPr>
          <w:p>
            <w:pPr>
              <w:ind w:left="440"/>
              <w:spacing w:after="0"/>
              <w:rPr>
                <w:sz w:val="20"/>
                <w:szCs w:val="20"/>
                <w:color w:val="auto"/>
              </w:rPr>
            </w:pPr>
            <w:r>
              <w:rPr>
                <w:rFonts w:ascii="Arial" w:cs="Arial" w:eastAsia="Arial" w:hAnsi="Arial"/>
                <w:sz w:val="22"/>
                <w:szCs w:val="22"/>
                <w:color w:val="0000FF"/>
              </w:rPr>
              <w:t>Limitations on Damages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2"/>
        </w:trPr>
        <w:tc>
          <w:tcPr>
            <w:tcW w:w="9480" w:type="dxa"/>
            <w:vAlign w:val="bottom"/>
            <w:gridSpan w:val="2"/>
          </w:tcPr>
          <w:p>
            <w:pPr>
              <w:ind w:left="20"/>
              <w:spacing w:after="0"/>
              <w:rPr>
                <w:sz w:val="20"/>
                <w:szCs w:val="20"/>
                <w:color w:val="auto"/>
              </w:rPr>
            </w:pPr>
            <w:r>
              <w:rPr>
                <w:rFonts w:ascii="Arial" w:cs="Arial" w:eastAsia="Arial" w:hAnsi="Arial"/>
                <w:sz w:val="22"/>
                <w:szCs w:val="22"/>
                <w:color w:val="0000FF"/>
              </w:rPr>
              <w:t>ARTICLE IX MISCELLANEOUS</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4"/>
        </w:trPr>
        <w:tc>
          <w:tcPr>
            <w:tcW w:w="2100" w:type="dxa"/>
            <w:vAlign w:val="bottom"/>
          </w:tcPr>
          <w:p>
            <w:pPr>
              <w:ind w:left="660"/>
              <w:spacing w:after="0"/>
              <w:rPr>
                <w:sz w:val="20"/>
                <w:szCs w:val="20"/>
                <w:color w:val="auto"/>
              </w:rPr>
            </w:pPr>
            <w:r>
              <w:rPr>
                <w:rFonts w:ascii="Arial" w:cs="Arial" w:eastAsia="Arial" w:hAnsi="Arial"/>
                <w:sz w:val="22"/>
                <w:szCs w:val="22"/>
                <w:color w:val="0000FF"/>
              </w:rPr>
              <w:t>Section 9.1</w:t>
            </w:r>
          </w:p>
        </w:tc>
        <w:tc>
          <w:tcPr>
            <w:tcW w:w="7380" w:type="dxa"/>
            <w:vAlign w:val="bottom"/>
          </w:tcPr>
          <w:p>
            <w:pPr>
              <w:ind w:left="440"/>
              <w:spacing w:after="0"/>
              <w:rPr>
                <w:sz w:val="20"/>
                <w:szCs w:val="20"/>
                <w:color w:val="auto"/>
              </w:rPr>
            </w:pPr>
            <w:r>
              <w:rPr>
                <w:rFonts w:ascii="Arial" w:cs="Arial" w:eastAsia="Arial" w:hAnsi="Arial"/>
                <w:sz w:val="22"/>
                <w:szCs w:val="22"/>
                <w:color w:val="0000FF"/>
              </w:rPr>
              <w:t>Headings</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9.2</w:t>
            </w:r>
          </w:p>
        </w:tc>
        <w:tc>
          <w:tcPr>
            <w:tcW w:w="7380" w:type="dxa"/>
            <w:vAlign w:val="bottom"/>
          </w:tcPr>
          <w:p>
            <w:pPr>
              <w:ind w:left="440"/>
              <w:spacing w:after="0"/>
              <w:rPr>
                <w:sz w:val="20"/>
                <w:szCs w:val="20"/>
                <w:color w:val="auto"/>
              </w:rPr>
            </w:pPr>
            <w:r>
              <w:rPr>
                <w:rFonts w:ascii="Arial" w:cs="Arial" w:eastAsia="Arial" w:hAnsi="Arial"/>
                <w:sz w:val="22"/>
                <w:szCs w:val="22"/>
                <w:color w:val="0000FF"/>
              </w:rPr>
              <w:t>Notices</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9.3</w:t>
            </w:r>
          </w:p>
        </w:tc>
        <w:tc>
          <w:tcPr>
            <w:tcW w:w="7380" w:type="dxa"/>
            <w:vAlign w:val="bottom"/>
          </w:tcPr>
          <w:p>
            <w:pPr>
              <w:ind w:left="440"/>
              <w:spacing w:after="0"/>
              <w:rPr>
                <w:sz w:val="20"/>
                <w:szCs w:val="20"/>
                <w:color w:val="auto"/>
              </w:rPr>
            </w:pPr>
            <w:r>
              <w:rPr>
                <w:rFonts w:ascii="Arial" w:cs="Arial" w:eastAsia="Arial" w:hAnsi="Arial"/>
                <w:sz w:val="22"/>
                <w:szCs w:val="22"/>
                <w:color w:val="0000FF"/>
              </w:rPr>
              <w:t>No Personal Liability</w:t>
            </w:r>
          </w:p>
        </w:tc>
        <w:tc>
          <w:tcPr>
            <w:tcW w:w="17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86"/>
        </w:trPr>
        <w:tc>
          <w:tcPr>
            <w:tcW w:w="2100" w:type="dxa"/>
            <w:vAlign w:val="bottom"/>
          </w:tcPr>
          <w:p>
            <w:pPr>
              <w:ind w:left="660"/>
              <w:spacing w:after="0"/>
              <w:rPr>
                <w:sz w:val="20"/>
                <w:szCs w:val="20"/>
                <w:color w:val="auto"/>
              </w:rPr>
            </w:pPr>
            <w:r>
              <w:rPr>
                <w:rFonts w:ascii="Arial" w:cs="Arial" w:eastAsia="Arial" w:hAnsi="Arial"/>
                <w:sz w:val="22"/>
                <w:szCs w:val="22"/>
                <w:color w:val="0000FF"/>
              </w:rPr>
              <w:t>Section 9.4</w:t>
            </w:r>
          </w:p>
        </w:tc>
        <w:tc>
          <w:tcPr>
            <w:tcW w:w="7380" w:type="dxa"/>
            <w:vAlign w:val="bottom"/>
          </w:tcPr>
          <w:p>
            <w:pPr>
              <w:ind w:left="440"/>
              <w:spacing w:after="0"/>
              <w:rPr>
                <w:sz w:val="20"/>
                <w:szCs w:val="20"/>
                <w:color w:val="auto"/>
              </w:rPr>
            </w:pPr>
            <w:r>
              <w:rPr>
                <w:rFonts w:ascii="Arial" w:cs="Arial" w:eastAsia="Arial" w:hAnsi="Arial"/>
                <w:sz w:val="22"/>
                <w:szCs w:val="22"/>
                <w:color w:val="0000FF"/>
              </w:rPr>
              <w:t>Expenses</w:t>
            </w:r>
          </w:p>
        </w:tc>
        <w:tc>
          <w:tcPr>
            <w:tcW w:w="17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73"/>
        </w:trPr>
        <w:tc>
          <w:tcPr>
            <w:tcW w:w="2100" w:type="dxa"/>
            <w:vAlign w:val="bottom"/>
          </w:tcPr>
          <w:p>
            <w:pPr>
              <w:spacing w:after="0"/>
              <w:rPr>
                <w:sz w:val="24"/>
                <w:szCs w:val="24"/>
                <w:color w:val="auto"/>
              </w:rPr>
            </w:pPr>
          </w:p>
        </w:tc>
        <w:tc>
          <w:tcPr>
            <w:tcW w:w="7380" w:type="dxa"/>
            <w:vAlign w:val="bottom"/>
          </w:tcPr>
          <w:p>
            <w:pPr>
              <w:ind w:left="3440"/>
              <w:spacing w:after="0"/>
              <w:rPr>
                <w:sz w:val="20"/>
                <w:szCs w:val="20"/>
                <w:color w:val="auto"/>
              </w:rPr>
            </w:pPr>
            <w:r>
              <w:rPr>
                <w:rFonts w:ascii="Arial" w:cs="Arial" w:eastAsia="Arial" w:hAnsi="Arial"/>
                <w:sz w:val="22"/>
                <w:szCs w:val="22"/>
                <w:color w:val="auto"/>
              </w:rPr>
              <w:t>iv</w:t>
            </w:r>
          </w:p>
        </w:tc>
        <w:tc>
          <w:tcPr>
            <w:tcW w:w="1760" w:type="dxa"/>
            <w:vAlign w:val="bottom"/>
          </w:tcPr>
          <w:p>
            <w:pPr>
              <w:spacing w:after="0"/>
              <w:rPr>
                <w:sz w:val="24"/>
                <w:szCs w:val="24"/>
                <w:color w:val="auto"/>
              </w:rPr>
            </w:pPr>
          </w:p>
        </w:tc>
      </w:tr>
      <w:tr>
        <w:trPr>
          <w:trHeight w:val="105"/>
        </w:trPr>
        <w:tc>
          <w:tcPr>
            <w:tcW w:w="2100" w:type="dxa"/>
            <w:vAlign w:val="bottom"/>
            <w:tcBorders>
              <w:bottom w:val="single" w:sz="8" w:color="9A9A9A"/>
            </w:tcBorders>
          </w:tcPr>
          <w:p>
            <w:pPr>
              <w:spacing w:after="0"/>
              <w:rPr>
                <w:sz w:val="9"/>
                <w:szCs w:val="9"/>
                <w:color w:val="auto"/>
              </w:rPr>
            </w:pPr>
          </w:p>
        </w:tc>
        <w:tc>
          <w:tcPr>
            <w:tcW w:w="73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4" w:name="page65"/>
    <w:bookmarkEnd w:id="64"/>
    <w:tbl>
      <w:tblPr>
        <w:tblLayout w:type="fixed"/>
        <w:tblInd w:w="66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0000FF"/>
              </w:rPr>
              <w:t>Section 9.5</w:t>
            </w:r>
          </w:p>
        </w:tc>
        <w:tc>
          <w:tcPr>
            <w:tcW w:w="6340" w:type="dxa"/>
            <w:vAlign w:val="bottom"/>
          </w:tcPr>
          <w:p>
            <w:pPr>
              <w:ind w:left="400"/>
              <w:spacing w:after="0"/>
              <w:rPr>
                <w:sz w:val="20"/>
                <w:szCs w:val="20"/>
                <w:color w:val="auto"/>
              </w:rPr>
            </w:pPr>
            <w:r>
              <w:rPr>
                <w:rFonts w:ascii="Arial" w:cs="Arial" w:eastAsia="Arial" w:hAnsi="Arial"/>
                <w:sz w:val="22"/>
                <w:szCs w:val="22"/>
                <w:color w:val="0000FF"/>
              </w:rPr>
              <w:t>Assignment</w:t>
            </w:r>
          </w:p>
        </w:tc>
        <w:tc>
          <w:tcPr>
            <w:tcW w:w="27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9.6</w:t>
            </w:r>
          </w:p>
        </w:tc>
        <w:tc>
          <w:tcPr>
            <w:tcW w:w="6340" w:type="dxa"/>
            <w:vAlign w:val="bottom"/>
          </w:tcPr>
          <w:p>
            <w:pPr>
              <w:ind w:left="400"/>
              <w:spacing w:after="0"/>
              <w:rPr>
                <w:sz w:val="20"/>
                <w:szCs w:val="20"/>
                <w:color w:val="auto"/>
              </w:rPr>
            </w:pPr>
            <w:r>
              <w:rPr>
                <w:rFonts w:ascii="Arial" w:cs="Arial" w:eastAsia="Arial" w:hAnsi="Arial"/>
                <w:sz w:val="22"/>
                <w:szCs w:val="22"/>
                <w:color w:val="0000FF"/>
              </w:rPr>
              <w:t>Amendment and Waiver</w:t>
            </w:r>
          </w:p>
        </w:tc>
        <w:tc>
          <w:tcPr>
            <w:tcW w:w="27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9.7</w:t>
            </w:r>
          </w:p>
        </w:tc>
        <w:tc>
          <w:tcPr>
            <w:tcW w:w="6340" w:type="dxa"/>
            <w:vAlign w:val="bottom"/>
          </w:tcPr>
          <w:p>
            <w:pPr>
              <w:ind w:left="400"/>
              <w:spacing w:after="0"/>
              <w:rPr>
                <w:sz w:val="20"/>
                <w:szCs w:val="20"/>
                <w:color w:val="auto"/>
              </w:rPr>
            </w:pPr>
            <w:r>
              <w:rPr>
                <w:rFonts w:ascii="Arial" w:cs="Arial" w:eastAsia="Arial" w:hAnsi="Arial"/>
                <w:sz w:val="22"/>
                <w:szCs w:val="22"/>
                <w:color w:val="0000FF"/>
              </w:rPr>
              <w:t>Entire Agreement</w:t>
            </w:r>
          </w:p>
        </w:tc>
        <w:tc>
          <w:tcPr>
            <w:tcW w:w="27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9.8</w:t>
            </w:r>
          </w:p>
        </w:tc>
        <w:tc>
          <w:tcPr>
            <w:tcW w:w="6340" w:type="dxa"/>
            <w:vAlign w:val="bottom"/>
          </w:tcPr>
          <w:p>
            <w:pPr>
              <w:ind w:left="400"/>
              <w:spacing w:after="0"/>
              <w:rPr>
                <w:sz w:val="20"/>
                <w:szCs w:val="20"/>
                <w:color w:val="auto"/>
              </w:rPr>
            </w:pPr>
            <w:r>
              <w:rPr>
                <w:rFonts w:ascii="Arial" w:cs="Arial" w:eastAsia="Arial" w:hAnsi="Arial"/>
                <w:sz w:val="22"/>
                <w:szCs w:val="22"/>
                <w:color w:val="0000FF"/>
              </w:rPr>
              <w:t>Independent Contractors</w:t>
            </w:r>
          </w:p>
        </w:tc>
        <w:tc>
          <w:tcPr>
            <w:tcW w:w="27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9.9</w:t>
            </w:r>
          </w:p>
        </w:tc>
        <w:tc>
          <w:tcPr>
            <w:tcW w:w="6340" w:type="dxa"/>
            <w:vAlign w:val="bottom"/>
          </w:tcPr>
          <w:p>
            <w:pPr>
              <w:ind w:left="400"/>
              <w:spacing w:after="0"/>
              <w:rPr>
                <w:sz w:val="20"/>
                <w:szCs w:val="20"/>
                <w:color w:val="auto"/>
              </w:rPr>
            </w:pPr>
            <w:r>
              <w:rPr>
                <w:rFonts w:ascii="Arial" w:cs="Arial" w:eastAsia="Arial" w:hAnsi="Arial"/>
                <w:sz w:val="22"/>
                <w:szCs w:val="22"/>
                <w:color w:val="0000FF"/>
              </w:rPr>
              <w:t>No Third Party Beneficiaries</w:t>
            </w:r>
          </w:p>
        </w:tc>
        <w:tc>
          <w:tcPr>
            <w:tcW w:w="27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9.10</w:t>
            </w:r>
          </w:p>
        </w:tc>
        <w:tc>
          <w:tcPr>
            <w:tcW w:w="6340" w:type="dxa"/>
            <w:vAlign w:val="bottom"/>
          </w:tcPr>
          <w:p>
            <w:pPr>
              <w:ind w:left="400"/>
              <w:spacing w:after="0"/>
              <w:rPr>
                <w:sz w:val="20"/>
                <w:szCs w:val="20"/>
                <w:color w:val="auto"/>
              </w:rPr>
            </w:pPr>
            <w:r>
              <w:rPr>
                <w:rFonts w:ascii="Arial" w:cs="Arial" w:eastAsia="Arial" w:hAnsi="Arial"/>
                <w:sz w:val="22"/>
                <w:szCs w:val="22"/>
                <w:color w:val="0000FF"/>
              </w:rPr>
              <w:t>Governing Law</w:t>
            </w:r>
          </w:p>
        </w:tc>
        <w:tc>
          <w:tcPr>
            <w:tcW w:w="27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9.11</w:t>
            </w:r>
          </w:p>
        </w:tc>
        <w:tc>
          <w:tcPr>
            <w:tcW w:w="6340" w:type="dxa"/>
            <w:vAlign w:val="bottom"/>
          </w:tcPr>
          <w:p>
            <w:pPr>
              <w:ind w:left="400"/>
              <w:spacing w:after="0"/>
              <w:rPr>
                <w:sz w:val="20"/>
                <w:szCs w:val="20"/>
                <w:color w:val="auto"/>
              </w:rPr>
            </w:pPr>
            <w:r>
              <w:rPr>
                <w:rFonts w:ascii="Arial" w:cs="Arial" w:eastAsia="Arial" w:hAnsi="Arial"/>
                <w:sz w:val="22"/>
                <w:szCs w:val="22"/>
                <w:color w:val="0000FF"/>
              </w:rPr>
              <w:t>Jurisdiction; Venue; Service Of Process</w:t>
            </w:r>
          </w:p>
        </w:tc>
        <w:tc>
          <w:tcPr>
            <w:tcW w:w="27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9.12</w:t>
            </w:r>
          </w:p>
        </w:tc>
        <w:tc>
          <w:tcPr>
            <w:tcW w:w="6340" w:type="dxa"/>
            <w:vAlign w:val="bottom"/>
          </w:tcPr>
          <w:p>
            <w:pPr>
              <w:ind w:left="400"/>
              <w:spacing w:after="0"/>
              <w:rPr>
                <w:sz w:val="20"/>
                <w:szCs w:val="20"/>
                <w:color w:val="auto"/>
              </w:rPr>
            </w:pPr>
            <w:r>
              <w:rPr>
                <w:rFonts w:ascii="Arial" w:cs="Arial" w:eastAsia="Arial" w:hAnsi="Arial"/>
                <w:sz w:val="22"/>
                <w:szCs w:val="22"/>
                <w:color w:val="0000FF"/>
              </w:rPr>
              <w:t>Severability</w:t>
            </w:r>
          </w:p>
        </w:tc>
        <w:tc>
          <w:tcPr>
            <w:tcW w:w="27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9.13</w:t>
            </w:r>
          </w:p>
        </w:tc>
        <w:tc>
          <w:tcPr>
            <w:tcW w:w="6340" w:type="dxa"/>
            <w:vAlign w:val="bottom"/>
          </w:tcPr>
          <w:p>
            <w:pPr>
              <w:ind w:left="400"/>
              <w:spacing w:after="0"/>
              <w:rPr>
                <w:sz w:val="20"/>
                <w:szCs w:val="20"/>
                <w:color w:val="auto"/>
              </w:rPr>
            </w:pPr>
            <w:r>
              <w:rPr>
                <w:rFonts w:ascii="Arial" w:cs="Arial" w:eastAsia="Arial" w:hAnsi="Arial"/>
                <w:sz w:val="22"/>
                <w:szCs w:val="22"/>
                <w:color w:val="0000FF"/>
              </w:rPr>
              <w:t>Counterparts</w:t>
            </w:r>
          </w:p>
        </w:tc>
        <w:tc>
          <w:tcPr>
            <w:tcW w:w="27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1480" w:type="dxa"/>
            <w:vAlign w:val="bottom"/>
          </w:tcPr>
          <w:p>
            <w:pPr>
              <w:spacing w:after="0"/>
              <w:rPr>
                <w:sz w:val="20"/>
                <w:szCs w:val="20"/>
                <w:color w:val="auto"/>
              </w:rPr>
            </w:pPr>
            <w:r>
              <w:rPr>
                <w:rFonts w:ascii="Arial" w:cs="Arial" w:eastAsia="Arial" w:hAnsi="Arial"/>
                <w:sz w:val="22"/>
                <w:szCs w:val="22"/>
                <w:color w:val="0000FF"/>
              </w:rPr>
              <w:t>Section 9.14</w:t>
            </w:r>
          </w:p>
        </w:tc>
        <w:tc>
          <w:tcPr>
            <w:tcW w:w="6340" w:type="dxa"/>
            <w:vAlign w:val="bottom"/>
          </w:tcPr>
          <w:p>
            <w:pPr>
              <w:ind w:left="400"/>
              <w:spacing w:after="0"/>
              <w:rPr>
                <w:sz w:val="20"/>
                <w:szCs w:val="20"/>
                <w:color w:val="auto"/>
              </w:rPr>
            </w:pPr>
            <w:r>
              <w:rPr>
                <w:rFonts w:ascii="Arial" w:cs="Arial" w:eastAsia="Arial" w:hAnsi="Arial"/>
                <w:sz w:val="22"/>
                <w:szCs w:val="22"/>
                <w:color w:val="0000FF"/>
              </w:rPr>
              <w:t>Termination of Agreement</w:t>
            </w:r>
          </w:p>
        </w:tc>
        <w:tc>
          <w:tcPr>
            <w:tcW w:w="2740" w:type="dxa"/>
            <w:vAlign w:val="bottom"/>
          </w:tcPr>
          <w:p>
            <w:pPr>
              <w:jc w:val="right"/>
              <w:spacing w:after="0"/>
              <w:rPr>
                <w:sz w:val="20"/>
                <w:szCs w:val="20"/>
                <w:color w:val="auto"/>
              </w:rPr>
            </w:pPr>
            <w:r>
              <w:rPr>
                <w:rFonts w:ascii="Arial" w:cs="Arial" w:eastAsia="Arial" w:hAnsi="Arial"/>
                <w:sz w:val="22"/>
                <w:szCs w:val="22"/>
                <w:color w:val="auto"/>
              </w:rPr>
              <w:t>30</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 of Exhibits</w:t>
      </w:r>
    </w:p>
    <w:p>
      <w:pPr>
        <w:spacing w:after="0" w:line="14" w:lineRule="exact"/>
        <w:rPr>
          <w:sz w:val="20"/>
          <w:szCs w:val="20"/>
          <w:color w:val="auto"/>
        </w:rPr>
      </w:pPr>
    </w:p>
    <w:p>
      <w:pPr>
        <w:ind w:right="7600" w:firstLine="8"/>
        <w:spacing w:after="0" w:line="230" w:lineRule="auto"/>
        <w:tabs>
          <w:tab w:leader="none" w:pos="432" w:val="left"/>
        </w:tabs>
        <w:numPr>
          <w:ilvl w:val="0"/>
          <w:numId w:val="34"/>
        </w:numPr>
        <w:rPr>
          <w:rFonts w:ascii="Arial" w:cs="Arial" w:eastAsia="Arial" w:hAnsi="Arial"/>
          <w:sz w:val="22"/>
          <w:szCs w:val="22"/>
          <w:color w:val="auto"/>
        </w:rPr>
      </w:pPr>
      <w:r>
        <w:rPr>
          <w:rFonts w:ascii="Arial" w:cs="Arial" w:eastAsia="Arial" w:hAnsi="Arial"/>
          <w:sz w:val="22"/>
          <w:szCs w:val="22"/>
          <w:color w:val="auto"/>
        </w:rPr>
        <w:t>Form of Bill of Sale and Assignment B Disclosure Schedule</w:t>
      </w:r>
    </w:p>
    <w:p>
      <w:pPr>
        <w:spacing w:after="0" w:line="1" w:lineRule="exact"/>
        <w:rPr>
          <w:rFonts w:ascii="Arial" w:cs="Arial" w:eastAsia="Arial" w:hAnsi="Arial"/>
          <w:sz w:val="22"/>
          <w:szCs w:val="22"/>
          <w:color w:val="auto"/>
        </w:rPr>
      </w:pPr>
    </w:p>
    <w:p>
      <w:pPr>
        <w:ind w:right="7680"/>
        <w:spacing w:after="0" w:line="230" w:lineRule="auto"/>
        <w:rPr>
          <w:rFonts w:ascii="Arial" w:cs="Arial" w:eastAsia="Arial" w:hAnsi="Arial"/>
          <w:sz w:val="22"/>
          <w:szCs w:val="22"/>
          <w:color w:val="auto"/>
        </w:rPr>
      </w:pPr>
      <w:r>
        <w:rPr>
          <w:rFonts w:ascii="Arial" w:cs="Arial" w:eastAsia="Arial" w:hAnsi="Arial"/>
          <w:sz w:val="22"/>
          <w:szCs w:val="22"/>
          <w:color w:val="auto"/>
        </w:rPr>
        <w:t>C Form of Medexus Instruction Letter D Form of Legal Opinion</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   Sale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22"/>
          <w:szCs w:val="22"/>
          <w:b w:val="1"/>
          <w:bCs w:val="1"/>
          <w:color w:val="auto"/>
        </w:rPr>
        <w:t>PAYMENT INTEREST PURCHASE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This Payment Interest Purchase Agreement is dated as of March 29, 2023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APTEVO</w:t>
      </w:r>
      <w:r>
        <w:rPr>
          <w:rFonts w:ascii="Arial" w:cs="Arial" w:eastAsia="Arial" w:hAnsi="Arial"/>
          <w:sz w:val="22"/>
          <w:szCs w:val="22"/>
          <w:color w:val="auto"/>
        </w:rPr>
        <w:t xml:space="preserve"> </w:t>
      </w:r>
      <w:r>
        <w:rPr>
          <w:rFonts w:ascii="Arial" w:cs="Arial" w:eastAsia="Arial" w:hAnsi="Arial"/>
          <w:sz w:val="22"/>
          <w:szCs w:val="22"/>
          <w:b w:val="1"/>
          <w:bCs w:val="1"/>
          <w:color w:val="auto"/>
        </w:rPr>
        <w:t>THERAPEUTICS INC</w:t>
      </w:r>
      <w:r>
        <w:rPr>
          <w:rFonts w:ascii="Arial" w:cs="Arial" w:eastAsia="Arial" w:hAnsi="Arial"/>
          <w:sz w:val="22"/>
          <w:szCs w:val="22"/>
          <w:color w:val="auto"/>
        </w:rPr>
        <w:t>,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w:t>
      </w:r>
      <w:r>
        <w:rPr>
          <w:rFonts w:ascii="Arial" w:cs="Arial" w:eastAsia="Arial" w:hAnsi="Arial"/>
          <w:sz w:val="22"/>
          <w:szCs w:val="22"/>
          <w:b w:val="1"/>
          <w:bCs w:val="1"/>
          <w:color w:val="auto"/>
        </w:rPr>
        <w:t xml:space="preserve"> XOMA (US) LLC</w:t>
      </w:r>
      <w:r>
        <w:rPr>
          <w:rFonts w:ascii="Arial" w:cs="Arial" w:eastAsia="Arial" w:hAnsi="Arial"/>
          <w:sz w:val="22"/>
          <w:szCs w:val="22"/>
          <w:color w:val="auto"/>
        </w:rPr>
        <w:t>, a Delaware limited liability company, as</w:t>
      </w:r>
      <w:r>
        <w:rPr>
          <w:rFonts w:ascii="Arial" w:cs="Arial" w:eastAsia="Arial" w:hAnsi="Arial"/>
          <w:sz w:val="22"/>
          <w:szCs w:val="22"/>
          <w:b w:val="1"/>
          <w:bCs w:val="1"/>
          <w:color w:val="auto"/>
        </w:rPr>
        <w:t xml:space="preserve"> </w:t>
      </w:r>
      <w:r>
        <w:rPr>
          <w:rFonts w:ascii="Arial" w:cs="Arial" w:eastAsia="Arial" w:hAnsi="Arial"/>
          <w:sz w:val="22"/>
          <w:szCs w:val="22"/>
          <w:color w:val="auto"/>
        </w:rPr>
        <w:t>Buyer (“</w:t>
      </w:r>
      <w:r>
        <w:rPr>
          <w:rFonts w:ascii="Arial" w:cs="Arial" w:eastAsia="Arial" w:hAnsi="Arial"/>
          <w:sz w:val="22"/>
          <w:szCs w:val="22"/>
          <w:u w:val="single" w:color="auto"/>
          <w:color w:val="auto"/>
        </w:rPr>
        <w:t>Buyer</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WHEREAS, Seller is a party to that certain LLC Purchase Agreement, dated as of February 28, 2020 (the “</w:t>
      </w:r>
      <w:r>
        <w:rPr>
          <w:rFonts w:ascii="Arial" w:cs="Arial" w:eastAsia="Arial" w:hAnsi="Arial"/>
          <w:sz w:val="21"/>
          <w:szCs w:val="21"/>
          <w:u w:val="single" w:color="auto"/>
          <w:color w:val="auto"/>
        </w:rPr>
        <w:t>Sale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between Seller and Medexus Pharma, Inc. (“</w:t>
      </w:r>
      <w:r>
        <w:rPr>
          <w:rFonts w:ascii="Arial" w:cs="Arial" w:eastAsia="Arial" w:hAnsi="Arial"/>
          <w:sz w:val="21"/>
          <w:szCs w:val="21"/>
          <w:u w:val="single" w:color="auto"/>
          <w:color w:val="auto"/>
        </w:rPr>
        <w:t>Medexus</w:t>
      </w:r>
      <w:r>
        <w:rPr>
          <w:rFonts w:ascii="Arial" w:cs="Arial" w:eastAsia="Arial" w:hAnsi="Arial"/>
          <w:sz w:val="21"/>
          <w:szCs w:val="21"/>
          <w:color w:val="auto"/>
        </w:rPr>
        <w:t>”), pursuant to which, among other things, (i) Seller sold to Medexus all of the issued and outstanding limited liability company interests of Aptevo BioTherapeutics LLC, a Delaware limited liability company, and (ii) Seller is entitled to receive from Medexus, among other things, the Deferred Payments and the Milestone Payments, as more fully set forth in the Sale Agreement; and</w:t>
      </w:r>
    </w:p>
    <w:p>
      <w:pPr>
        <w:spacing w:after="0" w:line="17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Seller desires to sell, transfer, assign and convey to Buyer, and Buyer desires to purchase, acquire and accept from Seller, all of Seller’s right, title and interest in and to the Purchased Receivables (as defined below), for the consideration and on the terms and subject to the conditions set forth in this Agreement;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NOW, THEREFORE, in consideration of the representations, warranties, covenants and agreements set forth herein and for good and valuable consideration, the receipt and adequacy of which are hereby acknowledged, intending to be legally bound, Seller and Buyer hereby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INTERPRETATION</w:t>
      </w:r>
    </w:p>
    <w:p>
      <w:pPr>
        <w:spacing w:after="0" w:line="206" w:lineRule="exact"/>
        <w:rPr>
          <w:sz w:val="20"/>
          <w:szCs w:val="20"/>
          <w:color w:val="auto"/>
        </w:rPr>
      </w:pPr>
    </w:p>
    <w:p>
      <w:pPr>
        <w:jc w:val="center"/>
        <w:ind w:right="40"/>
        <w:spacing w:after="0"/>
        <w:tabs>
          <w:tab w:leader="none" w:pos="4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shall have the following meanings:</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or is Controlled by, or is under common Control with, such Person.</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with respect to any Person, all laws, rules, regulations, codes and orders of Governmental Authorities applicable to such Person or any of its properties or assets.</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Withholding Certificate</w:t>
      </w:r>
      <w:r>
        <w:rPr>
          <w:rFonts w:ascii="Arial" w:cs="Arial" w:eastAsia="Arial" w:hAnsi="Arial"/>
          <w:sz w:val="22"/>
          <w:szCs w:val="22"/>
          <w:color w:val="auto"/>
        </w:rPr>
        <w:t>” means a valid and properly executed IRS Form W-9 (or any applicable successor form) certifying that the applicable party hereto is a “United States person” as defined in Section 7701(a)(30) of the Code and is exempt from United States federal withholding tax and backup withholding tax with respect to all payments under this Agreement to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 and Assignment</w:t>
      </w:r>
      <w:r>
        <w:rPr>
          <w:rFonts w:ascii="Arial" w:cs="Arial" w:eastAsia="Arial" w:hAnsi="Arial"/>
          <w:sz w:val="22"/>
          <w:szCs w:val="22"/>
          <w:color w:val="auto"/>
        </w:rPr>
        <w:t xml:space="preserve"> ” means that certain bill of sale and assignment,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entered into by Seller and Buyer as of the Closing.</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a Saturday or Sunday or (b) a day on which banking institutions located in New York, New York, are permitted or required by Applicable Law to remain closed.</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Party</w:t>
      </w:r>
      <w:r>
        <w:rPr>
          <w:rFonts w:ascii="Arial" w:cs="Arial" w:eastAsia="Arial" w:hAnsi="Arial"/>
          <w:sz w:val="22"/>
          <w:szCs w:val="22"/>
          <w:color w:val="auto"/>
        </w:rPr>
        <w:t>” is defined in Section‎ 8.2(a).</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Material Adverse Effect</w:t>
      </w:r>
      <w:r>
        <w:rPr>
          <w:rFonts w:ascii="Arial" w:cs="Arial" w:eastAsia="Arial" w:hAnsi="Arial"/>
          <w:sz w:val="22"/>
          <w:szCs w:val="22"/>
          <w:color w:val="auto"/>
        </w:rPr>
        <w:t>” means any one or more of: (a) a material adverse effect on the ability of Buyer to consummate the transactions contemplated by the Transaction Documents and perform its obligations under the Transaction Documents and (b) a material adverse effect on the validity or enforceability of the Transaction Documents against Buyer or the rights of Seller thereunder.</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Participated Audit</w:t>
      </w:r>
      <w:r>
        <w:rPr>
          <w:rFonts w:ascii="Arial" w:cs="Arial" w:eastAsia="Arial" w:hAnsi="Arial"/>
          <w:sz w:val="22"/>
          <w:szCs w:val="22"/>
          <w:color w:val="auto"/>
        </w:rPr>
        <w:t>” is defined in Section‎ 7.4(b)(ii).</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Transaction Expenses</w:t>
      </w:r>
      <w:r>
        <w:rPr>
          <w:rFonts w:ascii="Arial" w:cs="Arial" w:eastAsia="Arial" w:hAnsi="Arial"/>
          <w:sz w:val="22"/>
          <w:szCs w:val="22"/>
          <w:color w:val="auto"/>
        </w:rPr>
        <w:t>” is defined in Section‎ 9.4.</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is defined in Section‎ 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is defined in Section‎ 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means the efforts Seller would reasonably be expected to expend if Seller had the sole right, title and interest in and to the Purchased Receivables to which such efforts relate.</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is defined in Section‎ 6.1(b).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is defined in Section‎ 6.1(d).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w:t>
      </w:r>
      <w:r>
        <w:rPr>
          <w:rFonts w:ascii="Arial" w:cs="Arial" w:eastAsia="Arial" w:hAnsi="Arial"/>
          <w:sz w:val="19"/>
          <w:szCs w:val="19"/>
          <w:color w:val="auto"/>
        </w:rPr>
        <w:t>” means any consent, approval, license, permit, order, authorization, registration, filing or notice.</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contract, license, indenture, instrument, arrangement, understanding or agreement.</w:t>
      </w:r>
    </w:p>
    <w:p>
      <w:pPr>
        <w:spacing w:after="0" w:line="24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and its derivatives mean the possession, directly or indirectly, of the power to direct or cause the direction of the management and policies of a Person, whether through the ownership of voting securities or other voting interests, by contract or otherwise.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Payment</w:t>
      </w:r>
      <w:r>
        <w:rPr>
          <w:rFonts w:ascii="Arial" w:cs="Arial" w:eastAsia="Arial" w:hAnsi="Arial"/>
          <w:sz w:val="22"/>
          <w:szCs w:val="22"/>
          <w:color w:val="auto"/>
        </w:rPr>
        <w:t>” has the meaning set forth in Section 1.5(a) of the Sale Agreement.</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Payment Calculation Certificate</w:t>
      </w:r>
      <w:r>
        <w:rPr>
          <w:rFonts w:ascii="Arial" w:cs="Arial" w:eastAsia="Arial" w:hAnsi="Arial"/>
          <w:sz w:val="19"/>
          <w:szCs w:val="19"/>
          <w:color w:val="auto"/>
        </w:rPr>
        <w:t>” has the meaning set forth in Section 1.5(c) of the Sale Agreement.</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Payment Calculation Notice</w:t>
      </w:r>
      <w:r>
        <w:rPr>
          <w:rFonts w:ascii="Arial" w:cs="Arial" w:eastAsia="Arial" w:hAnsi="Arial"/>
          <w:sz w:val="19"/>
          <w:szCs w:val="19"/>
          <w:color w:val="auto"/>
        </w:rPr>
        <w:t>” has the meaning set forth in Section 1.5(c) of the Sale Agreement.</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Deferred Payment Termination Date</w:t>
      </w:r>
      <w:r>
        <w:rPr>
          <w:rFonts w:ascii="Arial" w:cs="Arial" w:eastAsia="Arial" w:hAnsi="Arial"/>
          <w:sz w:val="21"/>
          <w:szCs w:val="21"/>
          <w:color w:val="auto"/>
        </w:rPr>
        <w:t>” has the meaning set forth in Section 1.5(a) of the Sale Agreement.</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is defined in Section‎ 6.1(b).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xml:space="preserve">” means the disclosure schedules attached hereto as </w:t>
      </w:r>
      <w:r>
        <w:rPr>
          <w:rFonts w:ascii="Arial" w:cs="Arial" w:eastAsia="Arial" w:hAnsi="Arial"/>
          <w:sz w:val="22"/>
          <w:szCs w:val="22"/>
          <w:u w:val="single" w:color="auto"/>
          <w:color w:val="auto"/>
        </w:rPr>
        <w:t>Exhibit 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Account</w:t>
      </w:r>
      <w:r>
        <w:rPr>
          <w:rFonts w:ascii="Arial" w:cs="Arial" w:eastAsia="Arial" w:hAnsi="Arial"/>
          <w:sz w:val="22"/>
          <w:szCs w:val="22"/>
          <w:color w:val="auto"/>
        </w:rPr>
        <w:t>” means the escrow account created pursuant to the Escrow Agreement.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means an Escrow Agreement to be entered into by and among Seller, Buyer, and The Bank of New York Mellon, in form and content acceptable to Seller and Buyer.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is defined in Section‎ 2.3.</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 and Obligations</w:t>
      </w:r>
      <w:r>
        <w:rPr>
          <w:rFonts w:ascii="Arial" w:cs="Arial" w:eastAsia="Arial" w:hAnsi="Arial"/>
          <w:sz w:val="22"/>
          <w:szCs w:val="22"/>
          <w:color w:val="auto"/>
        </w:rPr>
        <w:t>” is defined in Section‎ 2.4.</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Determination</w:t>
      </w:r>
      <w:r>
        <w:rPr>
          <w:rFonts w:ascii="Arial" w:cs="Arial" w:eastAsia="Arial" w:hAnsi="Arial"/>
          <w:sz w:val="22"/>
          <w:szCs w:val="22"/>
          <w:color w:val="auto"/>
        </w:rPr>
        <w:t>” means any final determination as defined in Section 1313(a) of the Code or any corresponding provision of state, local or foreign Applicable Law.</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Statements</w:t>
      </w:r>
      <w:r>
        <w:rPr>
          <w:rFonts w:ascii="Arial" w:cs="Arial" w:eastAsia="Arial" w:hAnsi="Arial"/>
          <w:sz w:val="22"/>
          <w:szCs w:val="22"/>
          <w:color w:val="auto"/>
        </w:rPr>
        <w:t>” is defined in Section‎ 2.5.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is defined in Section‎ 8.5.</w:t>
      </w:r>
    </w:p>
    <w:p>
      <w:pPr>
        <w:spacing w:after="0" w:line="206"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any other nation or any political subdivision thereof, whether state or local, and any agency, authority (including supranational authority), branch, commission, instrumentality, regulatory body, court, tribunal or arbitral or judicial body or other Person exercising executive, legislative, judicial, taxing, regulatory or administrative powers or functions of or pertaining to government.</w:t>
      </w:r>
    </w:p>
    <w:p>
      <w:pPr>
        <w:spacing w:after="0" w:line="174"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w:t>
      </w:r>
      <w:r>
        <w:rPr>
          <w:rFonts w:ascii="Arial" w:cs="Arial" w:eastAsia="Arial" w:hAnsi="Arial"/>
          <w:sz w:val="19"/>
          <w:szCs w:val="19"/>
          <w:color w:val="auto"/>
        </w:rPr>
        <w:t>” means any withholding tax imposed by any Governmental Authority in any jurisdiction that would not have been required to be withheld but for any action or inaction of Seller, including (a) a redomiciling of Seller to another jurisdiction and (b) any failure of Seller to provide any applicable documentation permitting payments to be made without (or at a reduced rate of) withholding that is reasonably requested by Buyer and that Seller is legally eligible to provide.</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is defined in Section‎ 8.2(a).</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Judgment</w:t>
      </w:r>
      <w:r>
        <w:rPr>
          <w:rFonts w:ascii="Arial" w:cs="Arial" w:eastAsia="Arial" w:hAnsi="Arial"/>
          <w:sz w:val="21"/>
          <w:szCs w:val="21"/>
          <w:color w:val="auto"/>
        </w:rPr>
        <w:t>” means any judgment, order, writ, stipulation, consent order, injunction, or decree or decree.</w:t>
      </w:r>
    </w:p>
    <w:p>
      <w:pPr>
        <w:spacing w:after="0" w:line="218"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 of Seller</w:t>
      </w:r>
      <w:r>
        <w:rPr>
          <w:rFonts w:ascii="Arial" w:cs="Arial" w:eastAsia="Arial" w:hAnsi="Arial"/>
          <w:sz w:val="19"/>
          <w:szCs w:val="19"/>
          <w:color w:val="auto"/>
        </w:rPr>
        <w:t>” means the actual knowledge of each of the following officers of Seller: the Chief Executive Officer, Chief Operating Officer, Chief Financial Officer and General Counsel, and such knowledge as would be imputed to such individuals upon due inquiry; provided, however, that due inquiry shall not require Seller to contact Medexus.</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Medexus</w:t>
      </w:r>
      <w:r>
        <w:rPr>
          <w:rFonts w:ascii="Arial" w:cs="Arial" w:eastAsia="Arial" w:hAnsi="Arial"/>
          <w:sz w:val="22"/>
          <w:szCs w:val="22"/>
          <w:color w:val="auto"/>
        </w:rPr>
        <w:t>” is defined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Medexus Consent</w:t>
      </w:r>
      <w:r>
        <w:rPr>
          <w:rFonts w:ascii="Arial" w:cs="Arial" w:eastAsia="Arial" w:hAnsi="Arial"/>
          <w:sz w:val="22"/>
          <w:szCs w:val="22"/>
          <w:color w:val="auto"/>
        </w:rPr>
        <w:t>” is defined in Section‎ 3.6.</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Medexus Instruction Letter</w:t>
      </w:r>
      <w:r>
        <w:rPr>
          <w:rFonts w:ascii="Arial" w:cs="Arial" w:eastAsia="Arial" w:hAnsi="Arial"/>
          <w:sz w:val="22"/>
          <w:szCs w:val="22"/>
          <w:color w:val="auto"/>
        </w:rPr>
        <w:t>” is defined in Section‎ 6.7.</w:t>
      </w:r>
    </w:p>
    <w:p>
      <w:pPr>
        <w:spacing w:after="0" w:line="20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Medexus Reports</w:t>
      </w:r>
      <w:r>
        <w:rPr>
          <w:rFonts w:ascii="Arial" w:cs="Arial" w:eastAsia="Arial" w:hAnsi="Arial"/>
          <w:sz w:val="19"/>
          <w:szCs w:val="19"/>
          <w:color w:val="auto"/>
        </w:rPr>
        <w:t>” means, collectively, (a) the Deferred Payment Calculation Notices and Deferred Payment Calculation Certificates required to be delivered by Medexus to Seller pursuant to Section 1.5(c) of the Sale Agreement in respect of Net Sales of the Product, (b) the Milestone Sales Calculation Notice required to be delivered by Medexus to Seller pursuant to Section 1.6(a)(iii)(1) of the Sale Agreement, and (c) any notices and supporting documentation delivered by Medexus to Seller in respect of the events specified in Section 1.6(a)(i)-(ii) of the Sale Agreement.</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MidCap</w:t>
      </w:r>
      <w:r>
        <w:rPr>
          <w:rFonts w:ascii="Arial" w:cs="Arial" w:eastAsia="Arial" w:hAnsi="Arial"/>
          <w:sz w:val="22"/>
          <w:szCs w:val="22"/>
          <w:color w:val="auto"/>
        </w:rPr>
        <w:t>” means MidCap Financial Trust, a Delaware statutory trust.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MidCap Collateral Assignment</w:t>
      </w:r>
      <w:r>
        <w:rPr>
          <w:rFonts w:ascii="Arial" w:cs="Arial" w:eastAsia="Arial" w:hAnsi="Arial"/>
          <w:sz w:val="22"/>
          <w:szCs w:val="22"/>
          <w:color w:val="auto"/>
        </w:rPr>
        <w:t>” means that certain Collateral Assignment, dated as of August 5, 2020, by Seller and Aptevo Research &amp; Development LLC in favor of MidCap, as agent for the lenders from time to time party to the MidCap Credit Agreement.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MidCap Credit Agreement</w:t>
      </w:r>
      <w:r>
        <w:rPr>
          <w:rFonts w:ascii="Arial" w:cs="Arial" w:eastAsia="Arial" w:hAnsi="Arial"/>
          <w:sz w:val="22"/>
          <w:szCs w:val="22"/>
          <w:color w:val="auto"/>
        </w:rPr>
        <w:t>” means that certain Credit and Security Agreement, dated as of August 5, 2020, by and among Seller and Aptevo Research &amp; Development LLC, as borrowers, the financial institutions from time to time a party thereto, as lenders, and MidCap, as agent.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MidCap Release</w:t>
      </w:r>
      <w:r>
        <w:rPr>
          <w:rFonts w:ascii="Arial" w:cs="Arial" w:eastAsia="Arial" w:hAnsi="Arial"/>
          <w:sz w:val="22"/>
          <w:szCs w:val="22"/>
          <w:color w:val="auto"/>
        </w:rPr>
        <w:t>” is defined in Section‎ 3.8.</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 Payments</w:t>
      </w:r>
      <w:r>
        <w:rPr>
          <w:rFonts w:ascii="Arial" w:cs="Arial" w:eastAsia="Arial" w:hAnsi="Arial"/>
          <w:sz w:val="22"/>
          <w:szCs w:val="22"/>
          <w:color w:val="auto"/>
        </w:rPr>
        <w:t>” has the meaning set forth in Section 1.6(a) of the Sale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Milestone Sales Calculation Notice</w:t>
      </w:r>
      <w:r>
        <w:rPr>
          <w:rFonts w:ascii="Arial" w:cs="Arial" w:eastAsia="Arial" w:hAnsi="Arial"/>
          <w:sz w:val="19"/>
          <w:szCs w:val="19"/>
          <w:color w:val="auto"/>
        </w:rPr>
        <w:t>” has the meaning set forth in Section 1.6(a)(iii)(1) of the Sale Agreement.</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Modification</w:t>
      </w:r>
      <w:r>
        <w:rPr>
          <w:rFonts w:ascii="Arial" w:cs="Arial" w:eastAsia="Arial" w:hAnsi="Arial"/>
          <w:sz w:val="22"/>
          <w:szCs w:val="22"/>
          <w:color w:val="auto"/>
        </w:rPr>
        <w:t>” is defined in Section‎ 7.5.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has the meaning set forth in Exhibit A of the Sale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Non-Warranting Parties</w:t>
      </w:r>
      <w:r>
        <w:rPr>
          <w:rFonts w:ascii="Arial" w:cs="Arial" w:eastAsia="Arial" w:hAnsi="Arial"/>
          <w:sz w:val="22"/>
          <w:szCs w:val="22"/>
          <w:color w:val="auto"/>
        </w:rPr>
        <w:t>” is defined in Section‎ 9.3(a).</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firm, corporation, partnership, limited liability company, trust, joint venture, association, unincorporated organization, Governmental Authority or other entity or organization.</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Trigger</w:t>
      </w:r>
      <w:r>
        <w:rPr>
          <w:rFonts w:ascii="Arial" w:cs="Arial" w:eastAsia="Arial" w:hAnsi="Arial"/>
          <w:sz w:val="22"/>
          <w:szCs w:val="22"/>
          <w:color w:val="auto"/>
        </w:rPr>
        <w:t>” means receipt by Buyer of Deferred Payments in the aggregate attributable to Net Sales that occur within the first calendar quarter of 2023 in an amount greater than $500,000.</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w:t>
      </w:r>
      <w:r>
        <w:rPr>
          <w:rFonts w:ascii="Arial" w:cs="Arial" w:eastAsia="Arial" w:hAnsi="Arial"/>
          <w:sz w:val="22"/>
          <w:szCs w:val="22"/>
          <w:color w:val="auto"/>
        </w:rPr>
        <w:t>” has the meaning set forth in Exhibit A of the Sale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is defined in Section‎ 2.1(b).</w:t>
      </w:r>
    </w:p>
    <w:p>
      <w:pPr>
        <w:spacing w:after="0" w:line="20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Receivables</w:t>
      </w:r>
      <w:r>
        <w:rPr>
          <w:rFonts w:ascii="Arial" w:cs="Arial" w:eastAsia="Arial" w:hAnsi="Arial"/>
          <w:sz w:val="19"/>
          <w:szCs w:val="19"/>
          <w:color w:val="auto"/>
        </w:rPr>
        <w:t>” means (a) each Deferred Payment payable to Seller following January 1, 2023 and each Purchased Milestone Payment; (b) any and all payments or amounts payable to Seller under the Sale Agreement in lieu of such payments of the foregoing clause (a); (c) any and all payments or amounts payable to Seller under Section 1.5(d) or Section 1.6(iii) of the Sale Agreement (solely to the extent related to payments or amounts payable under the foregoing clause (a)); and</w:t>
      </w:r>
    </w:p>
    <w:p>
      <w:pPr>
        <w:spacing w:after="0" w:line="3" w:lineRule="exact"/>
        <w:rPr>
          <w:sz w:val="20"/>
          <w:szCs w:val="20"/>
          <w:color w:val="auto"/>
        </w:rPr>
      </w:pPr>
    </w:p>
    <w:p>
      <w:pPr>
        <w:ind w:firstLine="8"/>
        <w:spacing w:after="0" w:line="236" w:lineRule="auto"/>
        <w:tabs>
          <w:tab w:leader="none" w:pos="307"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interest payments to Seller under the Sale Agreement assessed on any payments described in the foregoing clauses (a), (b) or (c).</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auto"/>
        </w:rPr>
        <w:t>“Purchased Milestone Payments</w:t>
      </w:r>
      <w:r>
        <w:rPr>
          <w:rFonts w:ascii="Arial" w:cs="Arial" w:eastAsia="Arial" w:hAnsi="Arial"/>
          <w:sz w:val="19"/>
          <w:szCs w:val="19"/>
          <w:color w:val="auto"/>
        </w:rPr>
        <w:t>” means (i) 25% of the Milestone Payment payable to Seller under Section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1.6(a)(i) of the Sale Agreement and (ii) 50% of each Milestone Payment payable to Seller under Section 1.6(a)(ii) and Section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1.6(a)(iii) of the Sale 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means 100% of all payments due to Aptevo under the Sale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is defined in Section‎ 6.1(a).</w:t>
      </w:r>
    </w:p>
    <w:p>
      <w:pPr>
        <w:spacing w:after="0" w:line="20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Obligations</w:t>
      </w:r>
      <w:r>
        <w:rPr>
          <w:rFonts w:ascii="Arial" w:cs="Arial" w:eastAsia="Arial" w:hAnsi="Arial"/>
          <w:sz w:val="19"/>
          <w:szCs w:val="19"/>
          <w:color w:val="auto"/>
        </w:rPr>
        <w:t>” means confidentiality obligations of Disclosing Party or any of its Affiliates under any agreement with a third party (including, without limitation, the Sale Agreement) to which any Confidential Information is subject.</w:t>
      </w:r>
    </w:p>
    <w:p>
      <w:pPr>
        <w:spacing w:after="0" w:line="10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Representatives</w:t>
      </w:r>
      <w:r>
        <w:rPr>
          <w:rFonts w:ascii="Arial" w:cs="Arial" w:eastAsia="Arial" w:hAnsi="Arial"/>
          <w:sz w:val="21"/>
          <w:szCs w:val="21"/>
          <w:color w:val="auto"/>
        </w:rPr>
        <w:t>” means, collectively, with respect to any Person, (a) any direct or indirect stockholder, member or partner of such Person and (b) any directors, officers, employees, agents, advisors or other representatives (including attorneys, accountants, consultants, scientists and financial advisors, lenders and investors) of such Person.</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Agreement</w:t>
      </w:r>
      <w:r>
        <w:rPr>
          <w:rFonts w:ascii="Arial" w:cs="Arial" w:eastAsia="Arial" w:hAnsi="Arial"/>
          <w:sz w:val="22"/>
          <w:szCs w:val="22"/>
          <w:color w:val="auto"/>
        </w:rPr>
        <w:t>” is defined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Party</w:t>
      </w:r>
      <w:r>
        <w:rPr>
          <w:rFonts w:ascii="Arial" w:cs="Arial" w:eastAsia="Arial" w:hAnsi="Arial"/>
          <w:sz w:val="22"/>
          <w:szCs w:val="22"/>
          <w:color w:val="auto"/>
        </w:rPr>
        <w:t>” is defined in Section‎ 8.1(b)</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Material Adverse Effect</w:t>
      </w:r>
      <w:r>
        <w:rPr>
          <w:rFonts w:ascii="Arial" w:cs="Arial" w:eastAsia="Arial" w:hAnsi="Arial"/>
          <w:sz w:val="22"/>
          <w:szCs w:val="22"/>
          <w:color w:val="auto"/>
        </w:rPr>
        <w:t>” means any one or more of: (a) a material adverse effect on (i) the ability of Seller to consummate the transactions contemplated by the Transaction Documents and perform its obligations under any of the Transaction Documents or the Sale Agreement, (ii) the legality, validity or enforceability of any of the Transaction Documents or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21"/>
          <w:szCs w:val="21"/>
          <w:color w:val="auto"/>
        </w:rPr>
        <w:t>Sale Agreement, (iii) the rights or remedies of Buyer under any of the Transaction Documents (v), the rights or remedies of Seller under the Sale Agreement, or (v) the legal obligations of Medexus to pay the Deferred Payments or the Milestone Payments under the Sale Agreement; or (b) an adverse effect in any respect on the value of the Purchased Receivables (including the timing, amount or duration thereof), or the timing, amount or duration of the payments to be made to Buyer in respect of any portion of the Purchased Receivables or the right of Buyer to receive such payments.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Participated Audit</w:t>
      </w:r>
      <w:r>
        <w:rPr>
          <w:rFonts w:ascii="Arial" w:cs="Arial" w:eastAsia="Arial" w:hAnsi="Arial"/>
          <w:sz w:val="22"/>
          <w:szCs w:val="22"/>
          <w:color w:val="auto"/>
        </w:rPr>
        <w:t>” is defined in Section‎ 7.4(b)(i).</w:t>
      </w:r>
    </w:p>
    <w:p>
      <w:pPr>
        <w:spacing w:after="0" w:line="206" w:lineRule="exact"/>
        <w:rPr>
          <w:sz w:val="20"/>
          <w:szCs w:val="20"/>
          <w:color w:val="auto"/>
        </w:rPr>
      </w:pPr>
    </w:p>
    <w:p>
      <w:pPr>
        <w:jc w:val="both"/>
        <w:ind w:firstLine="1552"/>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For purposes of the definition of “Solvent,” (i) “debt” means liability on a “claim,” (ii) “claim” means any right to payment, whether or not such a right is reduced to judgment, liquidated, unliquidated, fixed, contingent, matured, unmatured, disputed, undisputed, legal, equitable, secured or unsecured and</w:t>
      </w:r>
    </w:p>
    <w:p>
      <w:pPr>
        <w:spacing w:after="0" w:line="8" w:lineRule="exact"/>
        <w:rPr>
          <w:sz w:val="20"/>
          <w:szCs w:val="20"/>
          <w:color w:val="auto"/>
        </w:rPr>
      </w:pPr>
    </w:p>
    <w:p>
      <w:pPr>
        <w:jc w:val="both"/>
        <w:ind w:firstLine="8"/>
        <w:spacing w:after="0" w:line="234" w:lineRule="auto"/>
        <w:tabs>
          <w:tab w:leader="none" w:pos="4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is defined in Section‎ 8.2(a).</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the Bill of Sale and Assignment, the Medexus Instruction Letter, and the Medexus Consent.</w:t>
      </w:r>
    </w:p>
    <w:p>
      <w:pPr>
        <w:spacing w:after="0" w:line="17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as in effect in the State of New York; provided, that, if, with respect to any financing statement or by reason of any provisions of Applicable Law, the perfection or the effect of perfection or non-perfection of the back-up security interest or any portion thereof granted pursuant to ‎Section 2.5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spacing w:after="0" w:line="15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 the event a capitalized term used herein is defined in both this Agreement and the Sale Agreement, the meaning given to such term in this Agreement shall control.</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Certain Interpretations</w:t>
      </w:r>
      <w:r>
        <w:rPr>
          <w:rFonts w:ascii="Arial" w:cs="Arial" w:eastAsia="Arial" w:hAnsi="Arial"/>
          <w:sz w:val="22"/>
          <w:szCs w:val="22"/>
          <w:color w:val="auto"/>
        </w:rPr>
        <w:t>. Except where expressly stated otherwise in this Agreement, the following rules of interpretation apply to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ind w:left="2160" w:hanging="655"/>
        <w:spacing w:after="0"/>
        <w:tabs>
          <w:tab w:leader="none" w:pos="21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“include,” “includes” and “including” shall be deemed to be followed by the words “without limitation”;</w:t>
      </w:r>
    </w:p>
    <w:p>
      <w:pPr>
        <w:spacing w:after="0" w:line="240" w:lineRule="exact"/>
        <w:rPr>
          <w:rFonts w:ascii="Arial" w:cs="Arial" w:eastAsia="Arial" w:hAnsi="Arial"/>
          <w:sz w:val="19"/>
          <w:szCs w:val="19"/>
          <w:color w:val="auto"/>
        </w:rPr>
      </w:pPr>
    </w:p>
    <w:p>
      <w:pPr>
        <w:ind w:firstLine="1505"/>
        <w:spacing w:after="0" w:line="250" w:lineRule="auto"/>
        <w:tabs>
          <w:tab w:leader="none" w:pos="2170" w:val="left"/>
        </w:tabs>
        <w:numPr>
          <w:ilvl w:val="0"/>
          <w:numId w:val="37"/>
        </w:numPr>
        <w:rPr>
          <w:rFonts w:ascii="Arial" w:cs="Arial" w:eastAsia="Arial" w:hAnsi="Arial"/>
          <w:sz w:val="22"/>
          <w:szCs w:val="22"/>
          <w:color w:val="auto"/>
        </w:rPr>
      </w:pPr>
      <w:r>
        <w:rPr>
          <w:rFonts w:ascii="Arial" w:cs="Arial" w:eastAsia="Arial" w:hAnsi="Arial"/>
          <w:sz w:val="22"/>
          <w:szCs w:val="22"/>
          <w:color w:val="auto"/>
        </w:rPr>
        <w:t>“hereof,” “hereto,” “herein” and “hereunder” and words of similar import when used in this Agreement refer to this Agreement as a whole and not to any particular provision of this Agreement;</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assigns;</w:t>
      </w:r>
    </w:p>
    <w:p>
      <w:pPr>
        <w:spacing w:after="0" w:line="206" w:lineRule="exact"/>
        <w:rPr>
          <w:rFonts w:ascii="Arial" w:cs="Arial" w:eastAsia="Arial" w:hAnsi="Arial"/>
          <w:sz w:val="22"/>
          <w:szCs w:val="22"/>
          <w:color w:val="auto"/>
        </w:rPr>
      </w:pPr>
    </w:p>
    <w:p>
      <w:pPr>
        <w:ind w:firstLine="1505"/>
        <w:spacing w:after="0" w:line="250" w:lineRule="auto"/>
        <w:tabs>
          <w:tab w:leader="none" w:pos="2187"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an “Article,” “Section” “Exhibit” or “Schedule” refer to an Article or Section of, or an Exhibit or Schedule to, this Agreement, unless otherwise specified;</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references to “$” or otherwise to dollar amounts refer to the lawful currency of the United States;</w:t>
      </w:r>
    </w:p>
    <w:p>
      <w:pPr>
        <w:spacing w:after="0" w:line="217" w:lineRule="exact"/>
        <w:rPr>
          <w:rFonts w:ascii="Arial" w:cs="Arial" w:eastAsia="Arial" w:hAnsi="Arial"/>
          <w:sz w:val="21"/>
          <w:szCs w:val="21"/>
          <w:color w:val="auto"/>
        </w:rPr>
      </w:pPr>
    </w:p>
    <w:p>
      <w:pPr>
        <w:jc w:val="both"/>
        <w:ind w:firstLine="1505"/>
        <w:spacing w:after="0"/>
        <w:tabs>
          <w:tab w:leader="none" w:pos="21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an Applicable Law include any amendment or modification to such Applicable Law and any rules and regulations issued thereunder, whether such amendment or modification is made, or issuance of such rules and regulations occurs, before, on or after the date of this Agreement; and</w:t>
      </w:r>
    </w:p>
    <w:p>
      <w:pPr>
        <w:spacing w:after="0" w:line="186" w:lineRule="exact"/>
        <w:rPr>
          <w:rFonts w:ascii="Arial" w:cs="Arial" w:eastAsia="Arial" w:hAnsi="Arial"/>
          <w:sz w:val="22"/>
          <w:szCs w:val="22"/>
          <w:color w:val="auto"/>
        </w:rPr>
      </w:pPr>
    </w:p>
    <w:p>
      <w:pPr>
        <w:jc w:val="both"/>
        <w:ind w:firstLine="1505"/>
        <w:spacing w:after="0"/>
        <w:tabs>
          <w:tab w:leader="none" w:pos="2179"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this “Agreement” shall include a reference to all Schedules and Exhibits attached to this Agreement (including the Disclosure Schedules), all of which constitute a part of this Agreement and are incorporated herein for all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w:t>
      </w:r>
    </w:p>
    <w:p>
      <w:pPr>
        <w:spacing w:after="0" w:line="233" w:lineRule="exact"/>
        <w:rPr>
          <w:sz w:val="20"/>
          <w:szCs w:val="20"/>
          <w:color w:val="auto"/>
        </w:rPr>
      </w:pPr>
    </w:p>
    <w:p>
      <w:pPr>
        <w:ind w:left="760" w:right="2920" w:firstLine="2172"/>
        <w:spacing w:after="0" w:line="435" w:lineRule="auto"/>
        <w:rPr>
          <w:sz w:val="20"/>
          <w:szCs w:val="20"/>
          <w:color w:val="auto"/>
        </w:rPr>
      </w:pPr>
      <w:r>
        <w:rPr>
          <w:rFonts w:ascii="Arial" w:cs="Arial" w:eastAsia="Arial" w:hAnsi="Arial"/>
          <w:sz w:val="22"/>
          <w:szCs w:val="22"/>
          <w:u w:val="single" w:color="auto"/>
          <w:color w:val="auto"/>
        </w:rPr>
        <w:t xml:space="preserve">PURCHASE AND SALE OF PURCHASED RECEIVABLES </w:t>
      </w: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Purchase and Sale of Purchased Receivables</w:t>
      </w:r>
      <w:r>
        <w:rPr>
          <w:rFonts w:ascii="Arial" w:cs="Arial" w:eastAsia="Arial" w:hAnsi="Arial"/>
          <w:sz w:val="22"/>
          <w:szCs w:val="22"/>
          <w:color w:val="auto"/>
        </w:rPr>
        <w:t>.</w:t>
      </w:r>
    </w:p>
    <w:p>
      <w:pPr>
        <w:spacing w:after="0" w:line="1" w:lineRule="exact"/>
        <w:rPr>
          <w:sz w:val="20"/>
          <w:szCs w:val="20"/>
          <w:color w:val="auto"/>
        </w:rPr>
      </w:pPr>
    </w:p>
    <w:p>
      <w:pPr>
        <w:jc w:val="both"/>
        <w:ind w:firstLine="1505"/>
        <w:spacing w:after="0" w:line="297" w:lineRule="auto"/>
        <w:tabs>
          <w:tab w:leader="none" w:pos="2187"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Purchase and Sale. </w:t>
      </w:r>
      <w:r>
        <w:rPr>
          <w:rFonts w:ascii="Arial" w:cs="Arial" w:eastAsia="Arial" w:hAnsi="Arial"/>
          <w:sz w:val="19"/>
          <w:szCs w:val="19"/>
          <w:color w:val="auto"/>
        </w:rPr>
        <w:t>Upon the terms and subject to the conditions of this Agreement, at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Seller shall sell, transfer, assign and convey to Buyer, and Buyer shall purchase, acquire and accept from Seller, free and clear of all liens and encumbrances, all of Seller’s right, title and interest in and to the Purchased Receivables.</w:t>
      </w:r>
    </w:p>
    <w:p>
      <w:pPr>
        <w:spacing w:after="0" w:line="133" w:lineRule="exact"/>
        <w:rPr>
          <w:rFonts w:ascii="Arial" w:cs="Arial" w:eastAsia="Arial" w:hAnsi="Arial"/>
          <w:sz w:val="19"/>
          <w:szCs w:val="19"/>
          <w:color w:val="auto"/>
        </w:rPr>
      </w:pPr>
    </w:p>
    <w:p>
      <w:pPr>
        <w:jc w:val="both"/>
        <w:ind w:firstLine="1505"/>
        <w:spacing w:after="0" w:line="238" w:lineRule="auto"/>
        <w:tabs>
          <w:tab w:leader="none" w:pos="2163"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Purchase Price</w:t>
      </w:r>
      <w:r>
        <w:rPr>
          <w:rFonts w:ascii="Arial" w:cs="Arial" w:eastAsia="Arial" w:hAnsi="Arial"/>
          <w:sz w:val="22"/>
          <w:szCs w:val="22"/>
          <w:color w:val="auto"/>
        </w:rPr>
        <w:t>. In full consideration for the sale, transfer, assignment and conveyance of the Purchased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Receivables, and subject to the terms and conditions set forth herein, Buyer shall make a one-time payment to Seller on the Closing Date of either (i) [***] or (ii) $9,600,000 [***] (the </w:t>
      </w:r>
      <w:r>
        <w:rPr>
          <w:rFonts w:ascii="Arial" w:cs="Arial" w:eastAsia="Arial" w:hAnsi="Arial"/>
          <w:sz w:val="22"/>
          <w:szCs w:val="22"/>
          <w:u w:val="single" w:color="auto"/>
          <w:color w:val="auto"/>
        </w:rPr>
        <w:t>“Purchase Price</w:t>
      </w:r>
      <w:r>
        <w:rPr>
          <w:rFonts w:ascii="Arial" w:cs="Arial" w:eastAsia="Arial" w:hAnsi="Arial"/>
          <w:sz w:val="22"/>
          <w:szCs w:val="22"/>
          <w:color w:val="auto"/>
        </w:rPr>
        <w:t>”), by wire transfer of immediately available funds as directed by Seller.</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Post-Closing Trigger Payment</w:t>
      </w:r>
      <w:r>
        <w:rPr>
          <w:rFonts w:ascii="Arial" w:cs="Arial" w:eastAsia="Arial" w:hAnsi="Arial"/>
          <w:sz w:val="21"/>
          <w:szCs w:val="21"/>
          <w:color w:val="auto"/>
        </w:rPr>
        <w:t>. Following the Closing, upon the occurrence of the Post-Closing Trigger, Buyer shall make a one-time payment to Seller of $50,000 by wire transfer of immediately available funds as directed by Seller within 10 Business Days after Buyer’s receipt of the Deferred Payments attributable to Net Sales that occur within the first calendar quarter of 2023. Seller hereby agrees and acknowledges that: (i) such payment is a contingent payment obligation of Buyer and there can be no assurance regarding the occurrence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spacing w:after="0" w:line="250" w:lineRule="auto"/>
        <w:rPr>
          <w:sz w:val="20"/>
          <w:szCs w:val="20"/>
          <w:color w:val="auto"/>
        </w:rPr>
      </w:pPr>
      <w:r>
        <w:rPr>
          <w:rFonts w:ascii="Arial" w:cs="Arial" w:eastAsia="Arial" w:hAnsi="Arial"/>
          <w:sz w:val="22"/>
          <w:szCs w:val="22"/>
          <w:color w:val="auto"/>
        </w:rPr>
        <w:t>Post-Closing Trigger; and (ii) Buyer shall have no obligation or liability with respect to such payment unless and until the Post-Closing Trigger has occurred.</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Excluded Assets</w:t>
      </w:r>
      <w:r>
        <w:rPr>
          <w:rFonts w:ascii="Arial" w:cs="Arial" w:eastAsia="Arial" w:hAnsi="Arial"/>
          <w:sz w:val="22"/>
          <w:szCs w:val="22"/>
          <w:color w:val="auto"/>
        </w:rPr>
        <w:t>. Buyer does not, by purchase, acquisition or acceptance of the rights, title or interest granted hereunder or otherwise pursuant to any of the Transaction Documents, purchase, acquire or accept any assets or contract rights of Seller other than the Purchased Receivables (the “</w:t>
      </w:r>
      <w:r>
        <w:rPr>
          <w:rFonts w:ascii="Arial" w:cs="Arial" w:eastAsia="Arial" w:hAnsi="Arial"/>
          <w:sz w:val="22"/>
          <w:szCs w:val="22"/>
          <w:u w:val="single" w:color="auto"/>
          <w:color w:val="auto"/>
        </w:rPr>
        <w:t>Excluded Assets</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No Obligations Transferred</w:t>
      </w:r>
      <w:r>
        <w:rPr>
          <w:rFonts w:ascii="Arial" w:cs="Arial" w:eastAsia="Arial" w:hAnsi="Arial"/>
          <w:sz w:val="22"/>
          <w:szCs w:val="22"/>
          <w:color w:val="auto"/>
        </w:rPr>
        <w:t>. Notwithstanding anything to the contrary contained in this Agreement, (a) the sale, transfer, assignment and conveyance to Buyer of the Purchased Receivables pursuant to this Agreement shall not in any way subject Buyer to, or transfer, affect or modify, any obligation or liability of Seller or Seller’s Affiliates of whatever nature, whether presently in existence or arising or asserted hereafter, whether known or unknown (the “</w:t>
      </w:r>
      <w:r>
        <w:rPr>
          <w:rFonts w:ascii="Arial" w:cs="Arial" w:eastAsia="Arial" w:hAnsi="Arial"/>
          <w:sz w:val="22"/>
          <w:szCs w:val="22"/>
          <w:u w:val="single" w:color="auto"/>
          <w:color w:val="auto"/>
        </w:rPr>
        <w:t>Excluded Liabilities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Obligations</w:t>
      </w:r>
      <w:r>
        <w:rPr>
          <w:rFonts w:ascii="Arial" w:cs="Arial" w:eastAsia="Arial" w:hAnsi="Arial"/>
          <w:sz w:val="22"/>
          <w:szCs w:val="22"/>
          <w:color w:val="auto"/>
        </w:rPr>
        <w:t>”) and (b) Buyer expressly does not assume or agree to become responsible for any of the Excluded Liabilities and Obligations. All Excluded Liabilities and Obligations shall be retained by and remain liabilities and obligations of Seller or Seller’s Affiliates, as the case may be.</w:t>
      </w:r>
    </w:p>
    <w:p>
      <w:pPr>
        <w:spacing w:after="0" w:line="19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True Sale</w:t>
      </w:r>
      <w:r>
        <w:rPr>
          <w:rFonts w:ascii="Arial" w:cs="Arial" w:eastAsia="Arial" w:hAnsi="Arial"/>
          <w:sz w:val="19"/>
          <w:szCs w:val="19"/>
          <w:color w:val="auto"/>
        </w:rPr>
        <w:t>. It is the intention of the parties hereto that the sale, transfer, assignment and conveyance contemplated by this Agreement be, and is, a true, complete absolute and irrevocable sale, transfer, assignment and conveyance by Seller to Buyer of all of Seller’s right, title and interest in and to the Purchased Receivables. Neither Seller nor Buyer intends the transactions contemplated by this Agreement to be, or for any purpose characterized as, a loan from Buyer to Seller or a pledge, a security interest, a financing transaction or a borrowing. Seller hereby waives, to the maximum extent permitted by Applicable Law, any right to contest or otherwise assert that this Agreement does not constitute a true, complete, absolute and irrevocable sale, transfer, assignment and conveyance by Seller to Buyer of all of Seller’s right, title and interest in and to the Purchased Receivables under Applicable Law, which waiver shall, to the maximum extent permitted by Applicable Law, be enforceable against Seller in any bankruptcy or insolvency proceeding relating to Seller. Accordingly, Seller will treat the sale, transfer, assignment and conveyance of the Purchased Receivables as sales of “accounts” or “payment intangibles” (as appropriate) in accordance with the UCC and Seller hereby authorizes Buyer, from and after the Closing, to file financing statements (and continuation statements with respect to such financing statements when applicable) (the “</w:t>
      </w:r>
      <w:r>
        <w:rPr>
          <w:rFonts w:ascii="Arial" w:cs="Arial" w:eastAsia="Arial" w:hAnsi="Arial"/>
          <w:sz w:val="19"/>
          <w:szCs w:val="19"/>
          <w:u w:val="single" w:color="auto"/>
          <w:color w:val="auto"/>
        </w:rPr>
        <w:t>Financing Statements</w:t>
      </w:r>
      <w:r>
        <w:rPr>
          <w:rFonts w:ascii="Arial" w:cs="Arial" w:eastAsia="Arial" w:hAnsi="Arial"/>
          <w:sz w:val="19"/>
          <w:szCs w:val="19"/>
          <w:color w:val="auto"/>
        </w:rPr>
        <w:t>”) naming Seller as the seller and/or debtor and Buyer as the buyer and/or secured party in respect of the Purchased Receivables. Not in derogation of the foregoing statement of the intent of the parties hereto in this regard, and for the purposes of providing additional assurance to Buyer, if notwithstanding the intent of the parties hereto, the sale, transfer, assignment and conveyance contemplated hereby is hereafter held not to be a sale, this Agreement shall constitute a security agreement and Seller does hereby grant to Buyer, as security for all of Seller’s obligations hereunder, including the payment to Buyer of amounts equal to the Purchased Receivables as they become due and payable, a first priority security interest in and to all right, title and interest of Seller in, to and under the Purchased Receivables and any “proceeds” (as such term is defined in the UCC) thereof, and Seller does hereby authorize Buyer to file such financing statements (and continuation statements with respect to such financing statements when applicable) in such manner and such jurisdiction as may be necessary or appropriate to perfect such security interests.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jc w:val="both"/>
        <w:ind w:firstLine="749"/>
        <w:spacing w:after="0" w:line="236"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Payments</w:t>
      </w:r>
      <w:r>
        <w:rPr>
          <w:rFonts w:ascii="Arial" w:cs="Arial" w:eastAsia="Arial" w:hAnsi="Arial"/>
          <w:sz w:val="22"/>
          <w:szCs w:val="22"/>
          <w:color w:val="auto"/>
        </w:rPr>
        <w:t>. Any payments to be made by a party hereto shall be made by wire transfer of immediately available funds to the other party in accordance with written instructions provided from time to time by such other party. A late fee of 4% over the prime rate published by the Wall Street Journal, from time to time, as the prime rate shall accrue on all unpaid undisputed amounts on an annualized basis with respect to any late payment under this Agreement beginning 10 Business Days after such payment is due.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CLOSING; DELIVERABLES</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Purchased Receivables (the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on the date hereof at such place and time as the parties hereto may mutually agree, or on another date as the parties hereto may mutually agree. The date on which the Closing occurs is referred to in this Agreement as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Payment of Purchase Price</w:t>
      </w:r>
      <w:r>
        <w:rPr>
          <w:rFonts w:ascii="Arial" w:cs="Arial" w:eastAsia="Arial" w:hAnsi="Arial"/>
          <w:sz w:val="22"/>
          <w:szCs w:val="22"/>
          <w:color w:val="auto"/>
        </w:rPr>
        <w:t>. At the Closing, Buyer shall deliver to Seller payment of the Purchase Price by wire transfer of immediately available funds as directed by Seller.</w:t>
      </w:r>
    </w:p>
    <w:p>
      <w:pPr>
        <w:spacing w:after="0" w:line="175"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Closing Certificates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36" w:lineRule="auto"/>
        <w:tabs>
          <w:tab w:leader="none" w:pos="2164"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Seller’s Closing Certificate</w:t>
      </w:r>
      <w:r>
        <w:rPr>
          <w:rFonts w:ascii="Arial" w:cs="Arial" w:eastAsia="Arial" w:hAnsi="Arial"/>
          <w:sz w:val="22"/>
          <w:szCs w:val="22"/>
          <w:color w:val="auto"/>
        </w:rPr>
        <w:t>. At the Closing, Seller shall deliver to Buyer a certificate of the Secretary or</w:t>
      </w:r>
      <w:r>
        <w:rPr>
          <w:rFonts w:ascii="Arial" w:cs="Arial" w:eastAsia="Arial" w:hAnsi="Arial"/>
          <w:sz w:val="22"/>
          <w:szCs w:val="22"/>
          <w:i w:val="1"/>
          <w:iCs w:val="1"/>
          <w:color w:val="auto"/>
        </w:rPr>
        <w:t xml:space="preserve"> </w:t>
      </w:r>
      <w:r>
        <w:rPr>
          <w:rFonts w:ascii="Arial" w:cs="Arial" w:eastAsia="Arial" w:hAnsi="Arial"/>
          <w:sz w:val="22"/>
          <w:szCs w:val="22"/>
          <w:color w:val="auto"/>
        </w:rPr>
        <w:t>another officer of Seller, dated the Closing Date, certifying as to (i) the incumbency of the officers of Seller executing the Transaction Documents and (ii) the attached copies of Seller’s organizational documents and resolutions adopted by Seller’s Board of Directors authorizing the execution and delivery by Seller of the Transaction Documents and the consummation by Seller of the transactions contemplated thereby.</w:t>
      </w:r>
    </w:p>
    <w:p>
      <w:pPr>
        <w:spacing w:after="0" w:line="187" w:lineRule="exact"/>
        <w:rPr>
          <w:rFonts w:ascii="Arial" w:cs="Arial" w:eastAsia="Arial" w:hAnsi="Arial"/>
          <w:sz w:val="22"/>
          <w:szCs w:val="22"/>
          <w:color w:val="auto"/>
        </w:rPr>
      </w:pPr>
    </w:p>
    <w:p>
      <w:pPr>
        <w:jc w:val="both"/>
        <w:ind w:firstLine="1505"/>
        <w:spacing w:after="0"/>
        <w:tabs>
          <w:tab w:leader="none" w:pos="2163"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Buyer’s Closing Certificate</w:t>
      </w:r>
      <w:r>
        <w:rPr>
          <w:rFonts w:ascii="Arial" w:cs="Arial" w:eastAsia="Arial" w:hAnsi="Arial"/>
          <w:sz w:val="22"/>
          <w:szCs w:val="22"/>
          <w:color w:val="auto"/>
        </w:rPr>
        <w:t>. At the Closing, Buyer shall deliver to Seller a certificate of the Secretary or</w:t>
      </w:r>
      <w:r>
        <w:rPr>
          <w:rFonts w:ascii="Arial" w:cs="Arial" w:eastAsia="Arial" w:hAnsi="Arial"/>
          <w:sz w:val="22"/>
          <w:szCs w:val="22"/>
          <w:i w:val="1"/>
          <w:iCs w:val="1"/>
          <w:color w:val="auto"/>
        </w:rPr>
        <w:t xml:space="preserve"> </w:t>
      </w:r>
      <w:r>
        <w:rPr>
          <w:rFonts w:ascii="Arial" w:cs="Arial" w:eastAsia="Arial" w:hAnsi="Arial"/>
          <w:sz w:val="22"/>
          <w:szCs w:val="22"/>
          <w:color w:val="auto"/>
        </w:rPr>
        <w:t>another officer of Buyer, dated the Closing Date, certifying as to the incumbency of the officer of Buyer executing the Transaction Documents.</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Bill of Sale and Assignment</w:t>
      </w:r>
      <w:r>
        <w:rPr>
          <w:rFonts w:ascii="Arial" w:cs="Arial" w:eastAsia="Arial" w:hAnsi="Arial"/>
          <w:sz w:val="22"/>
          <w:szCs w:val="22"/>
          <w:color w:val="auto"/>
        </w:rPr>
        <w:t>. At the Closing, Seller and Buyer shall each deliver to the other party hereto a duly executed counterpart to the Bill of Sale and Assignment, evidencing the sale and assignment to Buyer of the Purchased Receivables.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Tax Forms</w:t>
      </w:r>
      <w:r>
        <w:rPr>
          <w:rFonts w:ascii="Arial" w:cs="Arial" w:eastAsia="Arial" w:hAnsi="Arial"/>
          <w:sz w:val="22"/>
          <w:szCs w:val="22"/>
          <w:color w:val="auto"/>
        </w:rPr>
        <w:t>. Prior to the Closing, each party hereto shall have delivered to the other party hereto an Applicable Withholding Certificate.</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Medexus Consent</w:t>
      </w:r>
      <w:r>
        <w:rPr>
          <w:rFonts w:ascii="Arial" w:cs="Arial" w:eastAsia="Arial" w:hAnsi="Arial"/>
          <w:sz w:val="22"/>
          <w:szCs w:val="22"/>
          <w:color w:val="auto"/>
        </w:rPr>
        <w:t>. At the Closing, Seller shall deliver to Buyer a consent letter, in form and substance satisfactory to Buyer (the “</w:t>
      </w:r>
      <w:r>
        <w:rPr>
          <w:rFonts w:ascii="Arial" w:cs="Arial" w:eastAsia="Arial" w:hAnsi="Arial"/>
          <w:sz w:val="22"/>
          <w:szCs w:val="22"/>
          <w:u w:val="single" w:color="auto"/>
          <w:color w:val="auto"/>
        </w:rPr>
        <w:t>Medexus Consent</w:t>
      </w:r>
      <w:r>
        <w:rPr>
          <w:rFonts w:ascii="Arial" w:cs="Arial" w:eastAsia="Arial" w:hAnsi="Arial"/>
          <w:sz w:val="22"/>
          <w:szCs w:val="22"/>
          <w:color w:val="auto"/>
        </w:rPr>
        <w:t>”), duly executed by Medexus, pursuant to which Medexus (a) consents to the sale of the Purchased Receivables pursuant to this Agreement, and (b) agrees (i) that Seller may provide to Buyer following the Closing copies of all Medexus Reports and all other notices, correspondence and confidential information relating to the Purchased Receivables that are delivered by Medexus to Seller pursuant to the terms of, or in respect of, the Sale Agreement, and (ii) to pay the Receivables directly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2"/>
          <w:szCs w:val="22"/>
          <w:color w:val="auto"/>
        </w:rPr>
        <w:t>Escrow Account in accordance with the Medexus Instruction Letter to be delivered to Medexus on the date of the Escrow Agreement.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Legal Opinion</w:t>
      </w:r>
      <w:r>
        <w:rPr>
          <w:rFonts w:ascii="Arial" w:cs="Arial" w:eastAsia="Arial" w:hAnsi="Arial"/>
          <w:sz w:val="22"/>
          <w:szCs w:val="22"/>
          <w:color w:val="auto"/>
        </w:rPr>
        <w:t xml:space="preserve">. At the Closing, Morgan, Lewis &amp; Bockius, LLP, as counsel to Seller, shall deliver to Buyer a duly executed legal opinion in substantially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w:t>
      </w:r>
    </w:p>
    <w:p>
      <w:pPr>
        <w:spacing w:after="0" w:line="17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MidCap Release</w:t>
      </w:r>
      <w:r>
        <w:rPr>
          <w:rFonts w:ascii="Arial" w:cs="Arial" w:eastAsia="Arial" w:hAnsi="Arial"/>
          <w:sz w:val="19"/>
          <w:szCs w:val="19"/>
          <w:color w:val="auto"/>
        </w:rPr>
        <w:t>. At the Closing, Seller shall deliver to Buyer a release by MidCap of the security interest granted to MidCap in the Sale Agreement and the Purchased Receivables pursuant to the MidCap Credit Agreement and the MidCap Collateral Assignment, which release shall be in a form reasonably acceptable to Buyer (the “</w:t>
      </w:r>
      <w:r>
        <w:rPr>
          <w:rFonts w:ascii="Arial" w:cs="Arial" w:eastAsia="Arial" w:hAnsi="Arial"/>
          <w:sz w:val="19"/>
          <w:szCs w:val="19"/>
          <w:u w:val="single" w:color="auto"/>
          <w:color w:val="auto"/>
        </w:rPr>
        <w:t>MidCap Release</w:t>
      </w:r>
      <w:r>
        <w:rPr>
          <w:rFonts w:ascii="Arial" w:cs="Arial" w:eastAsia="Arial" w:hAnsi="Arial"/>
          <w:sz w:val="19"/>
          <w:szCs w:val="19"/>
          <w:color w:val="auto"/>
        </w:rPr>
        <w:t>”).</w:t>
      </w:r>
    </w:p>
    <w:p>
      <w:pPr>
        <w:spacing w:after="0" w:line="13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Lien Searches</w:t>
      </w:r>
      <w:r>
        <w:rPr>
          <w:rFonts w:ascii="Arial" w:cs="Arial" w:eastAsia="Arial" w:hAnsi="Arial"/>
          <w:sz w:val="21"/>
          <w:szCs w:val="21"/>
          <w:color w:val="auto"/>
        </w:rPr>
        <w:t>. Prior to the Closing, Buyer shall have received (a) the results of a recent search in the state of Delaware of all effective financing statements made against Seller, together with copies of all such filings disclosed by such search and (b) termination statements and amendment statements, as applicable, in each case in form and substance reasonably acceptable to Buyer to be filed with the Secretary of State of the State of Delaware as may be necessary to terminate or amend, as applicable, any effective financing statements that involve or relate to the Purchased Receivables that are disclosed by the search referred to in the immediately preceding clause (a) or as otherwise in existence (including, without limitation, any effective financing statements in favor of Midcap that involve or relate to the Purchased Receivables or the Sale Agreement), which termination statements and amendment statements, as applicable, shall be filed concurrently with the consummation of the Closing.</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Data Room</w:t>
      </w:r>
      <w:r>
        <w:rPr>
          <w:rFonts w:ascii="Arial" w:cs="Arial" w:eastAsia="Arial" w:hAnsi="Arial"/>
          <w:sz w:val="22"/>
          <w:szCs w:val="22"/>
          <w:color w:val="auto"/>
        </w:rPr>
        <w:t>. At the Closing, Seller shall deliver to Buyer an electronic copy of all of the information and documents posted to the virtual data room established by Seller as of the date hereof and made available to Buyer (the “</w:t>
      </w:r>
      <w:r>
        <w:rPr>
          <w:rFonts w:ascii="Arial" w:cs="Arial" w:eastAsia="Arial" w:hAnsi="Arial"/>
          <w:sz w:val="22"/>
          <w:szCs w:val="22"/>
          <w:u w:val="single" w:color="auto"/>
          <w:color w:val="auto"/>
        </w:rPr>
        <w:t>Data</w:t>
      </w:r>
      <w:r>
        <w:rPr>
          <w:rFonts w:ascii="Arial" w:cs="Arial" w:eastAsia="Arial" w:hAnsi="Arial"/>
          <w:sz w:val="22"/>
          <w:szCs w:val="22"/>
          <w:color w:val="auto"/>
        </w:rPr>
        <w:t xml:space="preserve"> </w:t>
      </w:r>
      <w:r>
        <w:rPr>
          <w:rFonts w:ascii="Arial" w:cs="Arial" w:eastAsia="Arial" w:hAnsi="Arial"/>
          <w:sz w:val="22"/>
          <w:szCs w:val="22"/>
          <w:u w:val="single" w:color="auto"/>
          <w:color w:val="auto"/>
        </w:rPr>
        <w:t>Room</w:t>
      </w:r>
      <w:r>
        <w:rPr>
          <w:rFonts w:ascii="Arial" w:cs="Arial" w:eastAsia="Arial" w:hAnsi="Arial"/>
          <w:sz w:val="22"/>
          <w:szCs w:val="22"/>
          <w:color w:val="auto"/>
        </w:rPr>
        <w:t>”) for archival purposes only.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SELLER’S REPRESENTATIONS AND WARRANTIES</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Except as set forth in the Disclosure Schedules, Seller hereby represents and warrants to Buyer as of the date hereof as set forth below. The Disclosure Schedules have been arranged and numbered in sections and subsections corresponding to each</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 xml:space="preserve">Section or subsection of this ARTICLE‎ IV as to which Seller is limiting or otherwise qualifying its representations and warranties (without any need for reference of any kind in ‎ARTICLE IV hereof to such Section or subsection of the Disclosure Schedules);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information disclosed in the Disclosure Schedules under any such Section or subsection shall be deemed to be disclosed and incorporated in only the specifically identified Section or subsection of the Disclosure Schedules.</w:t>
      </w:r>
    </w:p>
    <w:p>
      <w:pPr>
        <w:spacing w:after="0" w:line="15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Organization</w:t>
      </w:r>
      <w:r>
        <w:rPr>
          <w:rFonts w:ascii="Arial" w:cs="Arial" w:eastAsia="Arial" w:hAnsi="Arial"/>
          <w:sz w:val="19"/>
          <w:szCs w:val="19"/>
          <w:color w:val="auto"/>
        </w:rPr>
        <w:t>. Seller is a corporation duly organized, validly existing and in good standing under the laws of the State of Delaware.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spacing w:after="0" w:line="250" w:lineRule="auto"/>
        <w:rPr>
          <w:sz w:val="20"/>
          <w:szCs w:val="20"/>
          <w:color w:val="auto"/>
        </w:rPr>
      </w:pPr>
      <w:r>
        <w:rPr>
          <w:rFonts w:ascii="Arial" w:cs="Arial" w:eastAsia="Arial" w:hAnsi="Arial"/>
          <w:sz w:val="22"/>
          <w:szCs w:val="22"/>
          <w:color w:val="auto"/>
        </w:rPr>
        <w:t>qualified and in corporate good standing has not and would not reasonably be expected to have, either individually or in the aggregate, a Seller Material Adverse Effect.</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Authorization</w:t>
      </w:r>
      <w:r>
        <w:rPr>
          <w:rFonts w:ascii="Arial" w:cs="Arial" w:eastAsia="Arial" w:hAnsi="Arial"/>
          <w:sz w:val="22"/>
          <w:szCs w:val="22"/>
          <w:color w:val="auto"/>
        </w:rPr>
        <w:t>. Seller has the requisite corporate power and authority to execute, deliver and perform its obligations under the Transaction Documents and to consummate the transactions contemplated thereby. The execution, delivery and performance of the Transaction Documents, and the consummation of the transactions contemplated thereby, have been duly authorized by Seller.</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Enforceability</w:t>
      </w:r>
      <w:r>
        <w:rPr>
          <w:rFonts w:ascii="Arial" w:cs="Arial" w:eastAsia="Arial" w:hAnsi="Arial"/>
          <w:sz w:val="22"/>
          <w:szCs w:val="22"/>
          <w:color w:val="auto"/>
        </w:rPr>
        <w:t>. Each of the Transaction Documents has been duly executed and delivered by Seller, and constitutes a valid and binding obligation of Seller, enforceable against Seller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w:t>
      </w:r>
    </w:p>
    <w:p>
      <w:pPr>
        <w:spacing w:after="0" w:line="18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Absence of Conflicts</w:t>
      </w:r>
      <w:r>
        <w:rPr>
          <w:rFonts w:ascii="Arial" w:cs="Arial" w:eastAsia="Arial" w:hAnsi="Arial"/>
          <w:sz w:val="22"/>
          <w:szCs w:val="22"/>
          <w:color w:val="auto"/>
        </w:rPr>
        <w:t>. The execution, delivery and performance by Seller of the Transaction Documents and the consummation of the transactions contemplated thereby do not and shall not (a) conflict with, or constitute a breach of or default under, any provision of (i) the articles of organization or bylaws of Seller or (ii) the Sale Agreement, the MidCap Credit Agreement, the MidCap Collateral Assignment. or the MidCap Release, or (b) conflict with, or constitute a material breach of or material default under, any provision of (i) any Applicable Law or Judgment applicable to Seller or (ii) any Contract (other than the Sale Agreement, the MidCap Credit Agreement, or the MidCap Release) to which Seller is a party or by which Seller is bound.</w:t>
      </w:r>
    </w:p>
    <w:p>
      <w:pPr>
        <w:spacing w:after="0" w:line="19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Consents</w:t>
      </w:r>
      <w:r>
        <w:rPr>
          <w:rFonts w:ascii="Arial" w:cs="Arial" w:eastAsia="Arial" w:hAnsi="Arial"/>
          <w:sz w:val="19"/>
          <w:szCs w:val="19"/>
          <w:color w:val="auto"/>
        </w:rPr>
        <w:t>. No Consent of any Governmental Authority or any other Person is required, or will be required, by or with respect to Seller in connection with the execution and delivery by Seller of the Transaction Documents, the performance by Seller of its obligations under the Transaction Documents or the consummation by Seller of the transactions contemplated by the Transaction Documents, except for such Consents as shall have been obtained on or prior to the date hereof.</w:t>
      </w:r>
    </w:p>
    <w:p>
      <w:pPr>
        <w:spacing w:after="0" w:line="14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Litigation</w:t>
      </w:r>
      <w:r>
        <w:rPr>
          <w:rFonts w:ascii="Arial" w:cs="Arial" w:eastAsia="Arial" w:hAnsi="Arial"/>
          <w:sz w:val="22"/>
          <w:szCs w:val="22"/>
          <w:color w:val="auto"/>
        </w:rPr>
        <w:t>. No (a) action, suit, proceeding, claim, demand, citation, summons, subpoena, investigation, or other proceeding (whether civil, criminal, administrative, regulatory, investigative or informal) is pending, or, to the Knowledge of Seller, threatened, by or against Seller, at law or in equity, or (b) inquiry, or investigation (whether civil, criminal, administrative, regulatory, investigative or informal) by or before any Governmental Authority is pending, or, to the Knowledge of Seller, threatened, against Seller that, individually or in the aggregate, would reasonably be expected to result in a Seller Material Adverse Effect.</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Seller has (a) not violated, is not in violation of, has not been given written notice that it has violated, and, to the Knowledge of Seller, Seller is not under investigation with respect to its violation of, and has not been threatened to be charged with any violation of, any Applicable Law or any Judgment of any Governmental Authority, and (b) is not subject to any Judgment of any Governmental Authority; in each case that would reasonably be expected to result in a Seller Material Adverse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jc w:val="both"/>
        <w:ind w:firstLine="749"/>
        <w:spacing w:after="0" w:line="297"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Brokers’ Fees</w:t>
      </w:r>
      <w:r>
        <w:rPr>
          <w:rFonts w:ascii="Arial" w:cs="Arial" w:eastAsia="Arial" w:hAnsi="Arial"/>
          <w:sz w:val="19"/>
          <w:szCs w:val="19"/>
          <w:color w:val="auto"/>
        </w:rPr>
        <w:t>. There is no investment banker, broker, finder, financial advisor or other intermediary who has been retained by or is authorized to act on behalf of Seller who is entitled to any fee or commission in connection with the transactions contemplated by this Agreement, other than Piper Sandler, whose fees and expenses shall be paid by Seller.</w:t>
      </w:r>
    </w:p>
    <w:p>
      <w:pPr>
        <w:spacing w:after="0" w:line="134"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u w:val="single" w:color="auto"/>
          <w:color w:val="auto"/>
        </w:rPr>
        <w:t>Sale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87" w:lineRule="auto"/>
        <w:tabs>
          <w:tab w:leader="none" w:pos="2164" w:val="left"/>
        </w:tabs>
        <w:numPr>
          <w:ilvl w:val="1"/>
          <w:numId w:val="40"/>
        </w:numPr>
        <w:rPr>
          <w:rFonts w:ascii="Arial" w:cs="Arial" w:eastAsia="Arial" w:hAnsi="Arial"/>
          <w:sz w:val="19"/>
          <w:szCs w:val="19"/>
          <w:color w:val="auto"/>
        </w:rPr>
      </w:pPr>
      <w:r>
        <w:rPr>
          <w:rFonts w:ascii="Arial" w:cs="Arial" w:eastAsia="Arial" w:hAnsi="Arial"/>
          <w:sz w:val="19"/>
          <w:szCs w:val="19"/>
          <w:i w:val="1"/>
          <w:iCs w:val="1"/>
          <w:color w:val="auto"/>
        </w:rPr>
        <w:t>Sale Agreement; Medexus Reports; Material Notices</w:t>
      </w:r>
      <w:r>
        <w:rPr>
          <w:rFonts w:ascii="Arial" w:cs="Arial" w:eastAsia="Arial" w:hAnsi="Arial"/>
          <w:sz w:val="19"/>
          <w:szCs w:val="19"/>
          <w:color w:val="auto"/>
        </w:rPr>
        <w:t>. 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E</w:t>
      </w:r>
      <w:r>
        <w:rPr>
          <w:rFonts w:ascii="Arial" w:cs="Arial" w:eastAsia="Arial" w:hAnsi="Arial"/>
          <w:sz w:val="19"/>
          <w:szCs w:val="19"/>
          <w:i w:val="1"/>
          <w:iCs w:val="1"/>
          <w:color w:val="auto"/>
        </w:rPr>
        <w:t xml:space="preserve"> </w:t>
      </w:r>
      <w:r>
        <w:rPr>
          <w:rFonts w:ascii="Arial" w:cs="Arial" w:eastAsia="Arial" w:hAnsi="Arial"/>
          <w:sz w:val="19"/>
          <w:szCs w:val="19"/>
          <w:color w:val="auto"/>
        </w:rPr>
        <w:t>is a true, correct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 copy of the Sale Agreement. Seller has made available to Buyer true, correct and complete copies of: (i) all Medexus Reports that have been received by Seller prior to the date hereof; and (ii) all material written notices delivered to Medexus by Seller, or by Medexus to Seller, relating to, or involving, the Purchased Receivables pursuant to the Sale Agreement.</w:t>
      </w:r>
    </w:p>
    <w:p>
      <w:pPr>
        <w:spacing w:after="0" w:line="142" w:lineRule="exact"/>
        <w:rPr>
          <w:rFonts w:ascii="Arial" w:cs="Arial" w:eastAsia="Arial" w:hAnsi="Arial"/>
          <w:sz w:val="19"/>
          <w:szCs w:val="19"/>
          <w:color w:val="auto"/>
        </w:rPr>
      </w:pPr>
    </w:p>
    <w:p>
      <w:pPr>
        <w:jc w:val="both"/>
        <w:ind w:firstLine="1505"/>
        <w:spacing w:after="0" w:line="246" w:lineRule="auto"/>
        <w:tabs>
          <w:tab w:leader="none" w:pos="2168" w:val="left"/>
        </w:tabs>
        <w:numPr>
          <w:ilvl w:val="1"/>
          <w:numId w:val="40"/>
        </w:numPr>
        <w:rPr>
          <w:rFonts w:ascii="Arial" w:cs="Arial" w:eastAsia="Arial" w:hAnsi="Arial"/>
          <w:sz w:val="21"/>
          <w:szCs w:val="21"/>
          <w:color w:val="auto"/>
        </w:rPr>
      </w:pPr>
      <w:r>
        <w:rPr>
          <w:rFonts w:ascii="Arial" w:cs="Arial" w:eastAsia="Arial" w:hAnsi="Arial"/>
          <w:sz w:val="21"/>
          <w:szCs w:val="21"/>
          <w:i w:val="1"/>
          <w:iCs w:val="1"/>
          <w:color w:val="auto"/>
        </w:rPr>
        <w:t xml:space="preserve">Validity and Enforceability of Sale Agreement. </w:t>
      </w:r>
      <w:r>
        <w:rPr>
          <w:rFonts w:ascii="Arial" w:cs="Arial" w:eastAsia="Arial" w:hAnsi="Arial"/>
          <w:sz w:val="21"/>
          <w:szCs w:val="21"/>
          <w:color w:val="auto"/>
        </w:rPr>
        <w:t>The Sale Agreement is a valid and binding obligation of</w:t>
      </w:r>
      <w:r>
        <w:rPr>
          <w:rFonts w:ascii="Arial" w:cs="Arial" w:eastAsia="Arial" w:hAnsi="Arial"/>
          <w:sz w:val="21"/>
          <w:szCs w:val="21"/>
          <w:i w:val="1"/>
          <w:iCs w:val="1"/>
          <w:color w:val="auto"/>
        </w:rPr>
        <w:t xml:space="preserve"> </w:t>
      </w:r>
      <w:r>
        <w:rPr>
          <w:rFonts w:ascii="Arial" w:cs="Arial" w:eastAsia="Arial" w:hAnsi="Arial"/>
          <w:sz w:val="21"/>
          <w:szCs w:val="21"/>
          <w:color w:val="auto"/>
        </w:rPr>
        <w:t>Seller and of Medexus, enforceable against each of Seller and Medexus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 The Sale Agreement will continue to be valid, binding and enforceable on identical terms following the consummation of the transactions contemplated by the Transaction Documents. Seller has not received any written notice from Medexus challenging the validity, enforceability, or interpretation of any provision of the Sale Agreement or any obligation of Medexus to pay the Deferred Payments or Milestone Payments thereunder.</w:t>
      </w:r>
    </w:p>
    <w:p>
      <w:pPr>
        <w:spacing w:after="0" w:line="179" w:lineRule="exact"/>
        <w:rPr>
          <w:rFonts w:ascii="Arial" w:cs="Arial" w:eastAsia="Arial" w:hAnsi="Arial"/>
          <w:sz w:val="21"/>
          <w:szCs w:val="21"/>
          <w:color w:val="auto"/>
        </w:rPr>
      </w:pPr>
    </w:p>
    <w:p>
      <w:pPr>
        <w:jc w:val="both"/>
        <w:ind w:firstLine="1505"/>
        <w:spacing w:after="0" w:line="269" w:lineRule="auto"/>
        <w:tabs>
          <w:tab w:leader="none" w:pos="2198" w:val="left"/>
        </w:tabs>
        <w:numPr>
          <w:ilvl w:val="1"/>
          <w:numId w:val="40"/>
        </w:numPr>
        <w:rPr>
          <w:rFonts w:ascii="Arial" w:cs="Arial" w:eastAsia="Arial" w:hAnsi="Arial"/>
          <w:sz w:val="19"/>
          <w:szCs w:val="19"/>
          <w:color w:val="auto"/>
        </w:rPr>
      </w:pPr>
      <w:r>
        <w:rPr>
          <w:rFonts w:ascii="Arial" w:cs="Arial" w:eastAsia="Arial" w:hAnsi="Arial"/>
          <w:sz w:val="19"/>
          <w:szCs w:val="19"/>
          <w:i w:val="1"/>
          <w:iCs w:val="1"/>
          <w:color w:val="auto"/>
        </w:rPr>
        <w:t>Other Agreements</w:t>
      </w:r>
      <w:r>
        <w:rPr>
          <w:rFonts w:ascii="Arial" w:cs="Arial" w:eastAsia="Arial" w:hAnsi="Arial"/>
          <w:sz w:val="19"/>
          <w:szCs w:val="19"/>
          <w:color w:val="auto"/>
        </w:rPr>
        <w:t>. The Sale Agreement is the only agreement, instrument, arrangement, waiver or</w:t>
      </w:r>
      <w:r>
        <w:rPr>
          <w:rFonts w:ascii="Arial" w:cs="Arial" w:eastAsia="Arial" w:hAnsi="Arial"/>
          <w:sz w:val="19"/>
          <w:szCs w:val="19"/>
          <w:i w:val="1"/>
          <w:iCs w:val="1"/>
          <w:color w:val="auto"/>
        </w:rPr>
        <w:t xml:space="preserve"> </w:t>
      </w:r>
      <w:r>
        <w:rPr>
          <w:rFonts w:ascii="Arial" w:cs="Arial" w:eastAsia="Arial" w:hAnsi="Arial"/>
          <w:sz w:val="19"/>
          <w:szCs w:val="19"/>
          <w:color w:val="auto"/>
        </w:rPr>
        <w:t>understanding between Seller (or any Affiliate thereof) and Medexus (or any Affiliate thereof) relating to the subject matter thereof, and there are no other agreements, instruments, arrangements, waivers or understandings between Seller (or any Affiliate thereof) and Medexus (or any Affiliate thereof) that relate to the Sale Agreement, the Purchased Receivables, the Deferred Payments or the Milestone Payments, or that would reasonably be expected to result in a Seller Material Adverse Effect. Other than the MidCap Credit Agreement and the MidCap Collateral Assignment, there is no contract, agreement or other arrangement (whether written or oral) to which Seller is a party or by which any of their respective assets or properties is bound or committed</w:t>
      </w:r>
    </w:p>
    <w:p>
      <w:pPr>
        <w:spacing w:after="0" w:line="4" w:lineRule="exact"/>
        <w:rPr>
          <w:rFonts w:ascii="Arial" w:cs="Arial" w:eastAsia="Arial" w:hAnsi="Arial"/>
          <w:sz w:val="19"/>
          <w:szCs w:val="19"/>
          <w:color w:val="auto"/>
        </w:rPr>
      </w:pPr>
    </w:p>
    <w:p>
      <w:pPr>
        <w:jc w:val="both"/>
        <w:ind w:firstLine="8"/>
        <w:spacing w:after="0" w:line="234" w:lineRule="auto"/>
        <w:tabs>
          <w:tab w:leader="none" w:pos="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that creates a lien on the Purchased Receivables; (ii) that materially affects the Purchased Receivables or (iii) for which breach thereof, nonperformance thereof, cancellation thereof or failure to renew would reasonably be expected to have a Seller Material Adverse Effect.</w:t>
      </w:r>
    </w:p>
    <w:p>
      <w:pPr>
        <w:spacing w:after="0" w:line="187" w:lineRule="exact"/>
        <w:rPr>
          <w:rFonts w:ascii="Arial" w:cs="Arial" w:eastAsia="Arial" w:hAnsi="Arial"/>
          <w:sz w:val="22"/>
          <w:szCs w:val="22"/>
          <w:color w:val="auto"/>
        </w:rPr>
      </w:pPr>
    </w:p>
    <w:p>
      <w:pPr>
        <w:jc w:val="both"/>
        <w:ind w:firstLine="1505"/>
        <w:spacing w:after="0" w:line="249" w:lineRule="auto"/>
        <w:tabs>
          <w:tab w:leader="none" w:pos="2207" w:val="left"/>
        </w:tabs>
        <w:numPr>
          <w:ilvl w:val="1"/>
          <w:numId w:val="41"/>
        </w:numPr>
        <w:rPr>
          <w:rFonts w:ascii="Arial" w:cs="Arial" w:eastAsia="Arial" w:hAnsi="Arial"/>
          <w:sz w:val="21"/>
          <w:szCs w:val="21"/>
          <w:color w:val="auto"/>
        </w:rPr>
      </w:pPr>
      <w:r>
        <w:rPr>
          <w:rFonts w:ascii="Arial" w:cs="Arial" w:eastAsia="Arial" w:hAnsi="Arial"/>
          <w:sz w:val="21"/>
          <w:szCs w:val="21"/>
          <w:i w:val="1"/>
          <w:iCs w:val="1"/>
          <w:color w:val="auto"/>
        </w:rPr>
        <w:t>No Termination, Force Majeure, etc</w:t>
      </w:r>
      <w:r>
        <w:rPr>
          <w:rFonts w:ascii="Arial" w:cs="Arial" w:eastAsia="Arial" w:hAnsi="Arial"/>
          <w:sz w:val="21"/>
          <w:szCs w:val="21"/>
          <w:color w:val="auto"/>
        </w:rPr>
        <w:t>. Seller has not (i) given Medexus any notice of termination</w:t>
      </w:r>
      <w:r>
        <w:rPr>
          <w:rFonts w:ascii="Arial" w:cs="Arial" w:eastAsia="Arial" w:hAnsi="Arial"/>
          <w:sz w:val="21"/>
          <w:szCs w:val="21"/>
          <w:i w:val="1"/>
          <w:iCs w:val="1"/>
          <w:color w:val="auto"/>
        </w:rPr>
        <w:t xml:space="preserve"> </w:t>
      </w:r>
      <w:r>
        <w:rPr>
          <w:rFonts w:ascii="Arial" w:cs="Arial" w:eastAsia="Arial" w:hAnsi="Arial"/>
          <w:sz w:val="21"/>
          <w:szCs w:val="21"/>
          <w:color w:val="auto"/>
        </w:rPr>
        <w:t>pursuant to Section 8.1 of the Sale Agreement or (ii) received from Medexus any written notice of termination pursuant to Section 8.1 of the Sale Agreement. No event has occurred, and there is no event that upon notice or the passage of time, or both, would reasonably be expected to give Seller or Medexus the right to terminate, or delay any of its obligations under, the Sale Agreement, or cease or delay paying the Deferred Payments or Milestone Payments.</w:t>
      </w:r>
    </w:p>
    <w:p>
      <w:pPr>
        <w:spacing w:after="0" w:line="178" w:lineRule="exact"/>
        <w:rPr>
          <w:rFonts w:ascii="Arial" w:cs="Arial" w:eastAsia="Arial" w:hAnsi="Arial"/>
          <w:sz w:val="21"/>
          <w:szCs w:val="21"/>
          <w:color w:val="auto"/>
        </w:rPr>
      </w:pPr>
    </w:p>
    <w:p>
      <w:pPr>
        <w:ind w:firstLine="1505"/>
        <w:spacing w:after="0" w:line="250" w:lineRule="auto"/>
        <w:tabs>
          <w:tab w:leader="none" w:pos="2165" w:val="left"/>
        </w:tabs>
        <w:numPr>
          <w:ilvl w:val="1"/>
          <w:numId w:val="41"/>
        </w:numPr>
        <w:rPr>
          <w:rFonts w:ascii="Arial" w:cs="Arial" w:eastAsia="Arial" w:hAnsi="Arial"/>
          <w:sz w:val="22"/>
          <w:szCs w:val="22"/>
          <w:color w:val="auto"/>
        </w:rPr>
      </w:pPr>
      <w:r>
        <w:rPr>
          <w:rFonts w:ascii="Arial" w:cs="Arial" w:eastAsia="Arial" w:hAnsi="Arial"/>
          <w:sz w:val="22"/>
          <w:szCs w:val="22"/>
          <w:i w:val="1"/>
          <w:iCs w:val="1"/>
          <w:color w:val="auto"/>
        </w:rPr>
        <w:t>No Breaches</w:t>
      </w:r>
      <w:r>
        <w:rPr>
          <w:rFonts w:ascii="Arial" w:cs="Arial" w:eastAsia="Arial" w:hAnsi="Arial"/>
          <w:sz w:val="22"/>
          <w:szCs w:val="22"/>
          <w:color w:val="auto"/>
        </w:rPr>
        <w:t>. There is and has been no material breach of the Sale Agreement by Seller, and there is no</w:t>
      </w:r>
      <w:r>
        <w:rPr>
          <w:rFonts w:ascii="Arial" w:cs="Arial" w:eastAsia="Arial" w:hAnsi="Arial"/>
          <w:sz w:val="22"/>
          <w:szCs w:val="22"/>
          <w:i w:val="1"/>
          <w:iCs w:val="1"/>
          <w:color w:val="auto"/>
        </w:rPr>
        <w:t xml:space="preserve"> </w:t>
      </w:r>
      <w:r>
        <w:rPr>
          <w:rFonts w:ascii="Arial" w:cs="Arial" w:eastAsia="Arial" w:hAnsi="Arial"/>
          <w:sz w:val="22"/>
          <w:szCs w:val="22"/>
          <w:color w:val="auto"/>
        </w:rPr>
        <w:t>event that upon notice or the passage of time, or both, would reasonably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jc w:val="both"/>
        <w:spacing w:after="0" w:line="238" w:lineRule="auto"/>
        <w:rPr>
          <w:sz w:val="20"/>
          <w:szCs w:val="20"/>
          <w:color w:val="auto"/>
        </w:rPr>
      </w:pPr>
      <w:r>
        <w:rPr>
          <w:rFonts w:ascii="Arial" w:cs="Arial" w:eastAsia="Arial" w:hAnsi="Arial"/>
          <w:sz w:val="22"/>
          <w:szCs w:val="22"/>
          <w:color w:val="auto"/>
        </w:rPr>
        <w:t>be expected to give rise to any material breach by Seller of the Sale Agreement. There is and has been no material breach of the Sale Agreement by Medexus, and there is no event that upon notice or the passage of time, or both, would reasonably be expected to give rise to any such material breach by Medexus. Seller has not received any notice that Seller or Medexus is in default of, or of an intention by Medexus to breach, the Sale Agreement.</w:t>
      </w:r>
    </w:p>
    <w:p>
      <w:pPr>
        <w:spacing w:after="0" w:line="185" w:lineRule="exact"/>
        <w:rPr>
          <w:sz w:val="20"/>
          <w:szCs w:val="20"/>
          <w:color w:val="auto"/>
        </w:rPr>
      </w:pPr>
    </w:p>
    <w:p>
      <w:pPr>
        <w:ind w:firstLine="1505"/>
        <w:spacing w:after="0" w:line="250" w:lineRule="auto"/>
        <w:tabs>
          <w:tab w:leader="none" w:pos="2167"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No Payments</w:t>
      </w:r>
      <w:r>
        <w:rPr>
          <w:rFonts w:ascii="Arial" w:cs="Arial" w:eastAsia="Arial" w:hAnsi="Arial"/>
          <w:sz w:val="22"/>
          <w:szCs w:val="22"/>
          <w:color w:val="auto"/>
        </w:rPr>
        <w:t>. As of the date of this Agreement, except as set forth on Schedule 4.9(f), Medexus has not</w:t>
      </w:r>
      <w:r>
        <w:rPr>
          <w:rFonts w:ascii="Arial" w:cs="Arial" w:eastAsia="Arial" w:hAnsi="Arial"/>
          <w:sz w:val="22"/>
          <w:szCs w:val="22"/>
          <w:i w:val="1"/>
          <w:iCs w:val="1"/>
          <w:color w:val="auto"/>
        </w:rPr>
        <w:t xml:space="preserve"> </w:t>
      </w:r>
      <w:r>
        <w:rPr>
          <w:rFonts w:ascii="Arial" w:cs="Arial" w:eastAsia="Arial" w:hAnsi="Arial"/>
          <w:sz w:val="22"/>
          <w:szCs w:val="22"/>
          <w:color w:val="auto"/>
        </w:rPr>
        <w:t>made, and Seller has not received, any Deferred Payments or Milestone Payments.</w:t>
      </w:r>
    </w:p>
    <w:p>
      <w:pPr>
        <w:spacing w:after="0" w:line="174" w:lineRule="exact"/>
        <w:rPr>
          <w:rFonts w:ascii="Arial" w:cs="Arial" w:eastAsia="Arial" w:hAnsi="Arial"/>
          <w:sz w:val="22"/>
          <w:szCs w:val="22"/>
          <w:color w:val="auto"/>
        </w:rPr>
      </w:pPr>
    </w:p>
    <w:p>
      <w:pPr>
        <w:jc w:val="both"/>
        <w:ind w:firstLine="1505"/>
        <w:spacing w:after="0" w:line="287" w:lineRule="auto"/>
        <w:tabs>
          <w:tab w:leader="none" w:pos="2211"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No Waivers, Releases or Amendments</w:t>
      </w:r>
      <w:r>
        <w:rPr>
          <w:rFonts w:ascii="Arial" w:cs="Arial" w:eastAsia="Arial" w:hAnsi="Arial"/>
          <w:sz w:val="19"/>
          <w:szCs w:val="19"/>
          <w:color w:val="auto"/>
        </w:rPr>
        <w:t>. Seller has not granted any material waiver under the Sale</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or released Medexus, in whole or in part, from any of its material obligations under the Sale Agreement. There are no oral waivers or modifications (or pending requests therefor) in respect of the Sale Agreement. Seller has not received from Medexus any proposal, and has not made any proposal to Medexus, to amend or waive any provision of the Sale Agreement.</w:t>
      </w:r>
    </w:p>
    <w:p>
      <w:pPr>
        <w:spacing w:after="0" w:line="142" w:lineRule="exact"/>
        <w:rPr>
          <w:rFonts w:ascii="Arial" w:cs="Arial" w:eastAsia="Arial" w:hAnsi="Arial"/>
          <w:sz w:val="19"/>
          <w:szCs w:val="19"/>
          <w:color w:val="auto"/>
        </w:rPr>
      </w:pPr>
    </w:p>
    <w:p>
      <w:pPr>
        <w:jc w:val="both"/>
        <w:ind w:firstLine="1505"/>
        <w:spacing w:after="0" w:line="238" w:lineRule="auto"/>
        <w:tabs>
          <w:tab w:leader="none" w:pos="2203"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No Sublicenses</w:t>
      </w:r>
      <w:r>
        <w:rPr>
          <w:rFonts w:ascii="Arial" w:cs="Arial" w:eastAsia="Arial" w:hAnsi="Arial"/>
          <w:sz w:val="22"/>
          <w:szCs w:val="22"/>
          <w:color w:val="auto"/>
        </w:rPr>
        <w:t>. To the Knowledge of Seller, there are no licenses or sublicenses entered into by</w:t>
      </w:r>
      <w:r>
        <w:rPr>
          <w:rFonts w:ascii="Arial" w:cs="Arial" w:eastAsia="Arial" w:hAnsi="Arial"/>
          <w:sz w:val="22"/>
          <w:szCs w:val="22"/>
          <w:i w:val="1"/>
          <w:iCs w:val="1"/>
          <w:color w:val="auto"/>
        </w:rPr>
        <w:t xml:space="preserve"> </w:t>
      </w:r>
      <w:r>
        <w:rPr>
          <w:rFonts w:ascii="Arial" w:cs="Arial" w:eastAsia="Arial" w:hAnsi="Arial"/>
          <w:sz w:val="22"/>
          <w:szCs w:val="22"/>
          <w:color w:val="auto"/>
        </w:rPr>
        <w:t>Medexus or any other Person (or any predecessor or Affiliate thereof) in respect of the Product or the Sale Agreement. Seller has not received any notice from Medexus relating to any prospective licenses or sublicenses in respect of the Product or the Sale Agreement.</w:t>
      </w:r>
    </w:p>
    <w:p>
      <w:pPr>
        <w:spacing w:after="0" w:line="184" w:lineRule="exact"/>
        <w:rPr>
          <w:rFonts w:ascii="Arial" w:cs="Arial" w:eastAsia="Arial" w:hAnsi="Arial"/>
          <w:sz w:val="22"/>
          <w:szCs w:val="22"/>
          <w:color w:val="auto"/>
        </w:rPr>
      </w:pPr>
    </w:p>
    <w:p>
      <w:pPr>
        <w:jc w:val="both"/>
        <w:ind w:firstLine="1505"/>
        <w:spacing w:after="0"/>
        <w:tabs>
          <w:tab w:leader="none" w:pos="2195"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Audits</w:t>
      </w:r>
      <w:r>
        <w:rPr>
          <w:rFonts w:ascii="Arial" w:cs="Arial" w:eastAsia="Arial" w:hAnsi="Arial"/>
          <w:sz w:val="22"/>
          <w:szCs w:val="22"/>
          <w:color w:val="auto"/>
        </w:rPr>
        <w:t>. Seller has not requested access to or conducted and audit of, pursuant to Section 1.5(d) or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1.6(iii) of the Sale Agreement, the books of account or records of Medexus or disputed the amount of any Deferred Payment or Milestone Payment.</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2194" w:val="left"/>
        </w:tabs>
        <w:numPr>
          <w:ilvl w:val="0"/>
          <w:numId w:val="42"/>
        </w:numPr>
        <w:rPr>
          <w:rFonts w:ascii="Arial" w:cs="Arial" w:eastAsia="Arial" w:hAnsi="Arial"/>
          <w:sz w:val="21"/>
          <w:szCs w:val="21"/>
          <w:color w:val="auto"/>
        </w:rPr>
      </w:pPr>
      <w:r>
        <w:rPr>
          <w:rFonts w:ascii="Arial" w:cs="Arial" w:eastAsia="Arial" w:hAnsi="Arial"/>
          <w:sz w:val="21"/>
          <w:szCs w:val="21"/>
          <w:i w:val="1"/>
          <w:iCs w:val="1"/>
          <w:color w:val="auto"/>
        </w:rPr>
        <w:t>Set-Offs</w:t>
      </w:r>
      <w:r>
        <w:rPr>
          <w:rFonts w:ascii="Arial" w:cs="Arial" w:eastAsia="Arial" w:hAnsi="Arial"/>
          <w:sz w:val="21"/>
          <w:szCs w:val="21"/>
          <w:color w:val="auto"/>
        </w:rPr>
        <w:t>. Medexus is not owed any amount by Seller, under the Sale Agreement or otherwise, that</w:t>
      </w:r>
      <w:r>
        <w:rPr>
          <w:rFonts w:ascii="Arial" w:cs="Arial" w:eastAsia="Arial" w:hAnsi="Arial"/>
          <w:sz w:val="21"/>
          <w:szCs w:val="21"/>
          <w:i w:val="1"/>
          <w:iCs w:val="1"/>
          <w:color w:val="auto"/>
        </w:rPr>
        <w:t xml:space="preserve"> </w:t>
      </w:r>
      <w:r>
        <w:rPr>
          <w:rFonts w:ascii="Arial" w:cs="Arial" w:eastAsia="Arial" w:hAnsi="Arial"/>
          <w:sz w:val="21"/>
          <w:szCs w:val="21"/>
          <w:color w:val="auto"/>
        </w:rPr>
        <w:t>Medexus would have the right to set-off against the Deferred Payments, Milestone Payments, or any other amounts payable to Seller under the Sale Agreement. Medexus has not in the past exercised any set-off against the Deferred Payments, Milestone Payments, or any other amounts payable to Seller under the Sale Agreement.</w:t>
      </w:r>
    </w:p>
    <w:p>
      <w:pPr>
        <w:spacing w:after="0" w:line="173" w:lineRule="exact"/>
        <w:rPr>
          <w:rFonts w:ascii="Arial" w:cs="Arial" w:eastAsia="Arial" w:hAnsi="Arial"/>
          <w:sz w:val="21"/>
          <w:szCs w:val="21"/>
          <w:color w:val="auto"/>
        </w:rPr>
      </w:pPr>
    </w:p>
    <w:p>
      <w:pPr>
        <w:ind w:firstLine="1505"/>
        <w:spacing w:after="0" w:line="250" w:lineRule="auto"/>
        <w:tabs>
          <w:tab w:leader="none" w:pos="2161"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Sale Agreement Representations</w:t>
      </w:r>
      <w:r>
        <w:rPr>
          <w:rFonts w:ascii="Arial" w:cs="Arial" w:eastAsia="Arial" w:hAnsi="Arial"/>
          <w:sz w:val="22"/>
          <w:szCs w:val="22"/>
          <w:color w:val="auto"/>
        </w:rPr>
        <w:t>. To the Knowledge of Seller, all representations and warranties of Seller</w:t>
      </w:r>
      <w:r>
        <w:rPr>
          <w:rFonts w:ascii="Arial" w:cs="Arial" w:eastAsia="Arial" w:hAnsi="Arial"/>
          <w:sz w:val="22"/>
          <w:szCs w:val="22"/>
          <w:i w:val="1"/>
          <w:iCs w:val="1"/>
          <w:color w:val="auto"/>
        </w:rPr>
        <w:t xml:space="preserve"> </w:t>
      </w:r>
      <w:r>
        <w:rPr>
          <w:rFonts w:ascii="Arial" w:cs="Arial" w:eastAsia="Arial" w:hAnsi="Arial"/>
          <w:sz w:val="22"/>
          <w:szCs w:val="22"/>
          <w:color w:val="auto"/>
        </w:rPr>
        <w:t>in the Sale Agreement were true and correct in all material respects when made.</w:t>
      </w:r>
    </w:p>
    <w:p>
      <w:pPr>
        <w:spacing w:after="0" w:line="174" w:lineRule="exact"/>
        <w:rPr>
          <w:rFonts w:ascii="Arial" w:cs="Arial" w:eastAsia="Arial" w:hAnsi="Arial"/>
          <w:sz w:val="22"/>
          <w:szCs w:val="22"/>
          <w:color w:val="auto"/>
        </w:rPr>
      </w:pPr>
    </w:p>
    <w:p>
      <w:pPr>
        <w:ind w:firstLine="1505"/>
        <w:spacing w:after="0" w:line="250" w:lineRule="auto"/>
        <w:tabs>
          <w:tab w:leader="none" w:pos="2206"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No Indemnity Claims</w:t>
      </w:r>
      <w:r>
        <w:rPr>
          <w:rFonts w:ascii="Arial" w:cs="Arial" w:eastAsia="Arial" w:hAnsi="Arial"/>
          <w:sz w:val="22"/>
          <w:szCs w:val="22"/>
          <w:color w:val="auto"/>
        </w:rPr>
        <w:t>. As of the date of this Agreement, neither Seller nor Medexus has made or</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any notice of an indemnity claim under the Sale Agreement.</w:t>
      </w:r>
    </w:p>
    <w:p>
      <w:pPr>
        <w:spacing w:after="0" w:line="174" w:lineRule="exact"/>
        <w:rPr>
          <w:rFonts w:ascii="Arial" w:cs="Arial" w:eastAsia="Arial" w:hAnsi="Arial"/>
          <w:sz w:val="22"/>
          <w:szCs w:val="22"/>
          <w:color w:val="auto"/>
        </w:rPr>
      </w:pPr>
    </w:p>
    <w:p>
      <w:pPr>
        <w:jc w:val="both"/>
        <w:ind w:firstLine="1505"/>
        <w:spacing w:after="0" w:line="236" w:lineRule="auto"/>
        <w:tabs>
          <w:tab w:leader="none" w:pos="2186"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No Assignments</w:t>
      </w:r>
      <w:r>
        <w:rPr>
          <w:rFonts w:ascii="Arial" w:cs="Arial" w:eastAsia="Arial" w:hAnsi="Arial"/>
          <w:sz w:val="22"/>
          <w:szCs w:val="22"/>
          <w:color w:val="auto"/>
        </w:rPr>
        <w:t>. Seller has not consented to, and Seller has not been notified of, any assignment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 transfer by Medexus of the Sale Agreement or any of Medexus’ rights or obligations under the Sale Agreement. Medexus has not assigned or otherwise transferred the Sale Agreement or any of its rights or obligations under the Sale Agreement to any Person. Seller has not assigned or otherwise transferred, in whole or in part, the Sale Agreement or any of Seller’s right, title or interest in and to the Purchased Receivables.</w:t>
      </w:r>
    </w:p>
    <w:p>
      <w:pPr>
        <w:spacing w:after="0" w:line="187" w:lineRule="exact"/>
        <w:rPr>
          <w:rFonts w:ascii="Arial" w:cs="Arial" w:eastAsia="Arial" w:hAnsi="Arial"/>
          <w:sz w:val="22"/>
          <w:szCs w:val="22"/>
          <w:color w:val="auto"/>
        </w:rPr>
      </w:pPr>
    </w:p>
    <w:p>
      <w:pPr>
        <w:ind w:firstLine="1505"/>
        <w:spacing w:after="0" w:line="250" w:lineRule="auto"/>
        <w:tabs>
          <w:tab w:leader="none" w:pos="2161"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Freedom-to-operate</w:t>
      </w:r>
      <w:r>
        <w:rPr>
          <w:rFonts w:ascii="Arial" w:cs="Arial" w:eastAsia="Arial" w:hAnsi="Arial"/>
          <w:sz w:val="22"/>
          <w:szCs w:val="22"/>
          <w:color w:val="auto"/>
        </w:rPr>
        <w:t>. No legal opinion concerning or with respect to any third party intellectual property</w:t>
      </w:r>
      <w:r>
        <w:rPr>
          <w:rFonts w:ascii="Arial" w:cs="Arial" w:eastAsia="Arial" w:hAnsi="Arial"/>
          <w:sz w:val="22"/>
          <w:szCs w:val="22"/>
          <w:i w:val="1"/>
          <w:iCs w:val="1"/>
          <w:color w:val="auto"/>
        </w:rPr>
        <w:t xml:space="preserve"> </w:t>
      </w:r>
      <w:r>
        <w:rPr>
          <w:rFonts w:ascii="Arial" w:cs="Arial" w:eastAsia="Arial" w:hAnsi="Arial"/>
          <w:sz w:val="22"/>
          <w:szCs w:val="22"/>
          <w:color w:val="auto"/>
        </w:rPr>
        <w:t>rights relating to the Product, including any freedom-to-operate, product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22"/>
          <w:szCs w:val="22"/>
          <w:color w:val="auto"/>
        </w:rPr>
        <w:t>clearance, patentability or right-to-use opinion, has been delivered to Seller or, to the Knowledge of Seller, to Medexus. To the Knowledge of Seller, there is no patent owned or exclusively controlled by a third party which Medexus does not have the right to use and that would be infringed by Medexus’s sale of the Product.</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Title to Purchased Receivables</w:t>
      </w:r>
      <w:r>
        <w:rPr>
          <w:rFonts w:ascii="Arial" w:cs="Arial" w:eastAsia="Arial" w:hAnsi="Arial"/>
          <w:sz w:val="19"/>
          <w:szCs w:val="19"/>
          <w:color w:val="auto"/>
        </w:rPr>
        <w:t>. Seller has good and valid title to the Purchased Receivables, free and clear of all liens and encumbrances other than liens in favor of MidCap pursuant to the MidCap Credit Agreement and MidCap Collateral Assignment. Upon payment of the Purchase Price by Buyer and delivery of the MidCap Release, Buyer will have acquired, subject to the terms and conditions set forth in this Agreement, good and valid title to the Purchased Receivables, free and clear of all liens and encumbrances. Upon the filing by Buyer of the Financing Statements with the Secretary of State of the State of Delaware and to the extent the Purchased Receivables constitute an asset of Seller that has not been sold as contemplated</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by the foregoing provisions of this Section‎ 4.10, the security interest in the Purchased Receivables granted by Seller to Buyer pursuant to ‎Section 2.5 shall be perfected and prior to all other liens thereon to the extent that such security interest in the Purchased Receivables can be perfected under the UCC by the filing of the Financing Statements in such filing office.</w:t>
      </w:r>
    </w:p>
    <w:p>
      <w:pPr>
        <w:spacing w:after="0" w:line="14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UCC Matters</w:t>
      </w:r>
      <w:r>
        <w:rPr>
          <w:rFonts w:ascii="Arial" w:cs="Arial" w:eastAsia="Arial" w:hAnsi="Arial"/>
          <w:sz w:val="22"/>
          <w:szCs w:val="22"/>
          <w:color w:val="auto"/>
        </w:rPr>
        <w:t>. Seller’s exact legal name is, and since its organization has been, “Aptevo Therapeutics Inc.” Seller’s jurisdiction of organization is, and since its organization has been, the State of Delaware. Seller’s principal place of business is, and since its organization has been, located in Seattle, Washington.</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4.12 </w:t>
      </w:r>
      <w:r>
        <w:rPr>
          <w:rFonts w:ascii="Arial" w:cs="Arial" w:eastAsia="Arial" w:hAnsi="Arial"/>
          <w:sz w:val="21"/>
          <w:szCs w:val="21"/>
          <w:u w:val="single" w:color="auto"/>
          <w:color w:val="auto"/>
        </w:rPr>
        <w:t>Taxes</w:t>
      </w:r>
      <w:r>
        <w:rPr>
          <w:rFonts w:ascii="Arial" w:cs="Arial" w:eastAsia="Arial" w:hAnsi="Arial"/>
          <w:sz w:val="21"/>
          <w:szCs w:val="21"/>
          <w:color w:val="auto"/>
        </w:rPr>
        <w:t>. No deduction or withholding for or on account of any tax has been or, to the Knowledge of Seller, was required to be made from any payment by Medexus to Seller under the Sale Agreement. Seller has not received written notice from Medexus of any intention to withhold or deduct any tax from future payments under the Sale Agreement.Seller has filed (or caused to be filed) all material tax returns and material tax reports required to be filed under Applicable Law and has paid all material taxes required to be paid by Seller (including, in each case, in its capacity as a withholding agent), except for any such taxes that are being contested in good faith by appropriate proceedings and for which adequate reserves have been provided in accordance with the generally accepted accounting principles applicable to Seller, as in effect from time to time. There are no existing liens for taxes on the Purchased Receivables (or any portion thereof) other than statutory liens for taxes not yet due.</w:t>
      </w:r>
    </w:p>
    <w:p>
      <w:pPr>
        <w:spacing w:after="0" w:line="18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Solvency</w:t>
      </w:r>
      <w:r>
        <w:rPr>
          <w:rFonts w:ascii="Arial" w:cs="Arial" w:eastAsia="Arial" w:hAnsi="Arial"/>
          <w:sz w:val="22"/>
          <w:szCs w:val="22"/>
          <w:color w:val="auto"/>
        </w:rPr>
        <w:t>. Seller is, individually and together with its subsidiaries on a consolidated basis, Solvent, and will be Solvent after giving effect to the transactions contemplated by this Agreement.</w:t>
      </w:r>
    </w:p>
    <w:p>
      <w:pPr>
        <w:spacing w:after="0" w:line="17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Disclosure</w:t>
      </w:r>
      <w:r>
        <w:rPr>
          <w:rFonts w:ascii="Arial" w:cs="Arial" w:eastAsia="Arial" w:hAnsi="Arial"/>
          <w:sz w:val="22"/>
          <w:szCs w:val="22"/>
          <w:color w:val="auto"/>
        </w:rPr>
        <w:t>. None of the representations or warranties of Seller contained in this Agreement or any Transaction Document and none of the information contained in any schedule, certificate, or other document delivered by or on behalf of Seller pursuant hereto or thereto or in connection with the transactions contemplated hereby or thereby contains any untrue statement of a material fact or omits to state a material fact necessary to make the statements herein or therein not misleading.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u w:val="single" w:color="auto"/>
          <w:color w:val="auto"/>
        </w:rPr>
        <w:t>ARTICLE V</w:t>
      </w:r>
    </w:p>
    <w:p>
      <w:pPr>
        <w:spacing w:after="0" w:line="233" w:lineRule="exact"/>
        <w:rPr>
          <w:sz w:val="20"/>
          <w:szCs w:val="20"/>
          <w:color w:val="auto"/>
        </w:rPr>
      </w:pPr>
    </w:p>
    <w:p>
      <w:pPr>
        <w:ind w:left="760" w:right="3320" w:firstLine="2275"/>
        <w:spacing w:after="0" w:line="504" w:lineRule="auto"/>
        <w:rPr>
          <w:sz w:val="20"/>
          <w:szCs w:val="20"/>
          <w:color w:val="auto"/>
        </w:rPr>
      </w:pPr>
      <w:r>
        <w:rPr>
          <w:rFonts w:ascii="Arial" w:cs="Arial" w:eastAsia="Arial" w:hAnsi="Arial"/>
          <w:sz w:val="19"/>
          <w:szCs w:val="19"/>
          <w:u w:val="single" w:color="auto"/>
          <w:color w:val="auto"/>
        </w:rPr>
        <w:t xml:space="preserve">BUYER’S REPRESENTATIONS AND WARRANTIES </w:t>
      </w:r>
      <w:r>
        <w:rPr>
          <w:rFonts w:ascii="Arial" w:cs="Arial" w:eastAsia="Arial" w:hAnsi="Arial"/>
          <w:sz w:val="19"/>
          <w:szCs w:val="19"/>
          <w:color w:val="auto"/>
        </w:rPr>
        <w:t>Buyer hereby represents and warrants to Seller that as of the date hereof:</w:t>
      </w:r>
    </w:p>
    <w:p>
      <w:pPr>
        <w:jc w:val="both"/>
        <w:ind w:firstLine="749"/>
        <w:spacing w:after="0" w:line="25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w:t>
      </w:r>
      <w:r>
        <w:rPr>
          <w:rFonts w:ascii="Arial" w:cs="Arial" w:eastAsia="Arial" w:hAnsi="Arial"/>
          <w:sz w:val="22"/>
          <w:szCs w:val="22"/>
          <w:color w:val="auto"/>
        </w:rPr>
        <w:t>. Buyer is a limited liability company, duly organized, validly existing and in good standing under the laws of Delaware.</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Authorization</w:t>
      </w:r>
      <w:r>
        <w:rPr>
          <w:rFonts w:ascii="Arial" w:cs="Arial" w:eastAsia="Arial" w:hAnsi="Arial"/>
          <w:sz w:val="22"/>
          <w:szCs w:val="22"/>
          <w:color w:val="auto"/>
        </w:rPr>
        <w:t>. Buyer has the requisite organizational power and authority to execute, deliver and perform the Transaction Documents and to consummate the transactions contemplated thereby. The execution, delivery and performance of the Transaction Documents, and the consummation of the transactions contemplated thereby, have been duly authorized by Buyer.</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Enforceability</w:t>
      </w:r>
      <w:r>
        <w:rPr>
          <w:rFonts w:ascii="Arial" w:cs="Arial" w:eastAsia="Arial" w:hAnsi="Arial"/>
          <w:sz w:val="22"/>
          <w:szCs w:val="22"/>
          <w:color w:val="auto"/>
        </w:rPr>
        <w:t>. Each of the Transaction Documents has been duly executed and delivered by Buyer, and constitutes a valid and binding obligation of Buyer, enforceable against Buyer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w:t>
      </w:r>
    </w:p>
    <w:p>
      <w:pPr>
        <w:spacing w:after="0" w:line="18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Absence of Conflicts</w:t>
      </w:r>
      <w:r>
        <w:rPr>
          <w:rFonts w:ascii="Arial" w:cs="Arial" w:eastAsia="Arial" w:hAnsi="Arial"/>
          <w:sz w:val="21"/>
          <w:szCs w:val="21"/>
          <w:color w:val="auto"/>
        </w:rPr>
        <w:t>. The execution, delivery and performance by Buyer of the Transaction Documents and the consummation of the transactions contemplated thereby do not and shall not (a) conflict with or constitute a breach or default under any provision of the organizational documents of Buyer, (b) conflict with or constitute a material breach of or material default under any provision of (i) any Applicable Law or Judgment applicable to Buyer or (ii) any Contract to which Buyer is a party or by which Buyer is bound, except for such breaches or defaults that, individually or in the aggregate, would not reasonably be expected to result in a Buyer Material Adverse Effect.</w:t>
      </w:r>
    </w:p>
    <w:p>
      <w:pPr>
        <w:spacing w:after="0" w:line="17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Consents</w:t>
      </w:r>
      <w:r>
        <w:rPr>
          <w:rFonts w:ascii="Arial" w:cs="Arial" w:eastAsia="Arial" w:hAnsi="Arial"/>
          <w:sz w:val="19"/>
          <w:szCs w:val="19"/>
          <w:color w:val="auto"/>
        </w:rPr>
        <w:t>. No Consent of any Governmental Authority or any other Person is required by or with respect to Buyer in connection with the execution and delivery by Buyer of the Transaction Documents, the performance by Buyer of its obligations under the Transaction Documents or the consummation of the transactions contemplated by the Transaction Documents, except for (a) such Consents, the failure of which to be obtained or made, would not reasonably be expected to result in a Buyer Material Adverse Effect, and (b) such Consents as shall have been obtained on or prior to the date hereof.</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Litigation</w:t>
      </w:r>
      <w:r>
        <w:rPr>
          <w:rFonts w:ascii="Arial" w:cs="Arial" w:eastAsia="Arial" w:hAnsi="Arial"/>
          <w:sz w:val="22"/>
          <w:szCs w:val="22"/>
          <w:color w:val="auto"/>
        </w:rPr>
        <w:t>. No action, suit, proceeding or investigation before any Governmental Authority is pending, or, to the knowledge of Buyer, threatened, against Buyer that, individually or in the aggregate, would reasonably be expected to result in a Buyer Material Adverse Effect.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Brokers’ Fees</w:t>
      </w:r>
      <w:r>
        <w:rPr>
          <w:rFonts w:ascii="Arial" w:cs="Arial" w:eastAsia="Arial" w:hAnsi="Arial"/>
          <w:sz w:val="22"/>
          <w:szCs w:val="22"/>
          <w:color w:val="auto"/>
        </w:rPr>
        <w:t>. There is no investment banker, broker, finder, financial advisor or other intermediary who has been retained by or is authorized to act on behalf of Buyer who is entitled to any fee or commission in connection with the transactions contemplated by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0" w:name="page81"/>
    <w:bookmarkEnd w:id="80"/>
    <w:p>
      <w:pPr>
        <w:jc w:val="both"/>
        <w:ind w:firstLine="749"/>
        <w:spacing w:after="0"/>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Financing</w:t>
      </w:r>
      <w:r>
        <w:rPr>
          <w:rFonts w:ascii="Arial" w:cs="Arial" w:eastAsia="Arial" w:hAnsi="Arial"/>
          <w:sz w:val="22"/>
          <w:szCs w:val="22"/>
          <w:color w:val="auto"/>
        </w:rPr>
        <w:t>. Buyer has, and will have as of the Closing, sufficient cash on hand or binding and enforceable commitments to provide it with funds sufficient to satisfy its obligations to pay the Purchase Price. Buyer acknowledges that its obligations under this Agreement are not contingent on obtaining financing.</w:t>
      </w:r>
    </w:p>
    <w:p>
      <w:pPr>
        <w:spacing w:after="0" w:line="186" w:lineRule="exact"/>
        <w:rPr>
          <w:sz w:val="20"/>
          <w:szCs w:val="20"/>
          <w:color w:val="auto"/>
        </w:rPr>
      </w:pPr>
    </w:p>
    <w:p>
      <w:pPr>
        <w:jc w:val="center"/>
        <w:ind w:right="260"/>
        <w:spacing w:after="0" w:line="448"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Tax Status</w:t>
      </w:r>
      <w:r>
        <w:rPr>
          <w:rFonts w:ascii="Arial" w:cs="Arial" w:eastAsia="Arial" w:hAnsi="Arial"/>
          <w:sz w:val="22"/>
          <w:szCs w:val="22"/>
          <w:color w:val="auto"/>
        </w:rPr>
        <w:t xml:space="preserve">. Buyer is a “United States person”, as defined in section 7701(a)(30) of the Code. </w:t>
      </w:r>
      <w:r>
        <w:rPr>
          <w:rFonts w:ascii="Arial" w:cs="Arial" w:eastAsia="Arial" w:hAnsi="Arial"/>
          <w:sz w:val="22"/>
          <w:szCs w:val="22"/>
          <w:u w:val="single" w:color="auto"/>
          <w:color w:val="auto"/>
        </w:rPr>
        <w:t>ARTICLE VI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COVENANTS</w:t>
      </w:r>
    </w:p>
    <w:p>
      <w:pPr>
        <w:spacing w:after="0" w:line="20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70" w:lineRule="auto"/>
        <w:tabs>
          <w:tab w:leader="none" w:pos="2176"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Confidentiality</w:t>
      </w:r>
      <w:r>
        <w:rPr>
          <w:rFonts w:ascii="Arial" w:cs="Arial" w:eastAsia="Arial" w:hAnsi="Arial"/>
          <w:sz w:val="19"/>
          <w:szCs w:val="19"/>
          <w:color w:val="auto"/>
        </w:rPr>
        <w:t>. Except as set forth in Section‎ 6.1(c) below, each party (“</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keep</w:t>
      </w:r>
      <w:r>
        <w:rPr>
          <w:rFonts w:ascii="Arial" w:cs="Arial" w:eastAsia="Arial" w:hAnsi="Arial"/>
          <w:sz w:val="19"/>
          <w:szCs w:val="19"/>
          <w:i w:val="1"/>
          <w:iCs w:val="1"/>
          <w:color w:val="auto"/>
        </w:rPr>
        <w:t xml:space="preserve"> </w:t>
      </w:r>
      <w:r>
        <w:rPr>
          <w:rFonts w:ascii="Arial" w:cs="Arial" w:eastAsia="Arial" w:hAnsi="Arial"/>
          <w:sz w:val="19"/>
          <w:szCs w:val="19"/>
          <w:color w:val="auto"/>
        </w:rPr>
        <w:t>confidential and not disclose to any Person (other than its Affiliates and its and its Affiliates’ Representatives), and shall cause its Affiliates and its and its Affiliates’ Representatives to keep confidential and not disclose to any Person, any Confidential Information. Receiving Party shall, and shall cause its Affiliates and its and its Affiliates’ Representatives to, use the Confidential Information solely in connection with Receiving Party’s administration of, and exercising of rights and performance of obligations under, the Transaction Documents (and not for any other purpose). The foregoing obligations shall continue until the</w:t>
      </w:r>
    </w:p>
    <w:p>
      <w:pPr>
        <w:spacing w:after="0" w:line="1"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later of (x) the date of termination of this Agreement pursuant to Section‎ 9.14(a) and (y) the date of expiration of the last to expire of the Relevant Obligations.</w:t>
      </w:r>
    </w:p>
    <w:p>
      <w:pPr>
        <w:spacing w:after="0" w:line="186" w:lineRule="exact"/>
        <w:rPr>
          <w:rFonts w:ascii="Arial" w:cs="Arial" w:eastAsia="Arial" w:hAnsi="Arial"/>
          <w:sz w:val="19"/>
          <w:szCs w:val="19"/>
          <w:color w:val="auto"/>
        </w:rPr>
      </w:pPr>
    </w:p>
    <w:p>
      <w:pPr>
        <w:jc w:val="both"/>
        <w:ind w:firstLine="1505"/>
        <w:spacing w:after="0" w:line="271" w:lineRule="auto"/>
        <w:tabs>
          <w:tab w:leader="none" w:pos="2206"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Confidential Information</w:t>
      </w:r>
      <w:r>
        <w:rPr>
          <w:rFonts w:ascii="Arial" w:cs="Arial" w:eastAsia="Arial" w:hAnsi="Arial"/>
          <w:sz w:val="19"/>
          <w:szCs w:val="19"/>
          <w:color w:val="auto"/>
        </w:rPr>
        <w: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collectively, all information (whether</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or oral, or in electronic or other form, and whether furnished before, on or after the date of this Agreement) concerning, or relating in any way, directly or indirectly, to the other party (“</w:t>
      </w:r>
      <w:r>
        <w:rPr>
          <w:rFonts w:ascii="Arial" w:cs="Arial" w:eastAsia="Arial" w:hAnsi="Arial"/>
          <w:sz w:val="19"/>
          <w:szCs w:val="19"/>
          <w:u w:val="single" w:color="auto"/>
          <w:color w:val="auto"/>
        </w:rPr>
        <w:t>Disclosing Party</w:t>
      </w:r>
      <w:r>
        <w:rPr>
          <w:rFonts w:ascii="Arial" w:cs="Arial" w:eastAsia="Arial" w:hAnsi="Arial"/>
          <w:sz w:val="19"/>
          <w:szCs w:val="19"/>
          <w:color w:val="auto"/>
        </w:rPr>
        <w:t>”), the Sale Agreement, or the Purchased Receivables, including any Medexus Reports, notices, requests, correspondence or other information furnished pursuant to this Agreement and any other reports, data, information, materials, notices, correspondence or documents of any kind relating in any way, directly or indirectly, to the Purchased Receivables. Notwithstanding the foregoing,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shall not include the existence or terms of this Agreement, or any information that (A) was known by Receiving Party at the time such information was disclosed to Receiving Party, its Affiliates or its or its Affiliates’ Representatives in accordance herewith or in accordance with the Confidentiality Agreement, as evidenced by its written records; (B) was or becomes generally available to the public or part of the public domain (other than as a result of a disclosure by Receiving Party, its Affiliates or its or its Affiliates’ Representatives in violation of this Agreement or the Confidentiality Agreement) prior to any disclosure of such information by Receiving Party, its Affiliates or its or its Affiliates’ Representatives; (C) becomes known to Receiving Party on a non-confidential basis from a source other than Disclosing Party and its Representatives (and without any breach of this Agreement or the Confidentiality Agreement by Receiving Party, its Affiliates or its or its Affiliates’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source, to the knowledge of Receiving Party, had the right to disclose such information to Receiving Party (without breaching any legal, contractual or fiduciary obligation to Disclosing Party); or (D) is or has been independently developed by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1" w:name="page82"/>
    <w:bookmarkEnd w:id="81"/>
    <w:p>
      <w:pPr>
        <w:spacing w:after="0" w:line="250" w:lineRule="auto"/>
        <w:rPr>
          <w:sz w:val="20"/>
          <w:szCs w:val="20"/>
          <w:color w:val="auto"/>
        </w:rPr>
      </w:pPr>
      <w:r>
        <w:rPr>
          <w:rFonts w:ascii="Arial" w:cs="Arial" w:eastAsia="Arial" w:hAnsi="Arial"/>
          <w:sz w:val="22"/>
          <w:szCs w:val="22"/>
          <w:color w:val="auto"/>
        </w:rPr>
        <w:t>Receiving Party, its Affiliates or its or its Affiliates’ Representatives without use of or reference to the Confidential Information (as evidenced by contemporaneous written records).</w:t>
      </w:r>
    </w:p>
    <w:p>
      <w:pPr>
        <w:spacing w:after="0" w:line="175" w:lineRule="exact"/>
        <w:rPr>
          <w:sz w:val="20"/>
          <w:szCs w:val="20"/>
          <w:color w:val="auto"/>
        </w:rPr>
      </w:pPr>
    </w:p>
    <w:p>
      <w:pPr>
        <w:ind w:left="2160" w:hanging="655"/>
        <w:spacing w:after="0"/>
        <w:tabs>
          <w:tab w:leader="none" w:pos="216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Permitted Disclosures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0" w:lineRule="auto"/>
        <w:tabs>
          <w:tab w:leader="none" w:pos="219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the event that Receiving Party or its Affiliates or any of its or its Affiliates’ Representatives are requested by a governmental or regulatory authority or required by Applicable Law (as reasonably determined by Disclosing Party after consulting with legal counsel), legal process, or the regulations of a stock exchange or governmental or regulatory authority or by the order or ruling of a court, administrative agency or other government body of competent jurisdiction to disclose any Confidential Information, Receiving Party shall promptly, and, in any event, use reasonable efforts to, promptly upon learning of such requirement, to the extent permitted by Applicable Law, notify Disclosing Party in writing of such requirement so that Disclosing Party may seek an appropriate protective order or other appropriate remedy (and if Disclosing Party seeks such an order or other remedy, Receiving Party will provide such cooperation, at Disclosing Party’s expense, as Disclosing Party shall reasonably request). If no such protective order or other remedy is obtained and Receiving Party or its Affiliates or its or its Affiliates’ Representatives are, in the view of their respective counsel (which may include their respective internal counsel), legally compelled to disclose Confidential Information, Receiving Party or its Affiliates or its or its Affiliates’ Representatives, as the case may be, shall only disclose that portion of the Confidential Information that their respective counsel advises that Receiving Party or its Affiliates or its or its Affiliates’ Representatives, as the case may be, are compelled to disclose and will exercise reasonable efforts, at Disclosing Party’s expense, to obtain reliable assurance that confidential treatment will be accorded to that portion of the Confidential Information that is being disclosed. In any event, Receiving Party will not oppose action by Disclosing Party to obtain an appropriate protective order or other reliable assurance that confidential treatment will be accorded the Confidential Information.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505"/>
        <w:spacing w:after="0" w:line="271" w:lineRule="auto"/>
        <w:tabs>
          <w:tab w:leader="none" w:pos="2164"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Notwithstanding anything herein to the contrary, nothing in this Section‎ 6.1 shall be construed to restrict Receiving Party from disclosing Confidential Information to Receiving Party’s Affiliates, Representatives, existing or prospective lenders, acquirors, investors, partners, assignees and other sources of funding, including underwriters, debt financing or co-investors, or direct or indirect beneficial owners, or limited partners, and the Representatives of the foregoing, provided that the</w:t>
      </w:r>
    </w:p>
    <w:p>
      <w:pPr>
        <w:spacing w:after="0" w:line="3"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recipient of Confidential Information agrees to be bound by the provisions of this Section‎ 6.1 or are otherwise subject to reasonable restrictions of confidentiality.</w:t>
      </w:r>
    </w:p>
    <w:p>
      <w:pPr>
        <w:spacing w:after="0" w:line="187" w:lineRule="exact"/>
        <w:rPr>
          <w:sz w:val="20"/>
          <w:szCs w:val="20"/>
          <w:color w:val="auto"/>
        </w:rPr>
      </w:pPr>
    </w:p>
    <w:p>
      <w:pPr>
        <w:jc w:val="both"/>
        <w:ind w:firstLine="1505"/>
        <w:spacing w:after="0"/>
        <w:tabs>
          <w:tab w:leader="none" w:pos="2177"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Termination of Confidentiality Agreement</w:t>
      </w:r>
      <w:r>
        <w:rPr>
          <w:rFonts w:ascii="Arial" w:cs="Arial" w:eastAsia="Arial" w:hAnsi="Arial"/>
          <w:sz w:val="22"/>
          <w:szCs w:val="22"/>
          <w:color w:val="auto"/>
        </w:rPr>
        <w:t>. Effective upon the date hereof, the Confidential Disclosure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dated December 19, 2022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between Buyer and Seller shall terminate and be of no further force or effect, and shall be superseded by the provisions of this Section‎ 6.1.</w:t>
      </w:r>
    </w:p>
    <w:p>
      <w:pPr>
        <w:spacing w:after="0" w:line="186" w:lineRule="exact"/>
        <w:rPr>
          <w:rFonts w:ascii="Arial" w:cs="Arial" w:eastAsia="Arial" w:hAnsi="Arial"/>
          <w:sz w:val="22"/>
          <w:szCs w:val="22"/>
          <w:color w:val="auto"/>
        </w:rPr>
      </w:pPr>
    </w:p>
    <w:p>
      <w:pPr>
        <w:ind w:left="2220" w:hanging="715"/>
        <w:spacing w:after="0"/>
        <w:tabs>
          <w:tab w:leader="none" w:pos="2220"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Specific Enforcement</w:t>
      </w:r>
      <w:r>
        <w:rPr>
          <w:rFonts w:ascii="Arial" w:cs="Arial" w:eastAsia="Arial" w:hAnsi="Arial"/>
          <w:sz w:val="19"/>
          <w:szCs w:val="19"/>
          <w:color w:val="auto"/>
        </w:rPr>
        <w:t>.  Receiving Party acknowledges and agrees that remedies at law may not be</w:t>
      </w:r>
    </w:p>
    <w:p>
      <w:pPr>
        <w:spacing w:after="0" w:line="4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19"/>
          <w:szCs w:val="19"/>
          <w:color w:val="auto"/>
        </w:rPr>
        <w:t>adequate to protect Disclosing Party against any actual or threatened breach of this Section‎ 6.1 by Receiving Party, its Affiliates or its or its Affiliates’ Representatives, and that Disclosing Party shall be entitled to seek specific performance and temporary and permanent injunctive relief or other equitable relief as a remedy for any such actual or threatened breach.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ind w:left="760"/>
        <w:spacing w:after="0"/>
        <w:tabs>
          <w:tab w:leader="none" w:pos="21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505"/>
        <w:spacing w:after="0" w:line="276" w:lineRule="auto"/>
        <w:tabs>
          <w:tab w:leader="none" w:pos="2163"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United States federal, state, local and non-United States tax purposes, Seller and Buyer shall treat (i) the transactions contemplated by the Transaction Documents as a sale of the Purchased Receivables, (ii) the payment of any</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amounts pursuant to Section‎ 2.2 as an adjustment to the Purchase Price, and (iii) any and all amounts remitted by Seller to Buyer</w:t>
      </w:r>
    </w:p>
    <w:p>
      <w:pPr>
        <w:spacing w:after="0" w:line="24"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after the Closing Date pursuant to Section‎ 7.2(a) or otherwise under this Agreement as having been received by Seller as agent for Buyer, in each case, unless otherwise required by a Final Determination.</w:t>
      </w:r>
    </w:p>
    <w:p>
      <w:pPr>
        <w:spacing w:after="0" w:line="186" w:lineRule="exact"/>
        <w:rPr>
          <w:rFonts w:ascii="Arial" w:cs="Arial" w:eastAsia="Arial" w:hAnsi="Arial"/>
          <w:sz w:val="19"/>
          <w:szCs w:val="19"/>
          <w:color w:val="auto"/>
        </w:rPr>
      </w:pPr>
    </w:p>
    <w:p>
      <w:pPr>
        <w:jc w:val="both"/>
        <w:ind w:firstLine="1505"/>
        <w:spacing w:after="0" w:line="271" w:lineRule="auto"/>
        <w:tabs>
          <w:tab w:leader="none" w:pos="219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party hereto agrees (i) to notify the other party promptly in writing if (A) such party becomes ineligible to use or deliver any Applicable Withholding Certificate or other tax form previously delivered pursuant to this Agreement, or (B) any Applicable Withholding Certificate or other tax form previously delivered pursuant to this Agreement ceases to be accurate or complete, and (ii) to provide (to the extent it is legally eligible to do so) any additional tax forms that the</w:t>
      </w:r>
    </w:p>
    <w:p>
      <w:pPr>
        <w:spacing w:after="0" w:line="3"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other party may reasonably request. Buyer agrees to notify Seller promptly if the statements in Section‎ 5.9 (if made as of any date after the Closing Date) cease, or because of any change of Applicable Law or any act or omission planned, suffered or performed by Buyer, would in the future cease, to be true.</w:t>
      </w:r>
    </w:p>
    <w:p>
      <w:pPr>
        <w:spacing w:after="0" w:line="187" w:lineRule="exact"/>
        <w:rPr>
          <w:rFonts w:ascii="Arial" w:cs="Arial" w:eastAsia="Arial" w:hAnsi="Arial"/>
          <w:sz w:val="19"/>
          <w:szCs w:val="19"/>
          <w:color w:val="auto"/>
        </w:rPr>
      </w:pPr>
    </w:p>
    <w:p>
      <w:pPr>
        <w:jc w:val="both"/>
        <w:ind w:firstLine="1505"/>
        <w:spacing w:after="0" w:line="270" w:lineRule="auto"/>
        <w:tabs>
          <w:tab w:leader="none" w:pos="2161" w:val="left"/>
        </w:tabs>
        <w:numPr>
          <w:ilvl w:val="0"/>
          <w:numId w:val="47"/>
        </w:numPr>
        <w:rPr>
          <w:rFonts w:ascii="Arial" w:cs="Arial" w:eastAsia="Arial" w:hAnsi="Arial"/>
          <w:sz w:val="19"/>
          <w:szCs w:val="19"/>
          <w:color w:val="auto"/>
        </w:rPr>
      </w:pPr>
      <w:r>
        <w:rPr>
          <w:rFonts w:ascii="Arial" w:cs="Arial" w:eastAsia="Arial" w:hAnsi="Arial"/>
          <w:sz w:val="19"/>
          <w:szCs w:val="19"/>
          <w:color w:val="auto"/>
        </w:rPr>
        <w:t>Buyer and Seller acknowledge and agree that, under Applicable Law as of the date of this Agreement, no taxes are expected to be deducted or withheld from payments under this Agreement. Buyer and Seller shall each be entitled to deduct and withhold (or cause to be deducted and withheld) from any amount payable under this Agreement (but for this sentence) any amounts that it is required to deduct or withhold under Applicable Law with respect thereto; provided that if Buyer or Seller shall be required to withhold or deduct any such tax, it shall remit (or cause to be remitted) any amount withheld or</w:t>
      </w:r>
    </w:p>
    <w:p>
      <w:pPr>
        <w:spacing w:after="0" w:line="4"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deducted pursuant to this Section‎ 6.2 to the relevant taxing authority (and such amounts shall be treated for all purposes of this Agreement as having been paid to the Person to whom such amounts would otherwise have been paid). Notwithstanding the foregoing, if amounts are deducted or withheld from amounts payable to Buyer in respect of an Indemnified Tax, Seller shall make a payment to Buyer so that, after all such required deductions and withholdings attributable to amounts payable to Buyer</w:t>
      </w:r>
    </w:p>
    <w:p>
      <w:pPr>
        <w:spacing w:after="0" w:line="3"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hereunder (including any deductions and withholdings required with respect to any additional payments under this Section‎ 6.2), Buyer receives an amount equal to the amount that it would have received had no deductions or withholdings on account of Indemnified Taxes been made.</w:t>
      </w:r>
    </w:p>
    <w:p>
      <w:pPr>
        <w:spacing w:after="0" w:line="187" w:lineRule="exact"/>
        <w:rPr>
          <w:rFonts w:ascii="Arial" w:cs="Arial" w:eastAsia="Arial" w:hAnsi="Arial"/>
          <w:sz w:val="19"/>
          <w:szCs w:val="19"/>
          <w:color w:val="auto"/>
        </w:rPr>
      </w:pPr>
    </w:p>
    <w:p>
      <w:pPr>
        <w:jc w:val="both"/>
        <w:ind w:firstLine="1505"/>
        <w:spacing w:after="0" w:line="276" w:lineRule="auto"/>
        <w:tabs>
          <w:tab w:leader="none" w:pos="2177"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of Buyer and Seller shall cooperate with and provide, or cause to be provided, to the other party such assistance as may reasonably be necessary to enable the applicable recipient party to claim any exemption or credit in</w:t>
      </w:r>
    </w:p>
    <w:p>
      <w:pPr>
        <w:spacing w:after="0" w:line="1"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respect of any amounts withheld pursuant to this Section‎ 6.2. Each of Buyer and Seller shall furnish proper evidence of the taxes paid by it to the relevant taxing authority on behalf of the recipient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-4299585</wp:posOffset>
            </wp:positionV>
            <wp:extent cx="6197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9760" cy="8890"/>
                    </a:xfrm>
                    <a:prstGeom prst="rect">
                      <a:avLst/>
                    </a:prstGeom>
                    <a:noFill/>
                  </pic:spPr>
                </pic:pic>
              </a:graphicData>
            </a:graphic>
          </wp:anchor>
        </w:drawing>
      </w:r>
    </w:p>
    <w:p>
      <w:pPr>
        <w:spacing w:after="0" w:line="16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Further Actions</w:t>
      </w:r>
      <w:r>
        <w:rPr>
          <w:rFonts w:ascii="Arial" w:cs="Arial" w:eastAsia="Arial" w:hAnsi="Arial"/>
          <w:sz w:val="19"/>
          <w:szCs w:val="19"/>
          <w:color w:val="auto"/>
        </w:rPr>
        <w:t>. From and after the Closing, each of Buyer and Seller shall, at the expense of the requesting party, execute and deliver such additional documents, certificates and instruments, and perform such additional acts, as may be reasonably requested and necessary or appropriate to carry out all of the provisions of this Agreement and to give full effect to and consummate the transactions contemplated by this Agreement, including to (a) perfect the sale,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3" w:name="page84"/>
    <w:bookmarkEnd w:id="83"/>
    <w:p>
      <w:pPr>
        <w:jc w:val="both"/>
        <w:spacing w:after="0"/>
        <w:rPr>
          <w:sz w:val="20"/>
          <w:szCs w:val="20"/>
          <w:color w:val="auto"/>
        </w:rPr>
      </w:pPr>
      <w:r>
        <w:rPr>
          <w:rFonts w:ascii="Arial" w:cs="Arial" w:eastAsia="Arial" w:hAnsi="Arial"/>
          <w:sz w:val="22"/>
          <w:szCs w:val="22"/>
          <w:color w:val="auto"/>
        </w:rPr>
        <w:t>assignment, transfer and conveyance of the Purchased Receivables to Buyer pursuant to this Agreement, (b) create, evidence and perfect Buyer’s security interest granted pursuant to ‎Section 2.5 and (c) enable Buyer to exercise or enforce any of Buyer’s rights under any Transaction Document to which Buyer is party.</w:t>
      </w:r>
    </w:p>
    <w:p>
      <w:pPr>
        <w:spacing w:after="0" w:line="18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Distribution of Purchased Receivables</w:t>
      </w:r>
      <w:r>
        <w:rPr>
          <w:rFonts w:ascii="Arial" w:cs="Arial" w:eastAsia="Arial" w:hAnsi="Arial"/>
          <w:sz w:val="19"/>
          <w:szCs w:val="19"/>
          <w:color w:val="auto"/>
        </w:rPr>
        <w:t>.</w:t>
      </w:r>
    </w:p>
    <w:p>
      <w:pPr>
        <w:spacing w:after="0" w:line="206" w:lineRule="exact"/>
        <w:rPr>
          <w:sz w:val="20"/>
          <w:szCs w:val="20"/>
          <w:color w:val="auto"/>
        </w:rPr>
      </w:pPr>
    </w:p>
    <w:p>
      <w:pPr>
        <w:ind w:firstLine="1505"/>
        <w:spacing w:after="0" w:line="274" w:lineRule="auto"/>
        <w:tabs>
          <w:tab w:leader="none" w:pos="217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Deposit of Purchased Receivables</w:t>
      </w:r>
      <w:r>
        <w:rPr>
          <w:rFonts w:ascii="Arial" w:cs="Arial" w:eastAsia="Arial" w:hAnsi="Arial"/>
          <w:sz w:val="21"/>
          <w:szCs w:val="21"/>
          <w:color w:val="auto"/>
        </w:rPr>
        <w:t>. In accordance with the Medexus Instruction Letter, from and after the date of the Escrow Agreement, Seller shall direct Medexus to deposit all Receivables to the Escrow Account.</w:t>
      </w:r>
    </w:p>
    <w:p>
      <w:pPr>
        <w:spacing w:after="0" w:line="150" w:lineRule="exact"/>
        <w:rPr>
          <w:rFonts w:ascii="Arial" w:cs="Arial" w:eastAsia="Arial" w:hAnsi="Arial"/>
          <w:sz w:val="21"/>
          <w:szCs w:val="21"/>
          <w:color w:val="auto"/>
        </w:rPr>
      </w:pPr>
    </w:p>
    <w:p>
      <w:pPr>
        <w:jc w:val="both"/>
        <w:ind w:firstLine="1505"/>
        <w:spacing w:after="0" w:line="236" w:lineRule="auto"/>
        <w:tabs>
          <w:tab w:leader="none" w:pos="217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Release of Non-Purchased Receivables</w:t>
      </w:r>
      <w:r>
        <w:rPr>
          <w:rFonts w:ascii="Arial" w:cs="Arial" w:eastAsia="Arial" w:hAnsi="Arial"/>
          <w:sz w:val="22"/>
          <w:szCs w:val="22"/>
          <w:color w:val="auto"/>
        </w:rPr>
        <w:t>. If Buyer shall receive any payment under the Sale Agreement that does not consist entirely of Purchased Receivables, Buyer shall promptly, and in any event no later than five Business Days remit to Seller the portion, if any, of such payment that does not constitute Purchased Receivables by wire transfer of immediately available funds to such account as Seller may designate in writing (such designation to be made at least three Business Days prior to any such payment).</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Medexus Instructions</w:t>
      </w:r>
      <w:r>
        <w:rPr>
          <w:rFonts w:ascii="Arial" w:cs="Arial" w:eastAsia="Arial" w:hAnsi="Arial"/>
          <w:sz w:val="22"/>
          <w:szCs w:val="22"/>
          <w:color w:val="auto"/>
        </w:rPr>
        <w:t>. Prior to the termination of this Agreement pursuant to Section‎ 9.14(a), Seller shall not, without Buyer’s prior written consent, deliver any further directions to Medexus.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Escrow Agreement</w:t>
      </w:r>
      <w:r>
        <w:rPr>
          <w:rFonts w:ascii="Arial" w:cs="Arial" w:eastAsia="Arial" w:hAnsi="Arial"/>
          <w:sz w:val="22"/>
          <w:szCs w:val="22"/>
          <w:color w:val="auto"/>
        </w:rPr>
        <w:t>. The Parties agree to negotiate and enter into the Escrow Agreement within ten days of the Closing Date.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Medexus Instruction Letter</w:t>
      </w:r>
      <w:r>
        <w:rPr>
          <w:rFonts w:ascii="Arial" w:cs="Arial" w:eastAsia="Arial" w:hAnsi="Arial"/>
          <w:sz w:val="22"/>
          <w:szCs w:val="22"/>
          <w:color w:val="auto"/>
        </w:rPr>
        <w:t xml:space="preserve">. On the date of the Escrow Agreement, Seller shall deliver to Buyer and Medexus an instruction letter, in substantially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Medexus Instruction Letter</w:t>
      </w:r>
      <w:r>
        <w:rPr>
          <w:rFonts w:ascii="Arial" w:cs="Arial" w:eastAsia="Arial" w:hAnsi="Arial"/>
          <w:sz w:val="22"/>
          <w:szCs w:val="22"/>
          <w:color w:val="auto"/>
        </w:rPr>
        <w:t>”), duly executed by Seller, instructing Medexus to pay the Receivables to the Escrow Account.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w:t>
      </w:r>
    </w:p>
    <w:p>
      <w:pPr>
        <w:spacing w:after="0" w:line="233" w:lineRule="exact"/>
        <w:rPr>
          <w:sz w:val="20"/>
          <w:szCs w:val="20"/>
          <w:color w:val="auto"/>
        </w:rPr>
      </w:pPr>
    </w:p>
    <w:p>
      <w:pPr>
        <w:ind w:left="760" w:right="3020" w:firstLine="2272"/>
        <w:spacing w:after="0" w:line="435" w:lineRule="auto"/>
        <w:rPr>
          <w:sz w:val="20"/>
          <w:szCs w:val="20"/>
          <w:color w:val="auto"/>
        </w:rPr>
      </w:pPr>
      <w:r>
        <w:rPr>
          <w:rFonts w:ascii="Arial" w:cs="Arial" w:eastAsia="Arial" w:hAnsi="Arial"/>
          <w:sz w:val="22"/>
          <w:szCs w:val="22"/>
          <w:u w:val="single" w:color="auto"/>
          <w:color w:val="auto"/>
        </w:rPr>
        <w:t xml:space="preserve">COVENANTS RELATING TO THE SALE AGREEMENT </w:t>
      </w: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Performance of Sale Agreement</w:t>
      </w:r>
      <w:r>
        <w:rPr>
          <w:rFonts w:ascii="Arial" w:cs="Arial" w:eastAsia="Arial" w:hAnsi="Arial"/>
          <w:sz w:val="22"/>
          <w:szCs w:val="22"/>
          <w:color w:val="auto"/>
        </w:rPr>
        <w:t>.</w:t>
      </w:r>
    </w:p>
    <w:p>
      <w:pPr>
        <w:spacing w:after="0" w:line="1" w:lineRule="exact"/>
        <w:rPr>
          <w:sz w:val="20"/>
          <w:szCs w:val="20"/>
          <w:color w:val="auto"/>
        </w:rPr>
      </w:pPr>
    </w:p>
    <w:p>
      <w:pPr>
        <w:jc w:val="both"/>
        <w:ind w:firstLine="1505"/>
        <w:spacing w:after="0" w:line="274" w:lineRule="auto"/>
        <w:tabs>
          <w:tab w:leader="none" w:pos="2201"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Seller agrees that it shall (i) comply in all material respects with its obligations under the License Agreement, (ii) not take any action or forego any action that would reasonably be expected to constitute a material breach or default under the Sale Agreement and (iii) use Commercially Reasonable Efforts to cure any such breach by Seller of the Sale Agreement, (iv) not forgive, release or compromise any amount owed to or becoming owed to Seller under the Sale Agreement in respect of the Receivables and (v) not, without the prior written consent of Buyer, (A) exercise any right to offset, modify or terminate the Sale Agreement, in whole or in part, (B) agree with Medexus to offset, modify or terminate the Sale Agreement, in whole or in part, or (C) take, or permit any Affiliate or sublicensee to take, any action that would reasonably be expected to give Medexus the right to offset, modify or terminate the Sale Agreement, in whole or in part. Subject to the foregoing, promptly, and in any event within five Business Days, following receipt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spacing w:after="0" w:line="250" w:lineRule="auto"/>
        <w:rPr>
          <w:sz w:val="20"/>
          <w:szCs w:val="20"/>
          <w:color w:val="auto"/>
        </w:rPr>
      </w:pPr>
      <w:r>
        <w:rPr>
          <w:rFonts w:ascii="Arial" w:cs="Arial" w:eastAsia="Arial" w:hAnsi="Arial"/>
          <w:sz w:val="22"/>
          <w:szCs w:val="22"/>
          <w:color w:val="auto"/>
        </w:rPr>
        <w:t>by Seller of any notice of breach of termination of the Sale Agreement, Seller shall furnish a true, correct and complete copy of the same to Buyer.</w:t>
      </w:r>
    </w:p>
    <w:p>
      <w:pPr>
        <w:spacing w:after="0" w:line="175" w:lineRule="exact"/>
        <w:rPr>
          <w:sz w:val="20"/>
          <w:szCs w:val="20"/>
          <w:color w:val="auto"/>
        </w:rPr>
      </w:pPr>
    </w:p>
    <w:p>
      <w:pPr>
        <w:jc w:val="both"/>
        <w:ind w:firstLine="1505"/>
        <w:spacing w:after="0" w:line="236" w:lineRule="auto"/>
        <w:tabs>
          <w:tab w:leader="none" w:pos="21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Seller shall not, without the prior written consent of Buyer, grant or withhold any consent, exercise or waive any right, obligation or option or fail to exercise any right, obligation or option in respect of, affecting or relating to the Receivables, the Product, and the Sale Agreement in any manner that would reasonably be expected (with or without the giving of notice or the passage of time, or both) to have a Seller Material Adverse Effect or conflict with, or cause a termination, material breach or default under the Sale Agreement.</w:t>
      </w:r>
    </w:p>
    <w:p>
      <w:pPr>
        <w:spacing w:after="0" w:line="187"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Misdirected Payments; Setoffs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tabs>
          <w:tab w:leader="none" w:pos="2164"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Misdirected Payments</w:t>
      </w:r>
      <w:r>
        <w:rPr>
          <w:rFonts w:ascii="Arial" w:cs="Arial" w:eastAsia="Arial" w:hAnsi="Arial"/>
          <w:sz w:val="22"/>
          <w:szCs w:val="22"/>
          <w:color w:val="auto"/>
        </w:rPr>
        <w:t>. If Seller shall, notwithstanding the provisions of the Medexus Instruction Letter,</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any Purchased Receivables, Seller shall promptly, and in any event no later than five Business Days, remit to Buyer such Purchased Receivables.</w:t>
      </w:r>
    </w:p>
    <w:p>
      <w:pPr>
        <w:spacing w:after="0" w:line="186" w:lineRule="exact"/>
        <w:rPr>
          <w:rFonts w:ascii="Arial" w:cs="Arial" w:eastAsia="Arial" w:hAnsi="Arial"/>
          <w:sz w:val="22"/>
          <w:szCs w:val="22"/>
          <w:color w:val="auto"/>
        </w:rPr>
      </w:pPr>
    </w:p>
    <w:p>
      <w:pPr>
        <w:jc w:val="both"/>
        <w:ind w:firstLine="1505"/>
        <w:spacing w:after="0" w:line="276" w:lineRule="auto"/>
        <w:tabs>
          <w:tab w:leader="none" w:pos="2187"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Setoffs by Medexus</w:t>
      </w:r>
      <w:r>
        <w:rPr>
          <w:rFonts w:ascii="Arial" w:cs="Arial" w:eastAsia="Arial" w:hAnsi="Arial"/>
          <w:sz w:val="19"/>
          <w:szCs w:val="19"/>
          <w:color w:val="auto"/>
        </w:rPr>
        <w:t>. If Medexus sets off against the Purchased Receivables any amount owing from</w:t>
      </w:r>
      <w:r>
        <w:rPr>
          <w:rFonts w:ascii="Arial" w:cs="Arial" w:eastAsia="Arial" w:hAnsi="Arial"/>
          <w:sz w:val="19"/>
          <w:szCs w:val="19"/>
          <w:i w:val="1"/>
          <w:iCs w:val="1"/>
          <w:color w:val="auto"/>
        </w:rPr>
        <w:t xml:space="preserve"> </w:t>
      </w:r>
      <w:r>
        <w:rPr>
          <w:rFonts w:ascii="Arial" w:cs="Arial" w:eastAsia="Arial" w:hAnsi="Arial"/>
          <w:sz w:val="19"/>
          <w:szCs w:val="19"/>
          <w:color w:val="auto"/>
        </w:rPr>
        <w:t>Seller, then Seller shall promptly, and in any event no later than five Business Days, pay to Buyer a sum equal to the amount of</w:t>
      </w:r>
    </w:p>
    <w:p>
      <w:pPr>
        <w:spacing w:after="0" w:line="1"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such set-off. After Seller makes the payment referred to in the first sentence of this Section‎ 7.2(b), Seller shall be entitled to, and Buyer shall not be entitled to, any amounts recovered from Medexus in respect of such set-off.</w:t>
      </w:r>
    </w:p>
    <w:p>
      <w:pPr>
        <w:spacing w:after="0" w:line="186" w:lineRule="exact"/>
        <w:rPr>
          <w:rFonts w:ascii="Arial" w:cs="Arial" w:eastAsia="Arial" w:hAnsi="Arial"/>
          <w:sz w:val="19"/>
          <w:szCs w:val="19"/>
          <w:color w:val="auto"/>
        </w:rPr>
      </w:pPr>
    </w:p>
    <w:p>
      <w:pPr>
        <w:jc w:val="both"/>
        <w:ind w:firstLine="1505"/>
        <w:spacing w:after="0" w:line="238" w:lineRule="auto"/>
        <w:tabs>
          <w:tab w:leader="none" w:pos="2170"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Remittances</w:t>
      </w:r>
      <w:r>
        <w:rPr>
          <w:rFonts w:ascii="Arial" w:cs="Arial" w:eastAsia="Arial" w:hAnsi="Arial"/>
          <w:sz w:val="22"/>
          <w:szCs w:val="22"/>
          <w:color w:val="auto"/>
        </w:rPr>
        <w:t>. All remittances pursuant to this Section‎ 7.2 shall be made (i) without set-off or deduction</w:t>
      </w:r>
      <w:r>
        <w:rPr>
          <w:rFonts w:ascii="Arial" w:cs="Arial" w:eastAsia="Arial" w:hAnsi="Arial"/>
          <w:sz w:val="22"/>
          <w:szCs w:val="22"/>
          <w:i w:val="1"/>
          <w:iCs w:val="1"/>
          <w:color w:val="auto"/>
        </w:rPr>
        <w:t xml:space="preserve"> </w:t>
      </w:r>
      <w:r>
        <w:rPr>
          <w:rFonts w:ascii="Arial" w:cs="Arial" w:eastAsia="Arial" w:hAnsi="Arial"/>
          <w:sz w:val="22"/>
          <w:szCs w:val="22"/>
          <w:color w:val="auto"/>
        </w:rPr>
        <w:t>of any kind (except as required by Applicable Law) and (ii) by wire transfer of immediately available funds to such account as Buyer may designate in writing (such designation to be made at least three Business Days prior to any such payment), as the case may be.</w:t>
      </w:r>
    </w:p>
    <w:p>
      <w:pPr>
        <w:spacing w:after="0" w:line="184" w:lineRule="exact"/>
        <w:rPr>
          <w:rFonts w:ascii="Arial" w:cs="Arial" w:eastAsia="Arial" w:hAnsi="Arial"/>
          <w:sz w:val="22"/>
          <w:szCs w:val="22"/>
          <w:color w:val="auto"/>
        </w:rPr>
      </w:pPr>
    </w:p>
    <w:p>
      <w:pPr>
        <w:ind w:firstLine="1505"/>
        <w:spacing w:after="0" w:line="328" w:lineRule="auto"/>
        <w:tabs>
          <w:tab w:leader="none" w:pos="2177"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Payments Held In Trust</w:t>
      </w:r>
      <w:r>
        <w:rPr>
          <w:rFonts w:ascii="Arial" w:cs="Arial" w:eastAsia="Arial" w:hAnsi="Arial"/>
          <w:sz w:val="19"/>
          <w:szCs w:val="19"/>
          <w:color w:val="auto"/>
        </w:rPr>
        <w:t>. Seller agrees that it shall hold any amounts received by it to which Buyer is</w:t>
      </w:r>
      <w:r>
        <w:rPr>
          <w:rFonts w:ascii="Arial" w:cs="Arial" w:eastAsia="Arial" w:hAnsi="Arial"/>
          <w:sz w:val="19"/>
          <w:szCs w:val="19"/>
          <w:i w:val="1"/>
          <w:iCs w:val="1"/>
          <w:color w:val="auto"/>
        </w:rPr>
        <w:t xml:space="preserve"> </w:t>
      </w:r>
      <w:r>
        <w:rPr>
          <w:rFonts w:ascii="Arial" w:cs="Arial" w:eastAsia="Arial" w:hAnsi="Arial"/>
          <w:sz w:val="19"/>
          <w:szCs w:val="19"/>
          <w:color w:val="auto"/>
        </w:rPr>
        <w:t>entitled under this Agreement in trust and agrees that it shall have no right, title or interest whatsoever in such amounts.</w:t>
      </w:r>
    </w:p>
    <w:p>
      <w:pPr>
        <w:spacing w:after="0" w:line="104" w:lineRule="exact"/>
        <w:rPr>
          <w:rFonts w:ascii="Arial" w:cs="Arial" w:eastAsia="Arial" w:hAnsi="Arial"/>
          <w:sz w:val="19"/>
          <w:szCs w:val="19"/>
          <w:color w:val="auto"/>
        </w:rPr>
      </w:pPr>
    </w:p>
    <w:p>
      <w:pPr>
        <w:ind w:left="2160" w:hanging="655"/>
        <w:spacing w:after="0"/>
        <w:tabs>
          <w:tab w:leader="none" w:pos="21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 late fee of 4% over the prime rate published by the Wall Street Journal, from time to time, as the prime</w:t>
      </w:r>
    </w:p>
    <w:p>
      <w:pPr>
        <w:spacing w:after="0" w:line="42"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rate shall accrue on all unpaid amounts on an annualized basis with respect to any sum payable under this Section‎ 7.2 beginning five Business Days after receipt of such payment received in error.</w:t>
      </w:r>
    </w:p>
    <w:p>
      <w:pPr>
        <w:spacing w:after="0" w:line="187"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Medexus Reports; Notices; Correspondence</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38" w:lineRule="auto"/>
        <w:tabs>
          <w:tab w:leader="none" w:pos="21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Promptly, and in any event no later than five Business Days, following the receipt by Seller of (a) Medexus Reports required to be delivered pursuant to the Sale Agreement or (b) any material written notice or material written correspondence relating to, or involving the Purchased Receivables, Seller shall furnish a true, correct and copy of the same to Buyer.</w:t>
      </w:r>
    </w:p>
    <w:p>
      <w:pPr>
        <w:spacing w:after="0" w:line="184" w:lineRule="exact"/>
        <w:rPr>
          <w:rFonts w:ascii="Arial" w:cs="Arial" w:eastAsia="Arial" w:hAnsi="Arial"/>
          <w:sz w:val="22"/>
          <w:szCs w:val="22"/>
          <w:color w:val="auto"/>
        </w:rPr>
      </w:pPr>
    </w:p>
    <w:p>
      <w:pPr>
        <w:jc w:val="both"/>
        <w:ind w:firstLine="1505"/>
        <w:spacing w:after="0" w:line="297" w:lineRule="auto"/>
        <w:tabs>
          <w:tab w:leader="none" w:pos="2165" w:val="left"/>
        </w:tabs>
        <w:numPr>
          <w:ilvl w:val="0"/>
          <w:numId w:val="52"/>
        </w:numPr>
        <w:rPr>
          <w:rFonts w:ascii="Arial" w:cs="Arial" w:eastAsia="Arial" w:hAnsi="Arial"/>
          <w:sz w:val="19"/>
          <w:szCs w:val="19"/>
          <w:color w:val="auto"/>
        </w:rPr>
      </w:pPr>
      <w:r>
        <w:rPr>
          <w:rFonts w:ascii="Arial" w:cs="Arial" w:eastAsia="Arial" w:hAnsi="Arial"/>
          <w:sz w:val="19"/>
          <w:szCs w:val="19"/>
          <w:color w:val="auto"/>
        </w:rPr>
        <w:t>Seller shall not send any material written notice or correspondence to Medexus relating to, or involving, the Purchased Receivables pursuant to the Sale Agreement without the prior written consent of Buyer (such consent not to be unreasonably withheld or delayed). Seller shall promptly, and in any event no later than five Business Days, provide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5" w:name="page86"/>
    <w:bookmarkEnd w:id="85"/>
    <w:p>
      <w:pPr>
        <w:jc w:val="both"/>
        <w:spacing w:after="0"/>
        <w:rPr>
          <w:sz w:val="20"/>
          <w:szCs w:val="20"/>
          <w:color w:val="auto"/>
        </w:rPr>
      </w:pPr>
      <w:r>
        <w:rPr>
          <w:rFonts w:ascii="Arial" w:cs="Arial" w:eastAsia="Arial" w:hAnsi="Arial"/>
          <w:sz w:val="22"/>
          <w:szCs w:val="22"/>
          <w:color w:val="auto"/>
        </w:rPr>
        <w:t>Buyer a copy of any material notice or correspondence sent by Seller to Medexus relating to, or involving, the Purchased Receivables pursuant to the Sale Agreement. Seller shall use Commercially Reasonable Efforts to respond to any reasonable inquiries of Buyer related to or involving the Purchased Receivables.</w:t>
      </w:r>
    </w:p>
    <w:p>
      <w:pPr>
        <w:spacing w:after="0" w:line="18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u w:val="single" w:color="auto"/>
          <w:color w:val="auto"/>
        </w:rPr>
        <w:t>Audits of Medexus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9" w:lineRule="auto"/>
        <w:tabs>
          <w:tab w:leader="none" w:pos="2169" w:val="left"/>
        </w:tabs>
        <w:numPr>
          <w:ilvl w:val="0"/>
          <w:numId w:val="53"/>
        </w:numPr>
        <w:rPr>
          <w:rFonts w:ascii="Arial" w:cs="Arial" w:eastAsia="Arial" w:hAnsi="Arial"/>
          <w:sz w:val="21"/>
          <w:szCs w:val="21"/>
          <w:color w:val="auto"/>
        </w:rPr>
      </w:pPr>
      <w:r>
        <w:rPr>
          <w:rFonts w:ascii="Arial" w:cs="Arial" w:eastAsia="Arial" w:hAnsi="Arial"/>
          <w:sz w:val="21"/>
          <w:szCs w:val="21"/>
          <w:i w:val="1"/>
          <w:iCs w:val="1"/>
          <w:color w:val="auto"/>
        </w:rPr>
        <w:t>Consultation</w:t>
      </w:r>
      <w:r>
        <w:rPr>
          <w:rFonts w:ascii="Arial" w:cs="Arial" w:eastAsia="Arial" w:hAnsi="Arial"/>
          <w:sz w:val="21"/>
          <w:szCs w:val="21"/>
          <w:color w:val="auto"/>
        </w:rPr>
        <w:t>. Seller and Buyer shall consult with each other regarding the timing, manner and conduct</w:t>
      </w:r>
      <w:r>
        <w:rPr>
          <w:rFonts w:ascii="Arial" w:cs="Arial" w:eastAsia="Arial" w:hAnsi="Arial"/>
          <w:sz w:val="21"/>
          <w:szCs w:val="21"/>
          <w:i w:val="1"/>
          <w:iCs w:val="1"/>
          <w:color w:val="auto"/>
        </w:rPr>
        <w:t xml:space="preserve"> </w:t>
      </w:r>
      <w:r>
        <w:rPr>
          <w:rFonts w:ascii="Arial" w:cs="Arial" w:eastAsia="Arial" w:hAnsi="Arial"/>
          <w:sz w:val="21"/>
          <w:szCs w:val="21"/>
          <w:color w:val="auto"/>
        </w:rPr>
        <w:t>of (i) any audit of Medexus’s books of accounts and other records with respect to the Deferred Payments and Milestone Payments pursuant to Section 1.5(d) or Section 1.6(a)(iii) of the Sale Agreement, (ii) any dispute with respect to a Deferred Payment Calculation Certificate pursuant to Section 1.5(d) of the Sale Agreement, and (iii) any dispute with respect to a Milestone Sales Calculation Notice pursuant to Section 1.6(a)(iii) of the Sale Agreement.</w:t>
      </w:r>
    </w:p>
    <w:p>
      <w:pPr>
        <w:spacing w:after="0" w:line="178" w:lineRule="exact"/>
        <w:rPr>
          <w:rFonts w:ascii="Arial" w:cs="Arial" w:eastAsia="Arial" w:hAnsi="Arial"/>
          <w:sz w:val="21"/>
          <w:szCs w:val="21"/>
          <w:color w:val="auto"/>
        </w:rPr>
      </w:pPr>
    </w:p>
    <w:p>
      <w:pPr>
        <w:ind w:left="2160" w:hanging="655"/>
        <w:spacing w:after="0"/>
        <w:tabs>
          <w:tab w:leader="none" w:pos="216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Audits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254"/>
        <w:spacing w:after="0" w:line="270" w:lineRule="auto"/>
        <w:tabs>
          <w:tab w:leader="none" w:pos="2627"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If requested in writing by Buyer, Seller shall cause an independent, certified public accountant reasonably acceptable to Medexus to audit Medexus’s books of accounts and other records with respect to the Deferred Payments and Milestone Payments pursuant to Section 1.5(d) or Section 1.6(a)(iii) of the Sale Agreement,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not be entitled to request such an audit more frequently than once in any calendar year. With respect to any such audit, Seller shall select such independent, certified public accountant as Buyer shall recommend for such purpose (as long as such independent, certified public accountant is reasonably acceptable to Seller and Medexus). Subject to the last</w:t>
      </w:r>
    </w:p>
    <w:p>
      <w:pPr>
        <w:spacing w:after="0" w:line="1"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sentence of this Section‎ 7.4(b)(i), all of the expenses of any such audit requested by Buyer under this Section‎ 7.4(b)(i) (including the fees and expenses of any independent, certified public accountant) that would otherwise be borne by Seller pursuant to the Sale Agreement shall instead be borne (as such expenses are incurred) by Buyer. If, following the completion of such an audit, Medexus reimburses Seller for the costs of such audit pursuant to Section 1.5(d) or Section 1.6(a)(iii) of the Sale Agreement, Seller shall promptly (and in any event within five Business Days of receipt by Seller of such reimbursement), remit 100% of the amount of such reimbursement to Buyer (or 50% in the case of a Seller Participated Audit). Notwithstanding the above, upon</w:t>
      </w:r>
    </w:p>
    <w:p>
      <w:pPr>
        <w:spacing w:after="0" w:line="5" w:lineRule="exact"/>
        <w:rPr>
          <w:rFonts w:ascii="Arial" w:cs="Arial" w:eastAsia="Arial" w:hAnsi="Arial"/>
          <w:sz w:val="19"/>
          <w:szCs w:val="19"/>
          <w:color w:val="auto"/>
        </w:rPr>
      </w:pPr>
    </w:p>
    <w:p>
      <w:pPr>
        <w:jc w:val="both"/>
        <w:spacing w:after="0" w:line="248" w:lineRule="auto"/>
        <w:rPr>
          <w:rFonts w:ascii="Arial" w:cs="Arial" w:eastAsia="Arial" w:hAnsi="Arial"/>
          <w:sz w:val="19"/>
          <w:szCs w:val="19"/>
          <w:color w:val="auto"/>
        </w:rPr>
      </w:pPr>
      <w:r>
        <w:rPr>
          <w:rFonts w:ascii="Arial" w:cs="Arial" w:eastAsia="Arial" w:hAnsi="Arial"/>
          <w:sz w:val="21"/>
          <w:szCs w:val="21"/>
          <w:color w:val="auto"/>
        </w:rPr>
        <w:t>reasonable request of Seller, any examination initiated at the request of Buyer pursuant to this Section‎ 7.4(b)(i) may include such additional matters as reasonably requested by Seller (such examination, a “</w:t>
      </w:r>
      <w:r>
        <w:rPr>
          <w:rFonts w:ascii="Arial" w:cs="Arial" w:eastAsia="Arial" w:hAnsi="Arial"/>
          <w:sz w:val="21"/>
          <w:szCs w:val="21"/>
          <w:u w:val="single" w:color="auto"/>
          <w:color w:val="auto"/>
        </w:rPr>
        <w:t>Seller Participated Audit</w:t>
      </w:r>
      <w:r>
        <w:rPr>
          <w:rFonts w:ascii="Arial" w:cs="Arial" w:eastAsia="Arial" w:hAnsi="Arial"/>
          <w:sz w:val="21"/>
          <w:szCs w:val="21"/>
          <w:color w:val="auto"/>
        </w:rPr>
        <w:t>”); provided that half of the expenses of a Seller Participated Audit shall be borne by Seller (as such expenses are incurred).</w:t>
      </w:r>
    </w:p>
    <w:p>
      <w:pPr>
        <w:spacing w:after="0" w:line="178" w:lineRule="exact"/>
        <w:rPr>
          <w:sz w:val="20"/>
          <w:szCs w:val="20"/>
          <w:color w:val="auto"/>
        </w:rPr>
      </w:pPr>
    </w:p>
    <w:p>
      <w:pPr>
        <w:ind w:left="2180" w:hanging="675"/>
        <w:spacing w:after="0"/>
        <w:tabs>
          <w:tab w:leader="none" w:pos="21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Seller shall not request an examination under Section 1.5(d) or Section 1.6(a)(iii) of the Sale Agreement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without the prior written consent of Buyer. Subject to the last sentence of this Section‎ 7.4(b)(ii), all of the expenses of any</w:t>
      </w:r>
    </w:p>
    <w:p>
      <w:pPr>
        <w:spacing w:after="0" w:line="1"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examination requested by Seller under this Section‎ 7.4(b)(ii) (including the fees and expenses of such independent public accounting firm designated for such purpose) shall be borne by Seller (if and as such expenses are incurred). Notwithstanding the</w:t>
      </w:r>
    </w:p>
    <w:p>
      <w:pPr>
        <w:spacing w:after="0" w:line="1"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above, upon reasonable request of Buyer, any examination initiated at the request of Seller pursuant to this Section‎ 7.4(b)(ii) may include such additional matters as reasonably requested by Buyer (such examination, a “</w:t>
      </w:r>
      <w:r>
        <w:rPr>
          <w:rFonts w:ascii="Arial" w:cs="Arial" w:eastAsia="Arial" w:hAnsi="Arial"/>
          <w:sz w:val="19"/>
          <w:szCs w:val="19"/>
          <w:u w:val="single" w:color="auto"/>
          <w:color w:val="auto"/>
        </w:rPr>
        <w:t>Buyer Participated Audit</w:t>
      </w:r>
      <w:r>
        <w:rPr>
          <w:rFonts w:ascii="Arial" w:cs="Arial" w:eastAsia="Arial" w:hAnsi="Arial"/>
          <w:sz w:val="19"/>
          <w:szCs w:val="19"/>
          <w:color w:val="auto"/>
        </w:rPr>
        <w:t>”); provided that</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half of the expenses of a Buyer Participated Audit shall be borne by Buyer (as such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6" w:name="page87"/>
    <w:bookmarkEnd w:id="86"/>
    <w:p>
      <w:pPr>
        <w:jc w:val="both"/>
        <w:spacing w:after="0" w:line="297" w:lineRule="auto"/>
        <w:rPr>
          <w:sz w:val="20"/>
          <w:szCs w:val="20"/>
          <w:color w:val="auto"/>
        </w:rPr>
      </w:pPr>
      <w:r>
        <w:rPr>
          <w:rFonts w:ascii="Arial" w:cs="Arial" w:eastAsia="Arial" w:hAnsi="Arial"/>
          <w:sz w:val="19"/>
          <w:szCs w:val="19"/>
          <w:color w:val="auto"/>
        </w:rPr>
        <w:t>are incurred) and (B) if, following the completion of such an examination, Medexus reimburses Seller for the costs of such examination pursuant to Section 1.5(d) or Section 1.6(a)(iii) of the Sale Agreement, Seller shall promptly (and in any event within five Business Days of receipt by Seller of such reimbursement), remit 50% of the amount of such reimbursement to Buyer.</w:t>
      </w:r>
    </w:p>
    <w:p>
      <w:pPr>
        <w:spacing w:after="0" w:line="13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Amendment of Sale Agreement</w:t>
      </w:r>
      <w:r>
        <w:rPr>
          <w:rFonts w:ascii="Arial" w:cs="Arial" w:eastAsia="Arial" w:hAnsi="Arial"/>
          <w:sz w:val="19"/>
          <w:szCs w:val="19"/>
          <w:color w:val="auto"/>
        </w:rPr>
        <w:t>. Seller shall provide Buyer a copy of any proposed amendment, supplement, modification or waiver (a “</w:t>
      </w:r>
      <w:r>
        <w:rPr>
          <w:rFonts w:ascii="Arial" w:cs="Arial" w:eastAsia="Arial" w:hAnsi="Arial"/>
          <w:sz w:val="19"/>
          <w:szCs w:val="19"/>
          <w:u w:val="single" w:color="auto"/>
          <w:color w:val="auto"/>
        </w:rPr>
        <w:t>Modification</w:t>
      </w:r>
      <w:r>
        <w:rPr>
          <w:rFonts w:ascii="Arial" w:cs="Arial" w:eastAsia="Arial" w:hAnsi="Arial"/>
          <w:sz w:val="19"/>
          <w:szCs w:val="19"/>
          <w:color w:val="auto"/>
        </w:rPr>
        <w:t>”) of any provision of the Sale Agreement as soon as practicable and in any event not less than five Business Days prior to the date Seller proposes to execute such Modification. Seller shall not, without the prior written consent of Buyer (such consent not to be unreasonably withheld or delayed), execute or agree to execute any proposed Modification. Promptly, and in any event within five Business Days, following receipt by Seller of a fully executed Modification of the Sale Agreement, Seller shall furnish a true, correct, and complete copy of such Modification to Buyer.</w:t>
      </w:r>
    </w:p>
    <w:p>
      <w:pPr>
        <w:spacing w:after="0" w:line="150"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Enforcement of Sale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8" w:lineRule="auto"/>
        <w:tabs>
          <w:tab w:leader="none" w:pos="2211" w:val="left"/>
        </w:tabs>
        <w:numPr>
          <w:ilvl w:val="0"/>
          <w:numId w:val="56"/>
        </w:numPr>
        <w:rPr>
          <w:rFonts w:ascii="Arial" w:cs="Arial" w:eastAsia="Arial" w:hAnsi="Arial"/>
          <w:sz w:val="21"/>
          <w:szCs w:val="21"/>
          <w:color w:val="auto"/>
        </w:rPr>
      </w:pPr>
      <w:r>
        <w:rPr>
          <w:rFonts w:ascii="Arial" w:cs="Arial" w:eastAsia="Arial" w:hAnsi="Arial"/>
          <w:sz w:val="21"/>
          <w:szCs w:val="21"/>
          <w:i w:val="1"/>
          <w:iCs w:val="1"/>
          <w:color w:val="auto"/>
        </w:rPr>
        <w:t>Notice of Medexus Breaches</w:t>
      </w:r>
      <w:r>
        <w:rPr>
          <w:rFonts w:ascii="Arial" w:cs="Arial" w:eastAsia="Arial" w:hAnsi="Arial"/>
          <w:sz w:val="21"/>
          <w:szCs w:val="21"/>
          <w:color w:val="auto"/>
        </w:rPr>
        <w:t>. Promptly, and in any event within five Business Days after Seller</w:t>
      </w:r>
      <w:r>
        <w:rPr>
          <w:rFonts w:ascii="Arial" w:cs="Arial" w:eastAsia="Arial" w:hAnsi="Arial"/>
          <w:sz w:val="21"/>
          <w:szCs w:val="21"/>
          <w:i w:val="1"/>
          <w:iCs w:val="1"/>
          <w:color w:val="auto"/>
        </w:rPr>
        <w:t xml:space="preserve"> </w:t>
      </w:r>
      <w:r>
        <w:rPr>
          <w:rFonts w:ascii="Arial" w:cs="Arial" w:eastAsia="Arial" w:hAnsi="Arial"/>
          <w:sz w:val="21"/>
          <w:szCs w:val="21"/>
          <w:color w:val="auto"/>
        </w:rPr>
        <w:t>becoming aware of a material breach of, or a material alleged breach of, the Sale Agreement by Medexus that relates to the Purchased Receivables, Seller shall promptly (but in any event within five Business Days) provide notice of such breach to Buyer describing in reasonable detail the relevant breach. In addition, Seller shall provide Buyer a copy of any written notice of such breach or such alleged breach of the Sale Agreement that relates to the Purchased Receivables as soon as practicable and in any event not less than five Business Days following such delivery.</w:t>
      </w:r>
    </w:p>
    <w:p>
      <w:pPr>
        <w:spacing w:after="0" w:line="176" w:lineRule="exact"/>
        <w:rPr>
          <w:rFonts w:ascii="Arial" w:cs="Arial" w:eastAsia="Arial" w:hAnsi="Arial"/>
          <w:sz w:val="21"/>
          <w:szCs w:val="21"/>
          <w:color w:val="auto"/>
        </w:rPr>
      </w:pPr>
    </w:p>
    <w:p>
      <w:pPr>
        <w:ind w:left="2180" w:hanging="675"/>
        <w:spacing w:after="0"/>
        <w:tabs>
          <w:tab w:leader="none" w:pos="2180"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Enforcement of Sale Agreement</w:t>
      </w:r>
      <w:r>
        <w:rPr>
          <w:rFonts w:ascii="Arial" w:cs="Arial" w:eastAsia="Arial" w:hAnsi="Arial"/>
          <w:sz w:val="19"/>
          <w:szCs w:val="19"/>
          <w:color w:val="auto"/>
        </w:rPr>
        <w:t>. Seller shall consult with Buyer regarding the breach event referred to</w:t>
      </w:r>
    </w:p>
    <w:p>
      <w:pPr>
        <w:spacing w:after="0" w:line="42"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in Section‎ 7.6(a) and as to the timing, manner and conduct of any enforcement of Medexus’s obligations under the Sale Agreement relating thereto. Following such consultation, Seller shall, as reasonably instructed by Buyer, exercise such rights and remedies relating to such breach as shall be available to Seller, whether under the Sale Agreement or by operation of Applicable Law, and use Commercially Reasonable Efforts to enforce compliance by Medexus with the relevant provisions of the Sale Agreement. In connection with any enforcement of Medexus’s obligations under the Sale Agreement pursuant to this Section‎</w:t>
      </w:r>
    </w:p>
    <w:p>
      <w:pPr>
        <w:spacing w:after="0" w:line="4" w:lineRule="exact"/>
        <w:rPr>
          <w:rFonts w:ascii="Arial" w:cs="Arial" w:eastAsia="Arial" w:hAnsi="Arial"/>
          <w:sz w:val="19"/>
          <w:szCs w:val="19"/>
          <w:color w:val="auto"/>
        </w:rPr>
      </w:pPr>
    </w:p>
    <w:p>
      <w:pPr>
        <w:jc w:val="both"/>
        <w:spacing w:after="0" w:line="280" w:lineRule="auto"/>
        <w:rPr>
          <w:rFonts w:ascii="Arial" w:cs="Arial" w:eastAsia="Arial" w:hAnsi="Arial"/>
          <w:sz w:val="19"/>
          <w:szCs w:val="19"/>
          <w:color w:val="auto"/>
        </w:rPr>
      </w:pPr>
      <w:r>
        <w:rPr>
          <w:rFonts w:ascii="Arial" w:cs="Arial" w:eastAsia="Arial" w:hAnsi="Arial"/>
          <w:sz w:val="19"/>
          <w:szCs w:val="19"/>
          <w:color w:val="auto"/>
        </w:rPr>
        <w:t>7.6, Seller shall employ such counsel as Buyer shall recommend for such purpose (as long as such counsel is reasonably acceptable to Seller), and shall provide Buyer with access to such counsel for such purpose. Seller agrees to keep Buyer reasonably informed of any such enforcement and to provide copies as soon as practicable, but in any event within five Business Days following Seller’s receipt or delivery of any and all filings, notices and written communications relating thereto.</w:t>
      </w:r>
    </w:p>
    <w:p>
      <w:pPr>
        <w:spacing w:after="0" w:line="150" w:lineRule="exact"/>
        <w:rPr>
          <w:rFonts w:ascii="Arial" w:cs="Arial" w:eastAsia="Arial" w:hAnsi="Arial"/>
          <w:sz w:val="19"/>
          <w:szCs w:val="19"/>
          <w:color w:val="auto"/>
        </w:rPr>
      </w:pPr>
    </w:p>
    <w:p>
      <w:pPr>
        <w:ind w:left="2180" w:hanging="675"/>
        <w:spacing w:after="0"/>
        <w:tabs>
          <w:tab w:leader="none" w:pos="2180"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Allocation of Proceeds and Costs of Enforcement</w:t>
      </w:r>
      <w:r>
        <w:rPr>
          <w:rFonts w:ascii="Arial" w:cs="Arial" w:eastAsia="Arial" w:hAnsi="Arial"/>
          <w:sz w:val="19"/>
          <w:szCs w:val="19"/>
          <w:color w:val="auto"/>
        </w:rPr>
        <w:t>.  The proceeds from any enforcement of Medexus’s</w:t>
      </w:r>
    </w:p>
    <w:p>
      <w:pPr>
        <w:spacing w:after="0" w:line="42"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obligations under the Sale Agreement pursuant to this Section‎ 7.6, after deduction of all costs and expenses (including reasonable and documented attorneys’ fees and expenses) incurred by Seller in connection with such enforcement, shall be, promptly (and in any event within five Business Days) following the receipt of such proceeds, allocated to Buyer and Seller in proportion to their respective interests in the Receivables. All costs and expenses (including reasonable and documented attorneys’ fees and</w:t>
      </w:r>
    </w:p>
    <w:p>
      <w:pPr>
        <w:spacing w:after="0" w:line="3"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expenses) of any enforcement of Medexus’s obligations under the Sale Agreement pursuant to this Section‎ 7.6 (other than any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jc w:val="both"/>
        <w:spacing w:after="0" w:line="275" w:lineRule="auto"/>
        <w:rPr>
          <w:sz w:val="20"/>
          <w:szCs w:val="20"/>
          <w:color w:val="auto"/>
        </w:rPr>
      </w:pPr>
      <w:r>
        <w:rPr>
          <w:rFonts w:ascii="Arial" w:cs="Arial" w:eastAsia="Arial" w:hAnsi="Arial"/>
          <w:sz w:val="19"/>
          <w:szCs w:val="19"/>
          <w:color w:val="auto"/>
        </w:rPr>
        <w:t>and expenses of Seller that are satisfied out of the proceeds of such enforcement) shall be borne by [***]. Buyer shall fund any retainers or advances required by the counsel employed for such enforcement (such amounts to be credited or deducted from the actual amounts owed by Buyer under the immediately preceding sentence) and Buyer shall promptly reimburse Seller for any of Seller’s costs or expenses that are not satisfied out of the proceeds of such enforcement; provided, however, that such out-of-pocket costs and expenses (including the fees and expenses of Seller’s counsel) shall be borne solely by Seller if such breach or termination event results from a breach of the Sale Agreement by Seller. Nothing contained herein shall limit Buyer from retaining, at its sole cost, separate outside counsel who shall be permitted, where reasonably practical, to consult with the lead counsel selected pursuant to Section‎ 7.6(b) for such enforcement.</w:t>
      </w:r>
    </w:p>
    <w:p>
      <w:pPr>
        <w:spacing w:after="0" w:line="15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7.7 </w:t>
      </w:r>
      <w:r>
        <w:rPr>
          <w:rFonts w:ascii="Arial" w:cs="Arial" w:eastAsia="Arial" w:hAnsi="Arial"/>
          <w:sz w:val="21"/>
          <w:szCs w:val="21"/>
          <w:u w:val="single" w:color="auto"/>
          <w:color w:val="auto"/>
        </w:rPr>
        <w:t>Preservation of Rights; Assignments</w:t>
      </w:r>
      <w:r>
        <w:rPr>
          <w:rFonts w:ascii="Arial" w:cs="Arial" w:eastAsia="Arial" w:hAnsi="Arial"/>
          <w:sz w:val="21"/>
          <w:szCs w:val="21"/>
          <w:color w:val="auto"/>
        </w:rPr>
        <w:t>. Seller shall not hereafter sell, transfer, hypothecate, delegate, assign or in any manner convey or mortgage, pledge or grant a security interest or other encumbrance of any kind in any of its rights, title or interest in and to, or duties under, the Purchased Receivables. Promptly, and in any event within five Business Days following receipt by Seller of a written request from Medexus for consent to assign or prior written notice of an assignment of the Sale Agreement (in whole or in part), Seller shall provide notice thereof to Buyer. Promptly (and in any event no later than five Business Days) following Seller’s receipt of any fully executed assignment of the Sale Agreement by Medexus, Seller shall furnish a copy of such assignment to Buyer.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VIII</w:t>
      </w:r>
    </w:p>
    <w:p>
      <w:pPr>
        <w:spacing w:after="0" w:line="233"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INDEMNIFICATION</w:t>
      </w:r>
    </w:p>
    <w:p>
      <w:pPr>
        <w:spacing w:after="0" w:line="20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Obligation of Parties to Indemnify</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36" w:lineRule="auto"/>
        <w:tabs>
          <w:tab w:leader="none" w:pos="2170"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Indemnification by Seller</w:t>
      </w:r>
      <w:r>
        <w:rPr>
          <w:rFonts w:ascii="Arial" w:cs="Arial" w:eastAsia="Arial" w:hAnsi="Arial"/>
          <w:sz w:val="22"/>
          <w:szCs w:val="22"/>
          <w:color w:val="auto"/>
        </w:rPr>
        <w:t>. Subject to the limitations set forth in this ARTICLE‎ VIII, from and after the</w:t>
      </w:r>
      <w:r>
        <w:rPr>
          <w:rFonts w:ascii="Arial" w:cs="Arial" w:eastAsia="Arial" w:hAnsi="Arial"/>
          <w:sz w:val="22"/>
          <w:szCs w:val="22"/>
          <w:i w:val="1"/>
          <w:iCs w:val="1"/>
          <w:color w:val="auto"/>
        </w:rPr>
        <w:t xml:space="preserve"> </w:t>
      </w:r>
      <w:r>
        <w:rPr>
          <w:rFonts w:ascii="Arial" w:cs="Arial" w:eastAsia="Arial" w:hAnsi="Arial"/>
          <w:sz w:val="22"/>
          <w:szCs w:val="22"/>
          <w:color w:val="auto"/>
        </w:rPr>
        <w:t>Closing, Seller shall indemnify Buyer, its Affiliates, and their Representatives (each, a “</w:t>
      </w:r>
      <w:r>
        <w:rPr>
          <w:rFonts w:ascii="Arial" w:cs="Arial" w:eastAsia="Arial" w:hAnsi="Arial"/>
          <w:sz w:val="22"/>
          <w:szCs w:val="22"/>
          <w:u w:val="single" w:color="auto"/>
          <w:color w:val="auto"/>
        </w:rPr>
        <w:t>Buyer Indemnified Party</w:t>
      </w:r>
      <w:r>
        <w:rPr>
          <w:rFonts w:ascii="Arial" w:cs="Arial" w:eastAsia="Arial" w:hAnsi="Arial"/>
          <w:sz w:val="22"/>
          <w:szCs w:val="22"/>
          <w:color w:val="auto"/>
        </w:rPr>
        <w:t>)” against any and all losses, liabilities, expenses (including reasonable attorneys’ fees and expenses in connection with any third party action, suit or proceeding) and damages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incurred by such Buyer Indemnified Party, to the extent arising or resulting from any of the following:</w:t>
      </w:r>
    </w:p>
    <w:p>
      <w:pPr>
        <w:spacing w:after="0" w:line="187" w:lineRule="exact"/>
        <w:rPr>
          <w:sz w:val="20"/>
          <w:szCs w:val="20"/>
          <w:color w:val="auto"/>
        </w:rPr>
      </w:pPr>
    </w:p>
    <w:p>
      <w:pPr>
        <w:ind w:left="2160" w:hanging="655"/>
        <w:spacing w:after="0"/>
        <w:tabs>
          <w:tab w:leader="none" w:pos="21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Seller in the Transaction Documents;</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breach of any covenant or agreement of Seller contained in the Transaction Documents; and</w:t>
      </w:r>
    </w:p>
    <w:p>
      <w:pPr>
        <w:spacing w:after="0" w:line="217" w:lineRule="exact"/>
        <w:rPr>
          <w:rFonts w:ascii="Arial" w:cs="Arial" w:eastAsia="Arial" w:hAnsi="Arial"/>
          <w:sz w:val="21"/>
          <w:szCs w:val="21"/>
          <w:color w:val="auto"/>
        </w:rPr>
      </w:pPr>
    </w:p>
    <w:p>
      <w:pPr>
        <w:ind w:left="2160" w:hanging="655"/>
        <w:spacing w:after="0"/>
        <w:tabs>
          <w:tab w:leader="none" w:pos="21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Excluded Assets and the Excluded Liabilities and Obligations.</w:t>
      </w:r>
    </w:p>
    <w:p>
      <w:pPr>
        <w:spacing w:after="0" w:line="206" w:lineRule="exact"/>
        <w:rPr>
          <w:sz w:val="20"/>
          <w:szCs w:val="20"/>
          <w:color w:val="auto"/>
        </w:rPr>
      </w:pPr>
    </w:p>
    <w:p>
      <w:pPr>
        <w:jc w:val="both"/>
        <w:ind w:firstLine="1505"/>
        <w:spacing w:after="0" w:line="297" w:lineRule="auto"/>
        <w:tabs>
          <w:tab w:leader="none" w:pos="2169" w:val="left"/>
        </w:tabs>
        <w:numPr>
          <w:ilvl w:val="0"/>
          <w:numId w:val="59"/>
        </w:numPr>
        <w:rPr>
          <w:rFonts w:ascii="Arial" w:cs="Arial" w:eastAsia="Arial" w:hAnsi="Arial"/>
          <w:sz w:val="19"/>
          <w:szCs w:val="19"/>
          <w:color w:val="auto"/>
        </w:rPr>
      </w:pPr>
      <w:r>
        <w:rPr>
          <w:rFonts w:ascii="Arial" w:cs="Arial" w:eastAsia="Arial" w:hAnsi="Arial"/>
          <w:sz w:val="19"/>
          <w:szCs w:val="19"/>
          <w:i w:val="1"/>
          <w:iCs w:val="1"/>
          <w:color w:val="auto"/>
        </w:rPr>
        <w:t>Indemnification by Buyer</w:t>
      </w:r>
      <w:r>
        <w:rPr>
          <w:rFonts w:ascii="Arial" w:cs="Arial" w:eastAsia="Arial" w:hAnsi="Arial"/>
          <w:sz w:val="19"/>
          <w:szCs w:val="19"/>
          <w:color w:val="auto"/>
        </w:rPr>
        <w:t>. Subject to the limitations set forth in this ARTICLE‎ VIII, from and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Closing, Buyer shall indemnify Seller, its Affiliates, and their Representatives (each, a “</w:t>
      </w:r>
      <w:r>
        <w:rPr>
          <w:rFonts w:ascii="Arial" w:cs="Arial" w:eastAsia="Arial" w:hAnsi="Arial"/>
          <w:sz w:val="19"/>
          <w:szCs w:val="19"/>
          <w:u w:val="single" w:color="auto"/>
          <w:color w:val="auto"/>
        </w:rPr>
        <w:t>Seller Indemnified Party</w:t>
      </w:r>
      <w:r>
        <w:rPr>
          <w:rFonts w:ascii="Arial" w:cs="Arial" w:eastAsia="Arial" w:hAnsi="Arial"/>
          <w:sz w:val="19"/>
          <w:szCs w:val="19"/>
          <w:color w:val="auto"/>
        </w:rPr>
        <w:t>”) against any and all Losses incurred by such Seller Indemnified Party, to the extent arising or resulting from any of the following: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ind w:left="2160" w:hanging="655"/>
        <w:spacing w:after="0"/>
        <w:tabs>
          <w:tab w:leader="none" w:pos="21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breach of any representation or warranty made by Buyer in the Transaction Documents; and</w:t>
      </w:r>
    </w:p>
    <w:p>
      <w:pPr>
        <w:spacing w:after="0" w:line="217" w:lineRule="exact"/>
        <w:rPr>
          <w:rFonts w:ascii="Arial" w:cs="Arial" w:eastAsia="Arial" w:hAnsi="Arial"/>
          <w:sz w:val="21"/>
          <w:szCs w:val="21"/>
          <w:color w:val="auto"/>
        </w:rPr>
      </w:pPr>
    </w:p>
    <w:p>
      <w:pPr>
        <w:ind w:left="760" w:right="1100" w:firstLine="745"/>
        <w:spacing w:after="0" w:line="435" w:lineRule="auto"/>
        <w:tabs>
          <w:tab w:leader="none" w:pos="2171"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any breach of any covenant or agreement of Buyer contained in the Transaction Documents. Section 8.2 </w:t>
      </w:r>
      <w:r>
        <w:rPr>
          <w:rFonts w:ascii="Arial" w:cs="Arial" w:eastAsia="Arial" w:hAnsi="Arial"/>
          <w:sz w:val="22"/>
          <w:szCs w:val="22"/>
          <w:u w:val="single" w:color="auto"/>
          <w:color w:val="auto"/>
        </w:rPr>
        <w:t>Procedures Relating to Indemnification for Third Party Claims</w:t>
      </w:r>
      <w:r>
        <w:rPr>
          <w:rFonts w:ascii="Arial" w:cs="Arial" w:eastAsia="Arial" w:hAnsi="Arial"/>
          <w:sz w:val="22"/>
          <w:szCs w:val="22"/>
          <w:color w:val="auto"/>
        </w:rPr>
        <w:t>.</w:t>
      </w:r>
    </w:p>
    <w:p>
      <w:pPr>
        <w:spacing w:after="0" w:line="1" w:lineRule="exact"/>
        <w:rPr>
          <w:sz w:val="20"/>
          <w:szCs w:val="20"/>
          <w:color w:val="auto"/>
        </w:rPr>
      </w:pPr>
    </w:p>
    <w:p>
      <w:pPr>
        <w:ind w:left="2220" w:hanging="715"/>
        <w:spacing w:after="0"/>
        <w:tabs>
          <w:tab w:leader="none" w:pos="222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Notice of Third Party Claim</w:t>
      </w:r>
      <w:r>
        <w:rPr>
          <w:rFonts w:ascii="Arial" w:cs="Arial" w:eastAsia="Arial" w:hAnsi="Arial"/>
          <w:sz w:val="22"/>
          <w:szCs w:val="22"/>
          <w:color w:val="auto"/>
        </w:rPr>
        <w:t>.  In order for a party (an “</w:t>
      </w:r>
      <w:r>
        <w:rPr>
          <w:rFonts w:ascii="Arial" w:cs="Arial" w:eastAsia="Arial" w:hAnsi="Arial"/>
          <w:sz w:val="22"/>
          <w:szCs w:val="22"/>
          <w:u w:val="single" w:color="auto"/>
          <w:color w:val="auto"/>
        </w:rPr>
        <w:t>Indemnified Party</w:t>
      </w:r>
      <w:r>
        <w:rPr>
          <w:rFonts w:ascii="Arial" w:cs="Arial" w:eastAsia="Arial" w:hAnsi="Arial"/>
          <w:sz w:val="22"/>
          <w:szCs w:val="22"/>
          <w:color w:val="auto"/>
        </w:rPr>
        <w:t>”) to be entitled to any</w:t>
      </w:r>
    </w:p>
    <w:p>
      <w:pPr>
        <w:spacing w:after="0" w:line="8" w:lineRule="exact"/>
        <w:rPr>
          <w:rFonts w:ascii="Arial" w:cs="Arial" w:eastAsia="Arial" w:hAnsi="Arial"/>
          <w:sz w:val="22"/>
          <w:szCs w:val="22"/>
          <w:color w:val="auto"/>
        </w:rPr>
      </w:pPr>
    </w:p>
    <w:p>
      <w:pPr>
        <w:jc w:val="both"/>
        <w:spacing w:after="0" w:line="266" w:lineRule="auto"/>
        <w:rPr>
          <w:rFonts w:ascii="Arial" w:cs="Arial" w:eastAsia="Arial" w:hAnsi="Arial"/>
          <w:sz w:val="22"/>
          <w:szCs w:val="22"/>
          <w:color w:val="auto"/>
        </w:rPr>
      </w:pPr>
      <w:r>
        <w:rPr>
          <w:rFonts w:ascii="Arial" w:cs="Arial" w:eastAsia="Arial" w:hAnsi="Arial"/>
          <w:sz w:val="19"/>
          <w:szCs w:val="19"/>
          <w:color w:val="auto"/>
        </w:rPr>
        <w:t>indemnification under this ARTICLE‎ VIII in respect of Losses arising out of or involving a claim or demand made by any Person other than Buyer or Seller against a Buyer Indemnified Party or a Seller Indemnified Party, as applicable (a “</w:t>
      </w:r>
      <w:r>
        <w:rPr>
          <w:rFonts w:ascii="Arial" w:cs="Arial" w:eastAsia="Arial" w:hAnsi="Arial"/>
          <w:sz w:val="19"/>
          <w:szCs w:val="19"/>
          <w:u w:val="single" w:color="auto"/>
          <w:color w:val="auto"/>
        </w:rPr>
        <w:t>Third Party Claim</w:t>
      </w:r>
      <w:r>
        <w:rPr>
          <w:rFonts w:ascii="Arial" w:cs="Arial" w:eastAsia="Arial" w:hAnsi="Arial"/>
          <w:sz w:val="19"/>
          <w:szCs w:val="19"/>
          <w:color w:val="auto"/>
        </w:rPr>
        <w:t>”),</w:t>
      </w:r>
    </w:p>
    <w:p>
      <w:pPr>
        <w:spacing w:after="0" w:line="1" w:lineRule="exact"/>
        <w:rPr>
          <w:rFonts w:ascii="Arial" w:cs="Arial" w:eastAsia="Arial" w:hAnsi="Arial"/>
          <w:sz w:val="22"/>
          <w:szCs w:val="22"/>
          <w:color w:val="auto"/>
        </w:rPr>
      </w:pPr>
    </w:p>
    <w:p>
      <w:pPr>
        <w:jc w:val="both"/>
        <w:spacing w:after="0" w:line="266" w:lineRule="auto"/>
        <w:rPr>
          <w:rFonts w:ascii="Arial" w:cs="Arial" w:eastAsia="Arial" w:hAnsi="Arial"/>
          <w:sz w:val="22"/>
          <w:szCs w:val="22"/>
          <w:color w:val="auto"/>
        </w:rPr>
      </w:pPr>
      <w:r>
        <w:rPr>
          <w:rFonts w:ascii="Arial" w:cs="Arial" w:eastAsia="Arial" w:hAnsi="Arial"/>
          <w:sz w:val="19"/>
          <w:szCs w:val="19"/>
          <w:color w:val="auto"/>
        </w:rPr>
        <w:t>the Indemnified Party must notify the party from whom indemnification is sought under this ARTICLE‎ VIII (the “</w:t>
      </w:r>
      <w:r>
        <w:rPr>
          <w:rFonts w:ascii="Arial" w:cs="Arial" w:eastAsia="Arial" w:hAnsi="Arial"/>
          <w:sz w:val="19"/>
          <w:szCs w:val="19"/>
          <w:u w:val="single" w:color="auto"/>
          <w:color w:val="auto"/>
        </w:rPr>
        <w:t>Indemnifying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promptly in writing (including in such notice a brief description of the Third Party Claim, including damages sought or estimated, to the extent actually known or reasonably capable of estimation by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2" w:lineRule="exact"/>
        <w:rPr>
          <w:rFonts w:ascii="Arial" w:cs="Arial" w:eastAsia="Arial" w:hAnsi="Arial"/>
          <w:sz w:val="22"/>
          <w:szCs w:val="22"/>
          <w:color w:val="auto"/>
        </w:rPr>
      </w:pPr>
    </w:p>
    <w:p>
      <w:pPr>
        <w:jc w:val="both"/>
        <w:spacing w:after="0" w:line="233" w:lineRule="auto"/>
        <w:rPr>
          <w:rFonts w:ascii="Arial" w:cs="Arial" w:eastAsia="Arial" w:hAnsi="Arial"/>
          <w:sz w:val="22"/>
          <w:szCs w:val="22"/>
          <w:color w:val="auto"/>
        </w:rPr>
      </w:pPr>
      <w:r>
        <w:rPr>
          <w:rFonts w:ascii="Arial" w:cs="Arial" w:eastAsia="Arial" w:hAnsi="Arial"/>
          <w:sz w:val="22"/>
          <w:szCs w:val="22"/>
          <w:color w:val="auto"/>
        </w:rPr>
        <w:t>the failure to promptly provide such notice shall not affect the indemnification provided under this ARTICLE‎ VIII except to the extent that the Indemnifying Party has been actually prejudiced as a result of such failure. Thereafter, the Indemnified Party shall deliver to the Indemnifying Party, promptly after the Indemnified Party’s receipt thereof, copies of all documents (including court papers) received by the Indemnified Party relating to the Third Party Claim.</w:t>
      </w:r>
    </w:p>
    <w:p>
      <w:pPr>
        <w:spacing w:after="0" w:line="187" w:lineRule="exact"/>
        <w:rPr>
          <w:rFonts w:ascii="Arial" w:cs="Arial" w:eastAsia="Arial" w:hAnsi="Arial"/>
          <w:sz w:val="22"/>
          <w:szCs w:val="22"/>
          <w:color w:val="auto"/>
        </w:rPr>
      </w:pPr>
    </w:p>
    <w:p>
      <w:pPr>
        <w:jc w:val="both"/>
        <w:ind w:firstLine="1505"/>
        <w:spacing w:after="0" w:line="271" w:lineRule="auto"/>
        <w:tabs>
          <w:tab w:leader="none" w:pos="2165" w:val="left"/>
        </w:tabs>
        <w:numPr>
          <w:ilvl w:val="0"/>
          <w:numId w:val="61"/>
        </w:numPr>
        <w:rPr>
          <w:rFonts w:ascii="Arial" w:cs="Arial" w:eastAsia="Arial" w:hAnsi="Arial"/>
          <w:sz w:val="19"/>
          <w:szCs w:val="19"/>
          <w:color w:val="auto"/>
        </w:rPr>
      </w:pPr>
      <w:r>
        <w:rPr>
          <w:rFonts w:ascii="Arial" w:cs="Arial" w:eastAsia="Arial" w:hAnsi="Arial"/>
          <w:sz w:val="19"/>
          <w:szCs w:val="19"/>
          <w:i w:val="1"/>
          <w:iCs w:val="1"/>
          <w:color w:val="auto"/>
        </w:rPr>
        <w:t>Defense of Third Party Claims</w:t>
      </w:r>
      <w:r>
        <w:rPr>
          <w:rFonts w:ascii="Arial" w:cs="Arial" w:eastAsia="Arial" w:hAnsi="Arial"/>
          <w:sz w:val="19"/>
          <w:szCs w:val="19"/>
          <w:color w:val="auto"/>
        </w:rPr>
        <w:t>. The Indemnifying Party shall be entitled to participate in the defense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Third Party Claim and, if it so chooses, to assume the defense thereof, at its own expense, with counsel selected by the Indemnifying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counsel is not reasonably objected to by the Indemnified Party. If the Indemnifying Party elects to assume the defense of any Third Party Claim, the Indemnifying Party shall not be liable to the Indemnified Party for legal expenses subsequently incurred by the Indemnified Party in connection with the defense thereof, except that, if the Indemnifying Party and the Indemnified Party have conflicting interests or different defenses available with respect to such Third Party Claim, the Indemnified Party may hire its own separate counsel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counsel is not reasonably objected to by the Indemnifying Party) with respect to such Third Party Claim and the related action or suit, and the reasonable fees and expenses of such counsel shall be considered Losses for purposes of this Agreement. The Indemnifying Party shall permit the Indemnified Party to participate in, but not control, the defense of any such action or suit through counsel chosen by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counsel is not reasonably objected to by the Indemnifying Party and, except in the circumstances described in the immediately preceding sentence, the fees and expenses of such counsel shall be borne by the Indemnified Party. The Indemnifying Party shall be liable for the reasonable fees and expenses of counsel employed by the Indemnified Party in the defense of a Third Party Claim (which shall all be considered Losses for purposes of this Agreement) for any period during which the Indemnifying Party has not assumed the defense thereof (other than during the period prior to the time the Indemnified Party shall have notified the Indemnifying Party of such Third Party Claim).</w:t>
      </w:r>
    </w:p>
    <w:p>
      <w:pPr>
        <w:spacing w:after="0" w:line="156" w:lineRule="exact"/>
        <w:rPr>
          <w:rFonts w:ascii="Arial" w:cs="Arial" w:eastAsia="Arial" w:hAnsi="Arial"/>
          <w:sz w:val="19"/>
          <w:szCs w:val="19"/>
          <w:color w:val="auto"/>
        </w:rPr>
      </w:pPr>
    </w:p>
    <w:p>
      <w:pPr>
        <w:jc w:val="both"/>
        <w:ind w:firstLine="1505"/>
        <w:spacing w:after="0"/>
        <w:tabs>
          <w:tab w:leader="none" w:pos="2165"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Cooperation</w:t>
      </w:r>
      <w:r>
        <w:rPr>
          <w:rFonts w:ascii="Arial" w:cs="Arial" w:eastAsia="Arial" w:hAnsi="Arial"/>
          <w:sz w:val="22"/>
          <w:szCs w:val="22"/>
          <w:color w:val="auto"/>
        </w:rPr>
        <w:t>. The parties hereto shall cooperate in the defense or prosecution of any Third Party Claim,</w:t>
      </w:r>
      <w:r>
        <w:rPr>
          <w:rFonts w:ascii="Arial" w:cs="Arial" w:eastAsia="Arial" w:hAnsi="Arial"/>
          <w:sz w:val="22"/>
          <w:szCs w:val="22"/>
          <w:i w:val="1"/>
          <w:iCs w:val="1"/>
          <w:color w:val="auto"/>
        </w:rPr>
        <w:t xml:space="preserve"> </w:t>
      </w:r>
      <w:r>
        <w:rPr>
          <w:rFonts w:ascii="Arial" w:cs="Arial" w:eastAsia="Arial" w:hAnsi="Arial"/>
          <w:sz w:val="22"/>
          <w:szCs w:val="22"/>
          <w:color w:val="auto"/>
        </w:rPr>
        <w:t>with such cooperation to include (i) the retention of and the provision to the Indemnifying Party of records and information that are reasonably relevant to such Third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jc w:val="both"/>
        <w:spacing w:after="0" w:line="245" w:lineRule="auto"/>
        <w:rPr>
          <w:sz w:val="20"/>
          <w:szCs w:val="20"/>
          <w:color w:val="auto"/>
        </w:rPr>
      </w:pPr>
      <w:r>
        <w:rPr>
          <w:rFonts w:ascii="Arial" w:cs="Arial" w:eastAsia="Arial" w:hAnsi="Arial"/>
          <w:sz w:val="21"/>
          <w:szCs w:val="21"/>
          <w:color w:val="auto"/>
        </w:rPr>
        <w:t>Party Claim and (ii) the making available of employees on a mutually convenient basis for providing additional information and explanation of any material provided hereunder. Neither the Indemnified Party nor the Indemnifying Party shall consent (such consent not to be unreasonably withheld or delayed) to the entry of any judgment, settlement, compromise or discharge of such Third Party Claim without the prior written consent of the other; provided that the consent of the Indemnified Party shall not be required if such judgment, settlement, compromise or discharge (A) does not involve any non-monetary penalties (other than customary and reasonable confidentiality obligations relating to such claim, judgment, settlement, compromise or discharge), (B) results in the complete and unconditional release of the Indemnified Party from all liabilities arising out of, relating to or in connection with such Third Party Claim and (C) does not involve a finding or admission of any fault, culpability, failure to act, violation of any law, rule, regulation or judgment, or the rights of any Person, and has no effect on any other claims that may be made against the Indemnified Party.</w:t>
      </w:r>
    </w:p>
    <w:p>
      <w:pPr>
        <w:spacing w:after="0" w:line="181" w:lineRule="exact"/>
        <w:rPr>
          <w:sz w:val="20"/>
          <w:szCs w:val="20"/>
          <w:color w:val="auto"/>
        </w:rPr>
      </w:pPr>
    </w:p>
    <w:p>
      <w:pPr>
        <w:ind w:left="760"/>
        <w:spacing w:after="0"/>
        <w:tabs>
          <w:tab w:leader="none" w:pos="2220" w:val="left"/>
          <w:tab w:leader="none" w:pos="760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22"/>
          <w:szCs w:val="22"/>
          <w:u w:val="single" w:color="auto"/>
          <w:color w:val="auto"/>
        </w:rPr>
        <w:t>Procedures Relating to Indemnification for Other Claims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In order for an Indemnified Party to be</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entitled to any indemnification under this ‎ARTICLE VIII in respect of Losses that do not arise out of or involve a Third Party Claim, the Indemnified Party must notify the Indemnifying Party promptly in writing (including in such notice a brief description of the claim for indemnification and the Loss, including damages sought or estimated, to the extent actually known or reasonably capable of estimation by the Indemnified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failure to promptly provide such notice shall not affect the indemnification provided under this ‎ARTICLE VIII except to the extent that the Indemnifying Party has been actually prejudiced as a result of such failure.</w:t>
      </w:r>
    </w:p>
    <w:p>
      <w:pPr>
        <w:spacing w:after="0" w:line="189" w:lineRule="exact"/>
        <w:rPr>
          <w:sz w:val="20"/>
          <w:szCs w:val="20"/>
          <w:color w:val="auto"/>
        </w:rPr>
      </w:pPr>
    </w:p>
    <w:p>
      <w:pPr>
        <w:ind w:left="760"/>
        <w:spacing w:after="0"/>
        <w:tabs>
          <w:tab w:leader="none" w:pos="2240" w:val="left"/>
          <w:tab w:leader="none" w:pos="530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22"/>
          <w:szCs w:val="22"/>
          <w:u w:val="single" w:color="auto"/>
          <w:color w:val="auto"/>
        </w:rPr>
        <w:t>Limitations on Indemnification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Notwithstanding anything in this Agreement to the contrary, the</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aggregate amount of all Losses for which Seller or Buyer shall be liable hereunder pursuant to Section‎ 8.1(a)(i) or Section‎ 8.1(b) (i), respectively, shall not exceed an amount equal to the sum of: (a) [***]; provided that the limitations set forth in this Section‎</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8.4 shall not apply to breaches of any Fundamental Representations or Losses arising out of any fraud, intentional misrepresentation or willful misconduct.</w:t>
      </w:r>
    </w:p>
    <w:p>
      <w:pPr>
        <w:spacing w:after="0" w:line="187" w:lineRule="exact"/>
        <w:rPr>
          <w:sz w:val="20"/>
          <w:szCs w:val="20"/>
          <w:color w:val="auto"/>
        </w:rPr>
      </w:pPr>
    </w:p>
    <w:p>
      <w:pPr>
        <w:ind w:left="760"/>
        <w:spacing w:after="0"/>
        <w:tabs>
          <w:tab w:leader="none" w:pos="2240" w:val="left"/>
          <w:tab w:leader="none" w:pos="6440" w:val="left"/>
        </w:tabs>
        <w:rPr>
          <w:sz w:val="20"/>
          <w:szCs w:val="20"/>
          <w:color w:val="auto"/>
        </w:rPr>
      </w:pPr>
      <w:r>
        <w:rPr>
          <w:rFonts w:ascii="Arial" w:cs="Arial" w:eastAsia="Arial" w:hAnsi="Arial"/>
          <w:sz w:val="22"/>
          <w:szCs w:val="22"/>
          <w:color w:val="auto"/>
        </w:rPr>
        <w:t>Section 8.5</w:t>
      </w:r>
      <w:r>
        <w:rPr>
          <w:sz w:val="20"/>
          <w:szCs w:val="20"/>
          <w:color w:val="auto"/>
        </w:rPr>
        <w:tab/>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representations and warranties contained in this</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Agreement shall survive the Closing solely for purposes of Section‎ 8.1 and shall terminate on the date that is the third anniversary of the Closing Date; provided, however, that (i) the representations and warranties in ‎Section 4.1 (Organization), ‎Section 4.2</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(Authorization), Section‎ 4.3 (Enforceability), Section‎ 4.4 (Absence of Conflicts), Section‎ 4.8 (Brokers’ Fees), Section‎ 4.11 (UCC Matters), ‎Section 4.12 (Taxes), ‎Section 5.1 (Organization), ‎Section 5.2 (Authorization), ‎Section 5.3 (Enforceability), ‎Section 5.4</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(Absence of Conflicts), Section‎ 5.7 (Brokers’ Fees) and Section‎ 5.9 (Tax Status) (the “</w:t>
      </w:r>
      <w:r>
        <w:rPr>
          <w:rFonts w:ascii="Arial" w:cs="Arial" w:eastAsia="Arial" w:hAnsi="Arial"/>
          <w:sz w:val="21"/>
          <w:szCs w:val="21"/>
          <w:u w:val="single" w:color="auto"/>
          <w:color w:val="auto"/>
        </w:rPr>
        <w:t>Fundamental Representations</w:t>
      </w:r>
      <w:r>
        <w:rPr>
          <w:rFonts w:ascii="Arial" w:cs="Arial" w:eastAsia="Arial" w:hAnsi="Arial"/>
          <w:sz w:val="21"/>
          <w:szCs w:val="21"/>
          <w:color w:val="auto"/>
        </w:rPr>
        <w:t>”) shall survive until 90 days following the expiration of all applicable statutes of limitations (giving effect to any waiver, mitigation or extension thereof). No party hereto shall have any liability or obligation of any nature with respect to any representation or warranty after the termination thereof, unless the other party hereto shall have delivered a notice to such party, pursuant to ‎Section 8.2(a) or ‎Section 8.3, claiming such a liability or obligation under ‎Section 8.1, prior to such third anniversary or prior to the expiration of such ninety (90)-day period, as applicable.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0" w:name="page91"/>
    <w:bookmarkEnd w:id="90"/>
    <w:p>
      <w:pPr>
        <w:ind w:left="760"/>
        <w:spacing w:after="0"/>
        <w:tabs>
          <w:tab w:leader="none" w:pos="2240" w:val="left"/>
          <w:tab w:leader="none" w:pos="644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22"/>
          <w:szCs w:val="22"/>
          <w:u w:val="single" w:color="auto"/>
          <w:color w:val="auto"/>
        </w:rPr>
        <w:t>No Implied Representations and Warranties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Buyer acknowledges and agrees that, other than the</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representations and warranties of Seller specifically contained in ARTICLE‎ IV, there are no representations or warranties of Seller or any other Person either expressed or implied with respect to the Purchased Receivables or the Sale Agreement or the transactions contemplated by the Transaction Documents and that it shall have no remedies in respect of, any representation or warranty not specifically set forth in ‎ARTICLE IV, except in the case of fraud, intentional misrepresentation or willful misconduct. Except in the case of fraud, intentional misrepresentation or willful misconduct, Buyer acknowledges and agrees that (a) Buyer, together with its Affiliates and Representatives, have made their own investigation of the Purchased Receivables, the Sale Agreement and the transactions contemplated by the Transaction Documents and shall have no remedies in respect of, any implied warranties or upon any representation or warranty whatsoever as to the future amount or potential amount of the Purchased Receivables, or as to the creditworthiness of Medexus (or any of its Affiliates) and (b) except as expressly set forth in</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any representation or warranty in ARTICLE‎ IV, Buyer shall have no claim or right regarding losses or damages pursuant to this ‎ARTICLE VIII (or otherwise) with respect to any information, documents or materials furnished or made available to Buyer or any of its Affiliates or its or its Affiliates’ Representatives in any data room, presentation, interview or in any other form or manner relating to the transactions contemplated by the Transaction Documents or the Sale Agreement.</w:t>
      </w:r>
    </w:p>
    <w:p>
      <w:pPr>
        <w:spacing w:after="0" w:line="180" w:lineRule="exact"/>
        <w:rPr>
          <w:sz w:val="20"/>
          <w:szCs w:val="20"/>
          <w:color w:val="auto"/>
        </w:rPr>
      </w:pPr>
    </w:p>
    <w:p>
      <w:pPr>
        <w:ind w:left="760"/>
        <w:spacing w:after="0"/>
        <w:tabs>
          <w:tab w:leader="none" w:pos="2160" w:val="left"/>
        </w:tabs>
        <w:rPr>
          <w:sz w:val="20"/>
          <w:szCs w:val="20"/>
          <w:color w:val="auto"/>
        </w:rPr>
      </w:pPr>
      <w:r>
        <w:rPr>
          <w:rFonts w:ascii="Arial" w:cs="Arial" w:eastAsia="Arial" w:hAnsi="Arial"/>
          <w:sz w:val="22"/>
          <w:szCs w:val="22"/>
          <w:color w:val="auto"/>
        </w:rPr>
        <w:t>Section 8.7</w:t>
      </w:r>
      <w:r>
        <w:rPr>
          <w:sz w:val="20"/>
          <w:szCs w:val="20"/>
          <w:color w:val="auto"/>
        </w:rPr>
        <w:tab/>
      </w:r>
      <w:r>
        <w:rPr>
          <w:rFonts w:ascii="Arial" w:cs="Arial" w:eastAsia="Arial" w:hAnsi="Arial"/>
          <w:sz w:val="19"/>
          <w:szCs w:val="19"/>
          <w:u w:val="single" w:color="auto"/>
          <w:color w:val="auto"/>
        </w:rPr>
        <w:t>Exclusive Remedy</w:t>
      </w:r>
      <w:r>
        <w:rPr>
          <w:rFonts w:ascii="Arial" w:cs="Arial" w:eastAsia="Arial" w:hAnsi="Arial"/>
          <w:sz w:val="19"/>
          <w:szCs w:val="19"/>
          <w:color w:val="auto"/>
        </w:rPr>
        <w:t>. Other than for breaches of any covenants or agreements set forth in Section‎ 6.1, the</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parties hereto acknowledge and agree that, from and after the Closing, this ARTICLE‎ VIII shall provide such parties’ sole and exclusive remedy with respect to any breached representation or warranty set forth in the Transaction Documents, except that any such claim or matter based upon bad faith, gross negligence or willful misconduct shall not be subject to or limited by this ‎ARTICLE VIII.</w:t>
      </w:r>
    </w:p>
    <w:p>
      <w:pPr>
        <w:spacing w:after="0" w:line="188" w:lineRule="exact"/>
        <w:rPr>
          <w:sz w:val="20"/>
          <w:szCs w:val="20"/>
          <w:color w:val="auto"/>
        </w:rPr>
      </w:pPr>
    </w:p>
    <w:p>
      <w:pPr>
        <w:ind w:left="760"/>
        <w:spacing w:after="0"/>
        <w:tabs>
          <w:tab w:leader="none" w:pos="2220" w:val="left"/>
          <w:tab w:leader="none" w:pos="4640" w:val="left"/>
        </w:tabs>
        <w:rPr>
          <w:sz w:val="20"/>
          <w:szCs w:val="20"/>
          <w:color w:val="auto"/>
        </w:rPr>
      </w:pPr>
      <w:r>
        <w:rPr>
          <w:rFonts w:ascii="Arial" w:cs="Arial" w:eastAsia="Arial" w:hAnsi="Arial"/>
          <w:sz w:val="22"/>
          <w:szCs w:val="22"/>
          <w:color w:val="auto"/>
        </w:rPr>
        <w:t>Section 8.8</w:t>
      </w:r>
      <w:r>
        <w:rPr>
          <w:sz w:val="20"/>
          <w:szCs w:val="20"/>
          <w:color w:val="auto"/>
        </w:rPr>
        <w:tab/>
      </w:r>
      <w:r>
        <w:rPr>
          <w:rFonts w:ascii="Arial" w:cs="Arial" w:eastAsia="Arial" w:hAnsi="Arial"/>
          <w:sz w:val="22"/>
          <w:szCs w:val="22"/>
          <w:u w:val="single" w:color="auto"/>
          <w:color w:val="auto"/>
        </w:rPr>
        <w:t>Limitations on Damages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Notwithstanding anything to the contrary in this Agreement or any other</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Transaction Document, in no event shall either party hereto be liable (including, without limitation, under Section‎ 8.1) for any (a) special, indirect, incidental, exemplary, punitive, multiple or consequential damages or (b) loss of use, business interruption, loss of any contract or other business opportunity or good will, in each case, of the other party hereto (other than any such damages or losses for the net present value of all expected payments to Buyer hereunder or occasioned by any breach of the covenants or agreements set forth in ‎Section 6.1), whether or not caused by or resulting from the actions of such party or the breach of its covenants, agreements, representations or warranties under any of the Transaction Documents (except as aforesaid) and whether in contract, tort or breach of statutory duty or otherwise, even if such party has been advised of the possibility of such damages. In connection with the foregoing, the parties hereto acknowledge and agree that (i) Buyer’s damages, if any, for any such action or claim will include Losses for Purchased Receivables that Buyer was entitled to receive or would have received absent such breach, in each case in respect of its ownership of the Purchased Receivables, as well as expenses incurred in connection with enforcement of this Agreement, and (ii) Buyer shall be entitled to make claims for all such missing, delayed or diminished Purchased Receivables as Losses hereunder, and such missing, delayed or diminished payments shall not be deemed (A) special, indirect, incidental, exemplary, punitive, multiple or consequential damages or (B) loss of use, business interruption, loss of any contract or other business opportunity or good will.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u w:val="single" w:color="auto"/>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Headings</w:t>
      </w:r>
      <w:r>
        <w:rPr>
          <w:rFonts w:ascii="Arial" w:cs="Arial" w:eastAsia="Arial" w:hAnsi="Arial"/>
          <w:sz w:val="21"/>
          <w:szCs w:val="21"/>
          <w:color w:val="auto"/>
        </w:rPr>
        <w:t>. The captions to the Articles, Sections and subsections hereof are not a part of this Agreement but are for convenience only and shall not be deemed to limit or otherwise affect the construction thereof.</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shall be in writing and shall be sent by email with PDF attachment, courier or personal delivery to the following addresses, or to such other addresses as shall be designated from time to time by a party hereto in accordance with this Section‎ 9.2.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260" w:type="dxa"/>
            <w:vAlign w:val="bottom"/>
          </w:tcPr>
          <w:p>
            <w:pPr>
              <w:spacing w:after="0"/>
              <w:rPr>
                <w:sz w:val="24"/>
                <w:szCs w:val="24"/>
                <w:color w:val="auto"/>
              </w:rPr>
            </w:pPr>
          </w:p>
        </w:tc>
        <w:tc>
          <w:tcPr>
            <w:tcW w:w="2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If to:</w:t>
            </w:r>
          </w:p>
        </w:tc>
        <w:tc>
          <w:tcPr>
            <w:tcW w:w="6160" w:type="dxa"/>
            <w:vAlign w:val="bottom"/>
            <w:tcBorders>
              <w:bottom w:val="single" w:sz="8" w:color="auto"/>
            </w:tcBorders>
          </w:tcPr>
          <w:p>
            <w:pPr>
              <w:ind w:left="1220"/>
              <w:spacing w:after="0"/>
              <w:rPr>
                <w:sz w:val="20"/>
                <w:szCs w:val="20"/>
                <w:color w:val="auto"/>
              </w:rPr>
            </w:pPr>
            <w:r>
              <w:rPr>
                <w:rFonts w:ascii="Arial" w:cs="Arial" w:eastAsia="Arial" w:hAnsi="Arial"/>
                <w:sz w:val="22"/>
                <w:szCs w:val="22"/>
                <w:color w:val="auto"/>
              </w:rPr>
              <w:t>Address:</w:t>
            </w:r>
          </w:p>
        </w:tc>
        <w:tc>
          <w:tcPr>
            <w:tcW w:w="1240" w:type="dxa"/>
            <w:vAlign w:val="bottom"/>
          </w:tcPr>
          <w:p>
            <w:pPr>
              <w:spacing w:after="0"/>
              <w:rPr>
                <w:sz w:val="24"/>
                <w:szCs w:val="24"/>
                <w:color w:val="auto"/>
              </w:rPr>
            </w:pPr>
          </w:p>
        </w:tc>
      </w:tr>
      <w:tr>
        <w:trPr>
          <w:trHeight w:val="446"/>
        </w:trPr>
        <w:tc>
          <w:tcPr>
            <w:tcW w:w="126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Arial" w:cs="Arial" w:eastAsia="Arial" w:hAnsi="Arial"/>
                <w:sz w:val="22"/>
                <w:szCs w:val="22"/>
                <w:color w:val="auto"/>
              </w:rPr>
              <w:t>Seller</w:t>
            </w:r>
          </w:p>
        </w:tc>
        <w:tc>
          <w:tcPr>
            <w:tcW w:w="6160" w:type="dxa"/>
            <w:vAlign w:val="bottom"/>
          </w:tcPr>
          <w:p>
            <w:pPr>
              <w:ind w:left="1220"/>
              <w:spacing w:after="0"/>
              <w:rPr>
                <w:sz w:val="20"/>
                <w:szCs w:val="20"/>
                <w:color w:val="auto"/>
              </w:rPr>
            </w:pPr>
            <w:r>
              <w:rPr>
                <w:rFonts w:ascii="Arial" w:cs="Arial" w:eastAsia="Arial" w:hAnsi="Arial"/>
                <w:sz w:val="22"/>
                <w:szCs w:val="22"/>
                <w:color w:val="auto"/>
              </w:rPr>
              <w:t>Aptevo Therapeutics Inc.</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2401 4th Avenue</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Suite 1050</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Seattle, WA 98121</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i w:val="1"/>
                <w:iCs w:val="1"/>
                <w:color w:val="auto"/>
              </w:rPr>
              <w:t>Attention</w:t>
            </w:r>
            <w:r>
              <w:rPr>
                <w:rFonts w:ascii="Arial" w:cs="Arial" w:eastAsia="Arial" w:hAnsi="Arial"/>
                <w:sz w:val="22"/>
                <w:szCs w:val="22"/>
                <w:color w:val="auto"/>
              </w:rPr>
              <w:t>: General Counsel</w:t>
            </w:r>
          </w:p>
        </w:tc>
        <w:tc>
          <w:tcPr>
            <w:tcW w:w="1240" w:type="dxa"/>
            <w:vAlign w:val="bottom"/>
          </w:tcPr>
          <w:p>
            <w:pPr>
              <w:spacing w:after="0"/>
              <w:rPr>
                <w:sz w:val="21"/>
                <w:szCs w:val="21"/>
                <w:color w:val="auto"/>
              </w:rPr>
            </w:pPr>
          </w:p>
        </w:tc>
      </w:tr>
      <w:tr>
        <w:trPr>
          <w:trHeight w:val="274"/>
        </w:trPr>
        <w:tc>
          <w:tcPr>
            <w:tcW w:w="12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rPr>
              <w:t>Email: kwons@apvo.com</w:t>
            </w:r>
          </w:p>
        </w:tc>
        <w:tc>
          <w:tcPr>
            <w:tcW w:w="1240" w:type="dxa"/>
            <w:vAlign w:val="bottom"/>
          </w:tcPr>
          <w:p>
            <w:pPr>
              <w:spacing w:after="0"/>
              <w:rPr>
                <w:sz w:val="23"/>
                <w:szCs w:val="23"/>
                <w:color w:val="auto"/>
              </w:rPr>
            </w:pPr>
          </w:p>
        </w:tc>
      </w:tr>
      <w:tr>
        <w:trPr>
          <w:trHeight w:val="486"/>
        </w:trPr>
        <w:tc>
          <w:tcPr>
            <w:tcW w:w="126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Arial" w:cs="Arial" w:eastAsia="Arial" w:hAnsi="Arial"/>
                <w:sz w:val="22"/>
                <w:szCs w:val="22"/>
                <w:color w:val="auto"/>
              </w:rPr>
              <w:t>with a copy to:</w:t>
            </w:r>
          </w:p>
        </w:tc>
        <w:tc>
          <w:tcPr>
            <w:tcW w:w="6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rPr>
              <w:t>Morgan, Lewis &amp; Bockius, LLP</w:t>
            </w:r>
          </w:p>
        </w:tc>
        <w:tc>
          <w:tcPr>
            <w:tcW w:w="124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rPr>
              <w:t>1701 Market Street</w:t>
            </w:r>
          </w:p>
        </w:tc>
        <w:tc>
          <w:tcPr>
            <w:tcW w:w="1240" w:type="dxa"/>
            <w:vAlign w:val="bottom"/>
          </w:tcPr>
          <w:p>
            <w:pPr>
              <w:spacing w:after="0"/>
              <w:rPr>
                <w:sz w:val="24"/>
                <w:szCs w:val="24"/>
                <w:color w:val="auto"/>
              </w:rPr>
            </w:pPr>
          </w:p>
        </w:tc>
      </w:tr>
      <w:tr>
        <w:trPr>
          <w:trHeight w:val="428"/>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rPr>
              <w:t>Philadelphia, PA 19103</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i w:val="1"/>
                <w:iCs w:val="1"/>
                <w:color w:val="auto"/>
              </w:rPr>
              <w:t>Attention</w:t>
            </w:r>
            <w:r>
              <w:rPr>
                <w:rFonts w:ascii="Arial" w:cs="Arial" w:eastAsia="Arial" w:hAnsi="Arial"/>
                <w:sz w:val="22"/>
                <w:szCs w:val="22"/>
                <w:color w:val="auto"/>
              </w:rPr>
              <w:t>: Conor Larkin</w:t>
            </w:r>
          </w:p>
        </w:tc>
        <w:tc>
          <w:tcPr>
            <w:tcW w:w="1240" w:type="dxa"/>
            <w:vAlign w:val="bottom"/>
          </w:tcPr>
          <w:p>
            <w:pPr>
              <w:spacing w:after="0"/>
              <w:rPr>
                <w:sz w:val="21"/>
                <w:szCs w:val="21"/>
                <w:color w:val="auto"/>
              </w:rPr>
            </w:pPr>
          </w:p>
        </w:tc>
      </w:tr>
      <w:tr>
        <w:trPr>
          <w:trHeight w:val="274"/>
        </w:trPr>
        <w:tc>
          <w:tcPr>
            <w:tcW w:w="12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rPr>
              <w:t>Email: conor.larkin@morganlewis.com</w:t>
            </w:r>
          </w:p>
        </w:tc>
        <w:tc>
          <w:tcPr>
            <w:tcW w:w="1240" w:type="dxa"/>
            <w:vAlign w:val="bottom"/>
          </w:tcPr>
          <w:p>
            <w:pPr>
              <w:spacing w:after="0"/>
              <w:rPr>
                <w:sz w:val="23"/>
                <w:szCs w:val="23"/>
                <w:color w:val="auto"/>
              </w:rPr>
            </w:pPr>
          </w:p>
        </w:tc>
      </w:tr>
      <w:tr>
        <w:trPr>
          <w:trHeight w:val="455"/>
        </w:trPr>
        <w:tc>
          <w:tcPr>
            <w:tcW w:w="126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Arial" w:cs="Arial" w:eastAsia="Arial" w:hAnsi="Arial"/>
                <w:sz w:val="22"/>
                <w:szCs w:val="22"/>
                <w:color w:val="auto"/>
              </w:rPr>
              <w:t>Buyer</w:t>
            </w:r>
          </w:p>
        </w:tc>
        <w:tc>
          <w:tcPr>
            <w:tcW w:w="6160" w:type="dxa"/>
            <w:vAlign w:val="bottom"/>
          </w:tcPr>
          <w:p>
            <w:pPr>
              <w:ind w:left="1220"/>
              <w:spacing w:after="0"/>
              <w:rPr>
                <w:sz w:val="20"/>
                <w:szCs w:val="20"/>
                <w:color w:val="auto"/>
              </w:rPr>
            </w:pPr>
            <w:r>
              <w:rPr>
                <w:rFonts w:ascii="Arial" w:cs="Arial" w:eastAsia="Arial" w:hAnsi="Arial"/>
                <w:sz w:val="22"/>
                <w:szCs w:val="22"/>
                <w:color w:val="auto"/>
              </w:rPr>
              <w:t>XOMA (US) LLC</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2200 Powell Street</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Suite 310</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Emeryville, CA 94608</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i w:val="1"/>
                <w:iCs w:val="1"/>
                <w:color w:val="auto"/>
              </w:rPr>
              <w:t>Attention</w:t>
            </w:r>
            <w:r>
              <w:rPr>
                <w:rFonts w:ascii="Arial" w:cs="Arial" w:eastAsia="Arial" w:hAnsi="Arial"/>
                <w:sz w:val="22"/>
                <w:szCs w:val="22"/>
                <w:color w:val="auto"/>
              </w:rPr>
              <w:t>: Legal Department; Bradley Sitko</w:t>
            </w:r>
          </w:p>
        </w:tc>
        <w:tc>
          <w:tcPr>
            <w:tcW w:w="1240" w:type="dxa"/>
            <w:vAlign w:val="bottom"/>
          </w:tcPr>
          <w:p>
            <w:pPr>
              <w:spacing w:after="0"/>
              <w:rPr>
                <w:sz w:val="21"/>
                <w:szCs w:val="21"/>
                <w:color w:val="auto"/>
              </w:rPr>
            </w:pPr>
          </w:p>
        </w:tc>
      </w:tr>
      <w:tr>
        <w:trPr>
          <w:trHeight w:val="274"/>
        </w:trPr>
        <w:tc>
          <w:tcPr>
            <w:tcW w:w="12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w w:val="93"/>
              </w:rPr>
              <w:t>Email: legalgroup@xoma.com; brad.sitko@xoma.com</w:t>
            </w:r>
          </w:p>
        </w:tc>
        <w:tc>
          <w:tcPr>
            <w:tcW w:w="1240" w:type="dxa"/>
            <w:vAlign w:val="bottom"/>
          </w:tcPr>
          <w:p>
            <w:pPr>
              <w:spacing w:after="0"/>
              <w:rPr>
                <w:sz w:val="23"/>
                <w:szCs w:val="23"/>
                <w:color w:val="auto"/>
              </w:rPr>
            </w:pPr>
          </w:p>
        </w:tc>
      </w:tr>
      <w:tr>
        <w:trPr>
          <w:trHeight w:val="455"/>
        </w:trPr>
        <w:tc>
          <w:tcPr>
            <w:tcW w:w="126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Arial" w:cs="Arial" w:eastAsia="Arial" w:hAnsi="Arial"/>
                <w:sz w:val="22"/>
                <w:szCs w:val="22"/>
                <w:color w:val="auto"/>
              </w:rPr>
              <w:t>with a copy to:</w:t>
            </w:r>
          </w:p>
        </w:tc>
        <w:tc>
          <w:tcPr>
            <w:tcW w:w="6160" w:type="dxa"/>
            <w:vAlign w:val="bottom"/>
          </w:tcPr>
          <w:p>
            <w:pPr>
              <w:ind w:left="1220"/>
              <w:spacing w:after="0"/>
              <w:rPr>
                <w:sz w:val="20"/>
                <w:szCs w:val="20"/>
                <w:color w:val="auto"/>
              </w:rPr>
            </w:pPr>
            <w:r>
              <w:rPr>
                <w:rFonts w:ascii="Arial" w:cs="Arial" w:eastAsia="Arial" w:hAnsi="Arial"/>
                <w:sz w:val="22"/>
                <w:szCs w:val="22"/>
                <w:color w:val="auto"/>
              </w:rPr>
              <w:t>Gibson, Dunn &amp; Crutcher LLP</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555 Mission Street</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San Francisco, CA 94105</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i w:val="1"/>
                <w:iCs w:val="1"/>
                <w:color w:val="auto"/>
              </w:rPr>
              <w:t>Attention</w:t>
            </w:r>
            <w:r>
              <w:rPr>
                <w:rFonts w:ascii="Arial" w:cs="Arial" w:eastAsia="Arial" w:hAnsi="Arial"/>
                <w:sz w:val="22"/>
                <w:szCs w:val="22"/>
                <w:color w:val="auto"/>
              </w:rPr>
              <w:t>: Ryan Murr; Todd Trattner</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160" w:type="dxa"/>
            <w:vAlign w:val="bottom"/>
          </w:tcPr>
          <w:p>
            <w:pPr>
              <w:ind w:left="1220"/>
              <w:spacing w:after="0" w:line="243" w:lineRule="exact"/>
              <w:rPr>
                <w:sz w:val="20"/>
                <w:szCs w:val="20"/>
                <w:color w:val="auto"/>
              </w:rPr>
            </w:pPr>
            <w:r>
              <w:rPr>
                <w:rFonts w:ascii="Arial" w:cs="Arial" w:eastAsia="Arial" w:hAnsi="Arial"/>
                <w:sz w:val="22"/>
                <w:szCs w:val="22"/>
                <w:color w:val="auto"/>
              </w:rPr>
              <w:t>Email: rmurr@gibsondunn.com;</w:t>
            </w:r>
          </w:p>
        </w:tc>
        <w:tc>
          <w:tcPr>
            <w:tcW w:w="1240" w:type="dxa"/>
            <w:vAlign w:val="bottom"/>
          </w:tcPr>
          <w:p>
            <w:pPr>
              <w:spacing w:after="0"/>
              <w:rPr>
                <w:sz w:val="21"/>
                <w:szCs w:val="21"/>
                <w:color w:val="auto"/>
              </w:rPr>
            </w:pPr>
          </w:p>
        </w:tc>
      </w:tr>
      <w:tr>
        <w:trPr>
          <w:trHeight w:val="274"/>
        </w:trPr>
        <w:tc>
          <w:tcPr>
            <w:tcW w:w="12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160" w:type="dxa"/>
            <w:vAlign w:val="bottom"/>
          </w:tcPr>
          <w:p>
            <w:pPr>
              <w:ind w:left="1220"/>
              <w:spacing w:after="0"/>
              <w:rPr>
                <w:sz w:val="20"/>
                <w:szCs w:val="20"/>
                <w:color w:val="auto"/>
              </w:rPr>
            </w:pPr>
            <w:r>
              <w:rPr>
                <w:rFonts w:ascii="Arial" w:cs="Arial" w:eastAsia="Arial" w:hAnsi="Arial"/>
                <w:sz w:val="22"/>
                <w:szCs w:val="22"/>
                <w:color w:val="auto"/>
              </w:rPr>
              <w:t>ttrattner@gibsondunn.com</w:t>
            </w:r>
          </w:p>
        </w:tc>
        <w:tc>
          <w:tcPr>
            <w:tcW w:w="1240" w:type="dxa"/>
            <w:vAlign w:val="bottom"/>
          </w:tcPr>
          <w:p>
            <w:pPr>
              <w:spacing w:after="0"/>
              <w:rPr>
                <w:sz w:val="23"/>
                <w:szCs w:val="23"/>
                <w:color w:val="auto"/>
              </w:rPr>
            </w:pPr>
          </w:p>
        </w:tc>
      </w:tr>
      <w:tr>
        <w:trPr>
          <w:trHeight w:val="473"/>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160" w:type="dxa"/>
            <w:vAlign w:val="bottom"/>
          </w:tcPr>
          <w:p>
            <w:pPr>
              <w:ind w:left="1680"/>
              <w:spacing w:after="0"/>
              <w:rPr>
                <w:sz w:val="20"/>
                <w:szCs w:val="20"/>
                <w:color w:val="auto"/>
              </w:rPr>
            </w:pPr>
            <w:r>
              <w:rPr>
                <w:rFonts w:ascii="Arial" w:cs="Arial" w:eastAsia="Arial" w:hAnsi="Arial"/>
                <w:sz w:val="22"/>
                <w:szCs w:val="22"/>
                <w:color w:val="auto"/>
              </w:rPr>
              <w:t>27</w:t>
            </w:r>
          </w:p>
        </w:tc>
        <w:tc>
          <w:tcPr>
            <w:tcW w:w="1240" w:type="dxa"/>
            <w:vAlign w:val="bottom"/>
          </w:tcPr>
          <w:p>
            <w:pPr>
              <w:spacing w:after="0"/>
              <w:rPr>
                <w:sz w:val="24"/>
                <w:szCs w:val="24"/>
                <w:color w:val="auto"/>
              </w:rPr>
            </w:pPr>
          </w:p>
        </w:tc>
      </w:tr>
      <w:tr>
        <w:trPr>
          <w:trHeight w:val="105"/>
        </w:trPr>
        <w:tc>
          <w:tcPr>
            <w:tcW w:w="12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2" w:name="page93"/>
    <w:bookmarkEnd w:id="92"/>
    <w:p>
      <w:pPr>
        <w:jc w:val="both"/>
        <w:spacing w:after="0"/>
        <w:rPr>
          <w:sz w:val="20"/>
          <w:szCs w:val="20"/>
          <w:color w:val="auto"/>
        </w:rPr>
      </w:pPr>
      <w:r>
        <w:rPr>
          <w:rFonts w:ascii="Arial" w:cs="Arial" w:eastAsia="Arial" w:hAnsi="Arial"/>
          <w:sz w:val="22"/>
          <w:szCs w:val="22"/>
          <w:color w:val="auto"/>
        </w:rPr>
        <w:t>All notices and communications under this Agreement shall be effective upon receipt by the addressee. Notwithstanding anything to the contrary in this ‎Section 9.2, all notices and communications under ‎Section 8.2(a) and ‎Section 8.3 and all service of legal process shall be sent by courier or personal delivery.</w:t>
      </w:r>
    </w:p>
    <w:p>
      <w:pPr>
        <w:spacing w:after="0" w:line="18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No Personal Liability</w:t>
      </w:r>
      <w:r>
        <w:rPr>
          <w:rFonts w:ascii="Arial" w:cs="Arial" w:eastAsia="Arial" w:hAnsi="Arial"/>
          <w:sz w:val="19"/>
          <w:szCs w:val="19"/>
          <w:color w:val="auto"/>
        </w:rPr>
        <w:t>. It is expressly understood and agreed by Seller and Buyer that:</w:t>
      </w:r>
    </w:p>
    <w:p>
      <w:pPr>
        <w:spacing w:after="0" w:line="206" w:lineRule="exact"/>
        <w:rPr>
          <w:sz w:val="20"/>
          <w:szCs w:val="20"/>
          <w:color w:val="auto"/>
        </w:rPr>
      </w:pPr>
    </w:p>
    <w:p>
      <w:pPr>
        <w:jc w:val="both"/>
        <w:ind w:firstLine="1505"/>
        <w:spacing w:after="0" w:line="238" w:lineRule="auto"/>
        <w:tabs>
          <w:tab w:leader="none" w:pos="2177"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of the representations, warranties, covenants and agreements in the Transaction Documents made on the part of Seller is made by Seller and is not intended to be nor is a personal representation, warranty, covenant or agreement of any other Person, including those Persons named in the definition of “Knowledge of Seller” and any other Representative of Seller or Seller’s Affiliates (the “</w:t>
      </w:r>
      <w:r>
        <w:rPr>
          <w:rFonts w:ascii="Arial" w:cs="Arial" w:eastAsia="Arial" w:hAnsi="Arial"/>
          <w:sz w:val="22"/>
          <w:szCs w:val="22"/>
          <w:u w:val="single" w:color="auto"/>
          <w:color w:val="auto"/>
        </w:rPr>
        <w:t>Non-Warranting Parties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177" w:val="left"/>
        </w:tabs>
        <w:numPr>
          <w:ilvl w:val="0"/>
          <w:numId w:val="62"/>
        </w:numPr>
        <w:rPr>
          <w:rFonts w:ascii="Arial" w:cs="Arial" w:eastAsia="Arial" w:hAnsi="Arial"/>
          <w:sz w:val="22"/>
          <w:szCs w:val="22"/>
          <w:color w:val="auto"/>
        </w:rPr>
      </w:pPr>
      <w:r>
        <w:rPr>
          <w:rFonts w:ascii="Arial" w:cs="Arial" w:eastAsia="Arial" w:hAnsi="Arial"/>
          <w:sz w:val="22"/>
          <w:szCs w:val="22"/>
          <w:color w:val="auto"/>
        </w:rPr>
        <w:t>other than Seller, no Person, including the Non-Warranting Parties, shall have any liability whatsoever for breach of any representation, warranty, covenant or agreement made in the Transaction Documents on the part of Seller or in respect of any claim or matter arising out of, relating to or in connection with the Transaction Documents or the transactions contemplated thereby; and</w:t>
      </w:r>
    </w:p>
    <w:p>
      <w:pPr>
        <w:spacing w:after="0" w:line="184" w:lineRule="exact"/>
        <w:rPr>
          <w:rFonts w:ascii="Arial" w:cs="Arial" w:eastAsia="Arial" w:hAnsi="Arial"/>
          <w:sz w:val="22"/>
          <w:szCs w:val="22"/>
          <w:color w:val="auto"/>
        </w:rPr>
      </w:pPr>
    </w:p>
    <w:p>
      <w:pPr>
        <w:ind w:firstLine="1505"/>
        <w:spacing w:after="0" w:line="328" w:lineRule="auto"/>
        <w:tabs>
          <w:tab w:leader="none" w:pos="219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provisions of this Section‎ 9.3 are intended to benefit each and every one of the Non-Warranting Parties and shall be enforceable by each and every one of them to the fullest extent permitted by Applicable Law.</w:t>
      </w:r>
    </w:p>
    <w:p>
      <w:pPr>
        <w:spacing w:after="0" w:line="10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9.4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Except as otherwise expressly provided in this Agreement or any Transaction Document, each of Seller and Buyer shall bear its own fees and expenses with respect to this Agreement and the Transaction Documents and the transactions contemplated by this Agreement and the Transaction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 the date hereof, [***].</w:t>
      </w:r>
    </w:p>
    <w:p>
      <w:pPr>
        <w:spacing w:after="0" w:line="1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Section 9.5 </w:t>
      </w:r>
      <w:r>
        <w:rPr>
          <w:rFonts w:ascii="Arial" w:cs="Arial" w:eastAsia="Arial" w:hAnsi="Arial"/>
          <w:sz w:val="21"/>
          <w:szCs w:val="21"/>
          <w:u w:val="single" w:color="auto"/>
          <w:color w:val="auto"/>
        </w:rPr>
        <w:t>Assignment</w:t>
      </w:r>
      <w:r>
        <w:rPr>
          <w:rFonts w:ascii="Arial" w:cs="Arial" w:eastAsia="Arial" w:hAnsi="Arial"/>
          <w:sz w:val="21"/>
          <w:szCs w:val="21"/>
          <w:color w:val="auto"/>
        </w:rPr>
        <w:t>. The provisions of this Agreement shall be binding upon and inure to the benefit of the parties hereto and their respective successors and permitted assigns. Seller shall not be entitled to assign any of its obligations and rights under this Agreement to any non-Affiliate of Seller without: (a) the prior written consent of Buyer, such consent not to be unreasonably withheld, and (b) requiring any such non-Affiliate to agree in writing to be bound by the terms of this Agreement; provided, however, the consent of Buyer shall not be required for Seller to assign its rights and delegate its obligations under this Agreement to any Person into which Seller may merge, with which it may consolidate or to which it may sell all or substantially all of its assets. Buyer may assign this Agreement and all of Buyer’s rights, interests and obligations hereunder, in whole or in part, provided that Buyer promptly thereafter notifies Seller and any such assignee agrees in writing to be bound by the terms of this Agreement. Any purported assignment in violation of this ‎Section 9.5 shall be null and void. For the avoidance of doubt, no assignment by Buyer will operate to expand the obligations of Seller under this Agreement, including with respect to Indemnified Taxes.</w:t>
      </w:r>
    </w:p>
    <w:p>
      <w:pPr>
        <w:spacing w:after="0" w:line="188"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Amendment and Waiver</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3" w:name="page94"/>
    <w:bookmarkEnd w:id="93"/>
    <w:p>
      <w:pPr>
        <w:jc w:val="both"/>
        <w:ind w:firstLine="1505"/>
        <w:spacing w:after="0"/>
        <w:tabs>
          <w:tab w:leader="none" w:pos="219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Agreement may be amended, modified or supplemented only in a writing signed by all of the parties hereto. Any provision of this Agreement may be waived only in a writing, which writing may be signed only by the party granting such waiver.</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2175"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7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Exhibits and Schedules attached to this Agreement, sets forth the entire agreement and understanding between the parties hereto as to the subject matter hereof. All express or implied agreements, promises, assurances, arrangements, representations, warranties and understandings as to the subject matter hereof, whether oral or written, heretofore made are superseded by this Agreement.</w:t>
      </w:r>
    </w:p>
    <w:p>
      <w:pPr>
        <w:spacing w:after="0" w:line="14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9.8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The parties hereto recognize and agree that each is operating as an independent contractor and not as an agent, partner or fiduciary of any other.</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9.9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Except to the extent otherwise contemplated by ‎Section 9.3, this Agreement is for the sole benefit of Seller and Buyer and their respective permitted successors and assigns, and nothing herein expressed or implied shall give or be construed to give to any Person, other than the parties hereto and such successors and assigns, any legal or equitable rights hereunder. For the avoidance of doubt, indemnification under ‎ARTICLE VIII in respect of Losses incurred by a Buyer Indemnified Party or a Seller Indemnified Party may only be enforced by Buyer or Seller, respectively, and not by any other Person.</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exclusively by the laws of the State of New York, United States of America, without regard to any conflict of law provisions that would dictate the application of the law of another jurisdiction.</w:t>
      </w:r>
    </w:p>
    <w:p>
      <w:pPr>
        <w:spacing w:after="0" w:line="18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Jurisdiction; Venue; Service Of Process</w:t>
      </w:r>
      <w:r>
        <w:rPr>
          <w:rFonts w:ascii="Arial" w:cs="Arial" w:eastAsia="Arial" w:hAnsi="Arial"/>
          <w:sz w:val="19"/>
          <w:szCs w:val="19"/>
          <w:color w:val="auto"/>
        </w:rPr>
        <w:t>. Each party hereto irrevocably submits to the exclusive jurisdiction of (a) the Civil Branch of the Supreme Court of the State of New York, New York County and (b) the United States District Court for the Southern District of New York for the purposes of any action, suit or other proceeding arising out of, relating to or in connection with this Agreement or any transaction contemplated hereby. Each party hereto agrees to commence any action, suit or other proceeding arising out of, relating to or in connection with this Agreement or any transaction contemplated hereby in the Civil Branch of the Supreme Court of the State of New York, New York County, or, if such action, suit or other proceeding may not be brought in such court for jurisdictional reasons, in the United States District Court for the Southern District of New York. Each party hereto further agrees that service of any process, summons, notice or document by</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courier or personal delivery in accordance with Section‎ 9.2 shall be effective service of process for any action, suit or other proceeding in New York with respect to any matters to which it has submitted to jurisdiction in this ‎Section 9.10. Each party hereto irrevocably and unconditionally waives any objection to the laying of venue of any action, suit or other proceeding arising out of, relating to or in connection with this Agreement or any transaction contemplated hereby in (i) the Civil Branch of the Supreme Court of the State of New York, New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jc w:val="both"/>
        <w:spacing w:after="0" w:line="248" w:lineRule="auto"/>
        <w:rPr>
          <w:sz w:val="20"/>
          <w:szCs w:val="20"/>
          <w:color w:val="auto"/>
        </w:rPr>
      </w:pPr>
      <w:r>
        <w:rPr>
          <w:rFonts w:ascii="Arial" w:cs="Arial" w:eastAsia="Arial" w:hAnsi="Arial"/>
          <w:sz w:val="21"/>
          <w:szCs w:val="21"/>
          <w:color w:val="auto"/>
        </w:rPr>
        <w:t>York County or (ii) the United States District Court for the Southern District of New York, and hereby further irrevocably and unconditionally waives, and shall not assert by way of motion, defense, or otherwise, in any such action, suit or other proceeding, any claim that it is not subject personally to the jurisdiction of the above-named courts, that its property is exempt or immune from attachment or execution, that such action, suit or other proceeding is brought in an inconvenient forum, that the venue of such action, suit or other proceeding is improper, or that this Agreement or the transactions contemplated hereby may not be enforced in or by any of the above-named courts.</w:t>
      </w:r>
    </w:p>
    <w:p>
      <w:pPr>
        <w:spacing w:after="0" w:line="17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provision of this Agreement is held to be invalid, illegal or unenforceable by a court or other Governmental Authority of competent jurisdiction, such invalidity, illegality or unenforceability shall not affect any other term or provision of this Agreement, which shall remain in full force and effect, and the parties hereto shall replace such term or provision with a new term or provision permitted by Applicable Law and having an economic effect as close as possible to the invalid, illegal or unenforceable term or provision. The holding of a term or provision to be invalid, illegal or unenforceable in a jurisdiction shall not have any effect on the application of the term or provision in any other jurisdiction.</w:t>
      </w:r>
    </w:p>
    <w:p>
      <w:pPr>
        <w:spacing w:after="0" w:line="15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email with PDF attachment shall be considered original executed counterparts.</w:t>
      </w:r>
    </w:p>
    <w:p>
      <w:pPr>
        <w:spacing w:after="0" w:line="185"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Section 9.14</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38" w:lineRule="auto"/>
        <w:tabs>
          <w:tab w:leader="none" w:pos="2161"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Subject to Section‎ 9.14(b), this Agreement shall continue in full force and effect until the date that is 120 days after the Deferred Payment Termination Date, at which point this Agreement shall terminate, save for any rights, obligations or claims of any party hereto which have accrued prior to such termination (along with any corresponding limitations of liability in respect thereof).</w:t>
      </w:r>
    </w:p>
    <w:p>
      <w:pPr>
        <w:spacing w:after="0" w:line="184" w:lineRule="exact"/>
        <w:rPr>
          <w:rFonts w:ascii="Arial" w:cs="Arial" w:eastAsia="Arial" w:hAnsi="Arial"/>
          <w:sz w:val="22"/>
          <w:szCs w:val="22"/>
          <w:color w:val="auto"/>
        </w:rPr>
      </w:pPr>
    </w:p>
    <w:p>
      <w:pPr>
        <w:ind w:left="2180" w:hanging="675"/>
        <w:spacing w:after="0"/>
        <w:tabs>
          <w:tab w:leader="none" w:pos="2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following provisions shall survive any termination of this Agreement pursuant to this Section‎ 9.14:</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Section‎ 6.1 (Confidentiality); Use of Names) Section‎ 7.2 (Misdirected Payments; Setoffs), Section‎ 7.3 (Medexus Reports;</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Notices; Correspondence), ARTICLE‎ VIII (Indemnification) and ARTICLE‎ IX (Miscellaneous).</w:t>
      </w:r>
    </w:p>
    <w:p>
      <w:pPr>
        <w:spacing w:after="0" w:line="188" w:lineRule="exact"/>
        <w:rPr>
          <w:rFonts w:ascii="Arial" w:cs="Arial" w:eastAsia="Arial" w:hAnsi="Arial"/>
          <w:sz w:val="19"/>
          <w:szCs w:val="19"/>
          <w:color w:val="auto"/>
        </w:rPr>
      </w:pPr>
    </w:p>
    <w:p>
      <w:pPr>
        <w:jc w:val="both"/>
        <w:ind w:firstLine="1505"/>
        <w:spacing w:after="0"/>
        <w:tabs>
          <w:tab w:leader="none" w:pos="2191"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upon the termination of this Agreement, any Deferred Payments or other amounts are payable to Buyer hereunder, this Agreement shall remain in full force and effect until any and all such payments have been made in full, and (except as provided in this Section‎ 9.14) solely for that purpose.</w:t>
      </w:r>
    </w:p>
    <w:p>
      <w:pPr>
        <w:spacing w:after="0" w:line="186" w:lineRule="exact"/>
        <w:rPr>
          <w:rFonts w:ascii="Arial" w:cs="Arial" w:eastAsia="Arial" w:hAnsi="Arial"/>
          <w:sz w:val="22"/>
          <w:szCs w:val="22"/>
          <w:color w:val="auto"/>
        </w:rPr>
      </w:pPr>
    </w:p>
    <w:p>
      <w:pPr>
        <w:ind w:firstLine="1505"/>
        <w:spacing w:after="0" w:line="250" w:lineRule="auto"/>
        <w:tabs>
          <w:tab w:leader="none" w:pos="2190"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Nothing contained in this Section‎ 9.14 shall relieve either party from liability for any breach of this Agreement that occurs prior to termination.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96" w:name="page97"/>
    <w:bookmarkEnd w:id="96"/>
    <w:p>
      <w:pPr>
        <w:ind w:firstLine="749"/>
        <w:spacing w:after="0" w:line="250" w:lineRule="auto"/>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w:t>
      </w:r>
      <w:r>
        <w:rPr>
          <w:rFonts w:ascii="Arial" w:cs="Arial" w:eastAsia="Arial" w:hAnsi="Arial"/>
          <w:sz w:val="22"/>
          <w:szCs w:val="22"/>
          <w:color w:val="auto"/>
        </w:rPr>
        <w:t xml:space="preserve"> W</w:t>
      </w:r>
      <w:r>
        <w:rPr>
          <w:rFonts w:ascii="Arial" w:cs="Arial" w:eastAsia="Arial" w:hAnsi="Arial"/>
          <w:sz w:val="14"/>
          <w:szCs w:val="14"/>
          <w:color w:val="auto"/>
        </w:rPr>
        <w:t>itness</w:t>
      </w:r>
      <w:r>
        <w:rPr>
          <w:rFonts w:ascii="Arial" w:cs="Arial" w:eastAsia="Arial" w:hAnsi="Arial"/>
          <w:sz w:val="22"/>
          <w:szCs w:val="22"/>
          <w:color w:val="auto"/>
        </w:rPr>
        <w:t xml:space="preserve"> W</w:t>
      </w:r>
      <w:r>
        <w:rPr>
          <w:rFonts w:ascii="Arial" w:cs="Arial" w:eastAsia="Arial" w:hAnsi="Arial"/>
          <w:sz w:val="14"/>
          <w:szCs w:val="14"/>
          <w:color w:val="auto"/>
        </w:rPr>
        <w:t>hereof</w:t>
      </w:r>
      <w:r>
        <w:rPr>
          <w:rFonts w:ascii="Arial" w:cs="Arial" w:eastAsia="Arial" w:hAnsi="Arial"/>
          <w:sz w:val="22"/>
          <w:szCs w:val="22"/>
          <w:color w:val="auto"/>
        </w:rPr>
        <w:t>, the parties hereto have caused this Agreement to be executed by their respective representatives thereunto duly authorized as of the date first above written.</w:t>
      </w:r>
    </w:p>
    <w:p>
      <w:pPr>
        <w:spacing w:after="0" w:line="169"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APTEVO THERAPEUTICS INC.</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 /s/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11214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21410" cy="8890"/>
                    </a:xfrm>
                    <a:prstGeom prst="rect">
                      <a:avLst/>
                    </a:prstGeom>
                    <a:noFill/>
                  </pic:spPr>
                </pic:pic>
              </a:graphicData>
            </a:graphic>
          </wp:anchor>
        </w:drawing>
      </w:r>
    </w:p>
    <w:p>
      <w:pPr>
        <w:ind w:left="6000"/>
        <w:spacing w:after="0" w:line="238" w:lineRule="auto"/>
        <w:rPr>
          <w:sz w:val="20"/>
          <w:szCs w:val="20"/>
          <w:color w:val="auto"/>
        </w:rPr>
      </w:pPr>
      <w:r>
        <w:rPr>
          <w:rFonts w:ascii="Arial" w:cs="Arial" w:eastAsia="Arial" w:hAnsi="Arial"/>
          <w:sz w:val="22"/>
          <w:szCs w:val="22"/>
          <w:color w:val="auto"/>
        </w:rPr>
        <w:t>Name: Marvin L. White</w:t>
      </w:r>
    </w:p>
    <w:p>
      <w:pPr>
        <w:ind w:left="6000"/>
        <w:spacing w:after="0"/>
        <w:rPr>
          <w:sz w:val="20"/>
          <w:szCs w:val="20"/>
          <w:color w:val="auto"/>
        </w:rPr>
      </w:pPr>
      <w:r>
        <w:rPr>
          <w:rFonts w:ascii="Arial" w:cs="Arial" w:eastAsia="Arial" w:hAnsi="Arial"/>
          <w:sz w:val="22"/>
          <w:szCs w:val="22"/>
          <w:color w:val="auto"/>
        </w:rPr>
        <w:t>Title: President &amp; Chief Executive Offcer</w:t>
      </w: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XOMA (US) LLC</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 /s/ Bradley Sitko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9563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56310" cy="8890"/>
                    </a:xfrm>
                    <a:prstGeom prst="rect">
                      <a:avLst/>
                    </a:prstGeom>
                    <a:noFill/>
                  </pic:spPr>
                </pic:pic>
              </a:graphicData>
            </a:graphic>
          </wp:anchor>
        </w:drawing>
      </w:r>
    </w:p>
    <w:p>
      <w:pPr>
        <w:ind w:left="6000"/>
        <w:spacing w:after="0" w:line="238" w:lineRule="auto"/>
        <w:rPr>
          <w:sz w:val="20"/>
          <w:szCs w:val="20"/>
          <w:color w:val="auto"/>
        </w:rPr>
      </w:pPr>
      <w:r>
        <w:rPr>
          <w:rFonts w:ascii="Arial" w:cs="Arial" w:eastAsia="Arial" w:hAnsi="Arial"/>
          <w:sz w:val="22"/>
          <w:szCs w:val="22"/>
          <w:color w:val="auto"/>
        </w:rPr>
        <w:t>Name: Bradley Sitko</w:t>
      </w:r>
    </w:p>
    <w:p>
      <w:pPr>
        <w:ind w:left="6000"/>
        <w:spacing w:after="0"/>
        <w:rPr>
          <w:sz w:val="20"/>
          <w:szCs w:val="20"/>
          <w:color w:val="auto"/>
        </w:rPr>
      </w:pPr>
      <w:r>
        <w:rPr>
          <w:rFonts w:ascii="Arial" w:cs="Arial" w:eastAsia="Arial" w:hAnsi="Arial"/>
          <w:sz w:val="22"/>
          <w:szCs w:val="22"/>
          <w:color w:val="auto"/>
        </w:rPr>
        <w:t>Title: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Payment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sectPr>
          <w:pgSz w:w="11900" w:h="16838" w:orient="portrait"/>
          <w:cols w:equalWidth="0" w:num="1">
            <w:col w:w="9019"/>
          </w:cols>
          <w:pgMar w:left="1440" w:top="361"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497205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sectPr>
          <w:pgSz w:w="11900" w:h="16838" w:orient="portrait"/>
          <w:cols w:equalWidth="0" w:num="1">
            <w:col w:w="9019"/>
          </w:cols>
          <w:pgMar w:left="1440" w:top="361"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805815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C</w:t>
      </w:r>
    </w:p>
    <w:p>
      <w:pPr>
        <w:sectPr>
          <w:pgSz w:w="11900" w:h="16838" w:orient="portrait"/>
          <w:cols w:equalWidth="0" w:num="1">
            <w:col w:w="9019"/>
          </w:cols>
          <w:pgMar w:left="1440" w:top="361"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591820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D</w:t>
      </w:r>
    </w:p>
    <w:p>
      <w:pPr>
        <w:sectPr>
          <w:pgSz w:w="11900" w:h="16838" w:orient="portrait"/>
          <w:cols w:equalWidth="0" w:num="1">
            <w:col w:w="9019"/>
          </w:cols>
          <w:pgMar w:left="1440" w:top="604"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497205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E</w:t>
      </w:r>
    </w:p>
    <w:p>
      <w:pPr>
        <w:sectPr>
          <w:pgSz w:w="11900" w:h="16838" w:orient="portrait"/>
          <w:cols w:equalWidth="0" w:num="1">
            <w:col w:w="9019"/>
          </w:cols>
          <w:pgMar w:left="1440" w:top="361"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342900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102" w:name="page103"/>
    <w:bookmarkEnd w:id="1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20" w:val="left"/>
          <w:tab w:leader="none" w:pos="788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20" w:val="left"/>
          <w:tab w:leader="none" w:pos="796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Daphne Taylor</w:t>
      </w:r>
    </w:p>
    <w:p>
      <w:pPr>
        <w:spacing w:after="0" w:line="3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March 31,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6680" w:val="left"/>
          <w:tab w:leader="none" w:pos="84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8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connection with the Quarterly Report of Aptevo Inc. on Form 10-Q for the period ending March 31,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6680" w:val="left"/>
          <w:tab w:leader="none" w:pos="848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Daphne Taylor</w:t>
      </w:r>
    </w:p>
    <w:p>
      <w:pPr>
        <w:spacing w:after="0" w:line="36"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8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162134417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emdash "/>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3"/>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decimal"/>
      <w:start w:val="3"/>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A"/>
      <w:numFmt w:val="bullet"/>
      <w:start w:val="1"/>
    </w:lvl>
  </w:abstractNum>
  <w:abstractNum w:abstractNumId="34">
    <w:nsid w:val="79A1DEAA"/>
    <w:multiLevelType w:val="hybridMultilevel"/>
    <w:lvl w:ilvl="0">
      <w:lvlJc w:val="left"/>
      <w:lvlText w:val="(%1)"/>
      <w:numFmt w:val="lowerLetter"/>
      <w:start w:val="4"/>
    </w:lvl>
  </w:abstractNum>
  <w:abstractNum w:abstractNumId="35">
    <w:nsid w:val="75C6C33A"/>
    <w:multiLevelType w:val="hybridMultilevel"/>
    <w:lvl w:ilvl="0">
      <w:lvlJc w:val="left"/>
      <w:lvlText w:val="(%1)"/>
      <w:numFmt w:val="lowerRoman"/>
      <w:start w:val="3"/>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lvl w:ilvl="1">
      <w:lvlJc w:val="left"/>
      <w:lvlText w:val="(%2)"/>
      <w:numFmt w:val="lowerLetter"/>
      <w:start w:val="1"/>
    </w:lvl>
  </w:abstractNum>
  <w:abstractNum w:abstractNumId="40">
    <w:nsid w:val="4F4EF005"/>
    <w:multiLevelType w:val="hybridMultilevel"/>
    <w:lvl w:ilvl="0">
      <w:lvlJc w:val="left"/>
      <w:lvlText w:val="(%1)"/>
      <w:numFmt w:val="lowerLetter"/>
      <w:start w:val="9"/>
    </w:lvl>
    <w:lvl w:ilvl="1">
      <w:lvlJc w:val="left"/>
      <w:lvlText w:val="(%2)"/>
      <w:numFmt w:val="lowerLetter"/>
      <w:start w:val="4"/>
    </w:lvl>
  </w:abstractNum>
  <w:abstractNum w:abstractNumId="41">
    <w:nsid w:val="23F9C13C"/>
    <w:multiLevelType w:val="hybridMultilevel"/>
    <w:lvl w:ilvl="0">
      <w:lvlJc w:val="left"/>
      <w:lvlText w:val="(%1)"/>
      <w:numFmt w:val="lowerLetter"/>
      <w:start w:val="6"/>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3"/>
    </w:lvl>
  </w:abstractNum>
  <w:abstractNum w:abstractNumId="44">
    <w:nsid w:val="39386575"/>
    <w:multiLevelType w:val="hybridMultilevel"/>
    <w:lvl w:ilvl="0">
      <w:lvlJc w:val="left"/>
      <w:lvlText w:val="(%1)"/>
      <w:numFmt w:val="lowerRoman"/>
      <w:start w:val="1"/>
    </w:lvl>
  </w:abstractNum>
  <w:abstractNum w:abstractNumId="45">
    <w:nsid w:val="1CF10FD8"/>
    <w:multiLevelType w:val="hybridMultilevel"/>
    <w:lvl w:ilvl="0">
      <w:lvlJc w:val="left"/>
      <w:lvlText w:val="(%1)"/>
      <w:numFmt w:val="lowerLetter"/>
      <w:start w:val="4"/>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2"/>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1"/>
    </w:lvl>
    <w:lvl w:ilvl="1">
      <w:lvlJc w:val="left"/>
      <w:lvlText w:val="(%2)"/>
      <w:numFmt w:val="lowerLetter"/>
      <w:start w:val="9"/>
    </w:lvl>
  </w:abstractNum>
  <w:abstractNum w:abstractNumId="53">
    <w:nsid w:val="10233C99"/>
    <w:multiLevelType w:val="hybridMultilevel"/>
    <w:lvl w:ilvl="0">
      <w:lvlJc w:val="left"/>
      <w:lvlText w:val="%1"/>
      <w:numFmt w:val="upperLetter"/>
      <w:start w:val="1"/>
    </w:lvl>
    <w:lvl w:ilvl="1">
      <w:lvlJc w:val="left"/>
      <w:lvlText w:val="(%2)"/>
      <w:numFmt w:val="lowerRoman"/>
      <w:start w:val="2"/>
    </w:lvl>
  </w:abstractNum>
  <w:abstractNum w:abstractNumId="54">
    <w:nsid w:val="3F6AB60F"/>
    <w:multiLevelType w:val="hybridMultilevel"/>
    <w:lvl w:ilvl="0">
      <w:lvlJc w:val="left"/>
      <w:lvlText w:val="(%1)"/>
      <w:numFmt w:val="upperLetter"/>
      <w:start w:val="1"/>
    </w:lvl>
    <w:lvl w:ilvl="1">
      <w:lvlJc w:val="left"/>
      <w:lvlText w:val="%2"/>
      <w:numFmt w:val="lowerRoman"/>
      <w:start w:val="1"/>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Roman"/>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lowerRoman"/>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2023-05-11T07:56:43Z</dcterms:created>
  <dcterms:modified xsi:type="dcterms:W3CDTF">2023-05-11T07:56:43Z</dcterms:modified>
</cp:coreProperties>
</file>