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60960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4140"/>
        <w:spacing w:after="0"/>
        <w:tabs>
          <w:tab w:leader="none" w:pos="7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4102735</wp:posOffset>
            </wp:positionH>
            <wp:positionV relativeFrom="paragraph">
              <wp:posOffset>-7620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APTEVO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2" w:lineRule="exact"/>
        <w:rPr>
          <w:sz w:val="24"/>
          <w:szCs w:val="24"/>
          <w:color w:val="auto"/>
        </w:rPr>
      </w:pPr>
    </w:p>
    <w:tbl>
      <w:tblPr>
        <w:tblLayout w:type="fixed"/>
        <w:tblInd w:w="360" w:type="dxa"/>
        <w:tblCellMar>
          <w:top w:w="0" w:type="dxa"/>
          <w:left w:w="0" w:type="dxa"/>
          <w:bottom w:w="0" w:type="dxa"/>
          <w:right w:w="0" w:type="dxa"/>
        </w:tblCellMar>
      </w:tblPr>
      <w:tr>
        <w:trPr>
          <w:trHeight w:val="212"/>
        </w:trPr>
        <w:tc>
          <w:tcPr>
            <w:tcW w:w="4220" w:type="dxa"/>
            <w:vAlign w:val="bottom"/>
          </w:tcPr>
          <w:p>
            <w:pPr>
              <w:jc w:val="center"/>
              <w:ind w:left="697"/>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00" w:type="dxa"/>
            <w:vAlign w:val="bottom"/>
          </w:tcPr>
          <w:p>
            <w:pPr>
              <w:jc w:val="right"/>
              <w:ind w:right="1580"/>
              <w:spacing w:after="0"/>
              <w:rPr>
                <w:sz w:val="20"/>
                <w:szCs w:val="20"/>
                <w:color w:val="auto"/>
              </w:rPr>
            </w:pPr>
            <w:r>
              <w:rPr>
                <w:rFonts w:ascii="Arial" w:cs="Arial" w:eastAsia="Arial" w:hAnsi="Arial"/>
                <w:sz w:val="18"/>
                <w:szCs w:val="18"/>
                <w:b w:val="1"/>
                <w:bCs w:val="1"/>
                <w:color w:val="auto"/>
              </w:rPr>
              <w:t>81-1567056</w:t>
            </w:r>
          </w:p>
        </w:tc>
      </w:tr>
      <w:tr>
        <w:trPr>
          <w:trHeight w:val="149"/>
        </w:trPr>
        <w:tc>
          <w:tcPr>
            <w:tcW w:w="4220" w:type="dxa"/>
            <w:vAlign w:val="bottom"/>
          </w:tcPr>
          <w:p>
            <w:pPr>
              <w:jc w:val="center"/>
              <w:ind w:left="69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00" w:type="dxa"/>
            <w:vAlign w:val="bottom"/>
          </w:tcPr>
          <w:p>
            <w:pPr>
              <w:jc w:val="center"/>
              <w:ind w:right="13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left="697"/>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220" w:type="dxa"/>
            <w:vAlign w:val="bottom"/>
          </w:tcPr>
          <w:p>
            <w:pPr>
              <w:jc w:val="center"/>
              <w:ind w:left="697"/>
              <w:spacing w:after="0"/>
              <w:rPr>
                <w:sz w:val="20"/>
                <w:szCs w:val="20"/>
                <w:color w:val="auto"/>
              </w:rPr>
            </w:pPr>
            <w:r>
              <w:rPr>
                <w:rFonts w:ascii="Arial" w:cs="Arial" w:eastAsia="Arial" w:hAnsi="Arial"/>
                <w:sz w:val="18"/>
                <w:szCs w:val="18"/>
                <w:b w:val="1"/>
                <w:bCs w:val="1"/>
                <w:color w:val="auto"/>
                <w:w w:val="88"/>
              </w:rPr>
              <w:t>2401 4</w:t>
            </w:r>
            <w:r>
              <w:rPr>
                <w:rFonts w:ascii="Arial" w:cs="Arial" w:eastAsia="Arial" w:hAnsi="Arial"/>
                <w:sz w:val="15"/>
                <w:szCs w:val="15"/>
                <w:b w:val="1"/>
                <w:bCs w:val="1"/>
                <w:color w:val="auto"/>
                <w:w w:val="88"/>
              </w:rPr>
              <w:t>th</w:t>
            </w:r>
            <w:r>
              <w:rPr>
                <w:rFonts w:ascii="Arial" w:cs="Arial" w:eastAsia="Arial" w:hAnsi="Arial"/>
                <w:sz w:val="18"/>
                <w:szCs w:val="18"/>
                <w:b w:val="1"/>
                <w:bCs w:val="1"/>
                <w:color w:val="auto"/>
                <w:w w:val="88"/>
              </w:rPr>
              <w:t xml:space="preserve"> Avenue, Suite 1050</w:t>
            </w:r>
          </w:p>
        </w:tc>
        <w:tc>
          <w:tcPr>
            <w:tcW w:w="2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212"/>
        </w:trPr>
        <w:tc>
          <w:tcPr>
            <w:tcW w:w="4220" w:type="dxa"/>
            <w:vAlign w:val="bottom"/>
          </w:tcPr>
          <w:p>
            <w:pPr>
              <w:jc w:val="center"/>
              <w:ind w:left="697"/>
              <w:spacing w:after="0"/>
              <w:rPr>
                <w:sz w:val="20"/>
                <w:szCs w:val="20"/>
                <w:color w:val="auto"/>
              </w:rPr>
            </w:pPr>
            <w:r>
              <w:rPr>
                <w:rFonts w:ascii="Arial" w:cs="Arial" w:eastAsia="Arial" w:hAnsi="Arial"/>
                <w:sz w:val="18"/>
                <w:szCs w:val="18"/>
                <w:b w:val="1"/>
                <w:bCs w:val="1"/>
                <w:color w:val="auto"/>
                <w:w w:val="88"/>
              </w:rPr>
              <w:t>Seattle, Washington</w:t>
            </w: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00" w:type="dxa"/>
            <w:vAlign w:val="bottom"/>
          </w:tcPr>
          <w:p>
            <w:pPr>
              <w:jc w:val="right"/>
              <w:ind w:right="1780"/>
              <w:spacing w:after="0"/>
              <w:rPr>
                <w:sz w:val="20"/>
                <w:szCs w:val="20"/>
                <w:color w:val="auto"/>
              </w:rPr>
            </w:pPr>
            <w:r>
              <w:rPr>
                <w:rFonts w:ascii="Arial" w:cs="Arial" w:eastAsia="Arial" w:hAnsi="Arial"/>
                <w:sz w:val="18"/>
                <w:szCs w:val="18"/>
                <w:b w:val="1"/>
                <w:bCs w:val="1"/>
                <w:color w:val="auto"/>
              </w:rPr>
              <w:t>98121</w:t>
            </w:r>
          </w:p>
        </w:tc>
      </w:tr>
      <w:tr>
        <w:trPr>
          <w:trHeight w:val="186"/>
        </w:trPr>
        <w:tc>
          <w:tcPr>
            <w:tcW w:w="4220" w:type="dxa"/>
            <w:vAlign w:val="bottom"/>
          </w:tcPr>
          <w:p>
            <w:pPr>
              <w:jc w:val="center"/>
              <w:ind w:left="71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00" w:type="dxa"/>
            <w:vAlign w:val="bottom"/>
          </w:tcPr>
          <w:p>
            <w:pPr>
              <w:jc w:val="center"/>
              <w:ind w:right="1400"/>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10300" w:type="dxa"/>
            <w:vAlign w:val="bottom"/>
            <w:gridSpan w:val="4"/>
          </w:tcPr>
          <w:p>
            <w:pPr>
              <w:jc w:val="center"/>
              <w:ind w:left="317"/>
              <w:spacing w:after="0"/>
              <w:rPr>
                <w:sz w:val="20"/>
                <w:szCs w:val="20"/>
                <w:color w:val="auto"/>
              </w:rPr>
            </w:pPr>
            <w:r>
              <w:rPr>
                <w:rFonts w:ascii="Arial" w:cs="Arial" w:eastAsia="Arial" w:hAnsi="Arial"/>
                <w:sz w:val="18"/>
                <w:szCs w:val="18"/>
                <w:b w:val="1"/>
                <w:bCs w:val="1"/>
                <w:color w:val="auto"/>
                <w:w w:val="89"/>
              </w:rPr>
              <w:t>Registrant’s telephone number, including area code: (206) 838-0500</w:t>
            </w:r>
          </w:p>
        </w:tc>
      </w:tr>
      <w:tr>
        <w:trPr>
          <w:trHeight w:val="95"/>
        </w:trPr>
        <w:tc>
          <w:tcPr>
            <w:tcW w:w="422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277"/>
        </w:trPr>
        <w:tc>
          <w:tcPr>
            <w:tcW w:w="7600" w:type="dxa"/>
            <w:vAlign w:val="bottom"/>
            <w:gridSpan w:val="3"/>
          </w:tcPr>
          <w:p>
            <w:pPr>
              <w:jc w:val="center"/>
              <w:ind w:left="3037"/>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700" w:type="dxa"/>
            <w:vAlign w:val="bottom"/>
          </w:tcPr>
          <w:p>
            <w:pPr>
              <w:spacing w:after="0"/>
              <w:rPr>
                <w:sz w:val="24"/>
                <w:szCs w:val="24"/>
                <w:color w:val="auto"/>
              </w:rPr>
            </w:pPr>
          </w:p>
        </w:tc>
      </w:tr>
      <w:tr>
        <w:trPr>
          <w:trHeight w:val="211"/>
        </w:trPr>
        <w:tc>
          <w:tcPr>
            <w:tcW w:w="4220" w:type="dxa"/>
            <w:vAlign w:val="bottom"/>
          </w:tcPr>
          <w:p>
            <w:pPr>
              <w:jc w:val="center"/>
              <w:ind w:right="837"/>
              <w:spacing w:after="0"/>
              <w:rPr>
                <w:sz w:val="20"/>
                <w:szCs w:val="20"/>
                <w:color w:val="auto"/>
              </w:rPr>
            </w:pPr>
            <w:r>
              <w:rPr>
                <w:rFonts w:ascii="Arial" w:cs="Arial" w:eastAsia="Arial" w:hAnsi="Arial"/>
                <w:sz w:val="14"/>
                <w:szCs w:val="14"/>
                <w:b w:val="1"/>
                <w:bCs w:val="1"/>
                <w:color w:val="auto"/>
                <w:w w:val="91"/>
              </w:rPr>
              <w:t>Title of Each Class</w:t>
            </w:r>
          </w:p>
        </w:tc>
        <w:tc>
          <w:tcPr>
            <w:tcW w:w="33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Trading Symbols(s)</w:t>
            </w:r>
          </w:p>
        </w:tc>
        <w:tc>
          <w:tcPr>
            <w:tcW w:w="2700" w:type="dxa"/>
            <w:vAlign w:val="bottom"/>
          </w:tcPr>
          <w:p>
            <w:pPr>
              <w:ind w:left="220"/>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34"/>
        </w:trPr>
        <w:tc>
          <w:tcPr>
            <w:tcW w:w="4220" w:type="dxa"/>
            <w:vAlign w:val="bottom"/>
          </w:tcPr>
          <w:p>
            <w:pPr>
              <w:jc w:val="center"/>
              <w:ind w:right="837"/>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338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7"/>
              </w:rPr>
              <w:t>APVO</w:t>
            </w:r>
          </w:p>
        </w:tc>
        <w:tc>
          <w:tcPr>
            <w:tcW w:w="2700" w:type="dxa"/>
            <w:vAlign w:val="bottom"/>
          </w:tcPr>
          <w:p>
            <w:pPr>
              <w:ind w:left="240"/>
              <w:spacing w:after="0"/>
              <w:rPr>
                <w:sz w:val="20"/>
                <w:szCs w:val="20"/>
                <w:color w:val="auto"/>
              </w:rPr>
            </w:pPr>
            <w:r>
              <w:rPr>
                <w:rFonts w:ascii="Arial" w:cs="Arial" w:eastAsia="Arial" w:hAnsi="Arial"/>
                <w:sz w:val="18"/>
                <w:szCs w:val="18"/>
                <w:b w:val="1"/>
                <w:bCs w:val="1"/>
                <w:color w:val="auto"/>
                <w:w w:val="94"/>
              </w:rPr>
              <w:t>The Nasdaq Stock Market LLC</w:t>
            </w:r>
          </w:p>
        </w:tc>
      </w:tr>
    </w:tbl>
    <w:p>
      <w:pPr>
        <w:ind w:left="8280"/>
        <w:spacing w:after="0"/>
        <w:rPr>
          <w:sz w:val="20"/>
          <w:szCs w:val="20"/>
          <w:color w:val="auto"/>
        </w:rPr>
      </w:pPr>
      <w:r>
        <w:rPr>
          <w:rFonts w:ascii="Arial" w:cs="Arial" w:eastAsia="Arial" w:hAnsi="Arial"/>
          <w:sz w:val="18"/>
          <w:szCs w:val="18"/>
          <w:b w:val="1"/>
          <w:bCs w:val="1"/>
          <w:color w:val="auto"/>
        </w:rPr>
        <w:t>(The Nasdaq Capital Market)</w:t>
      </w:r>
    </w:p>
    <w:p>
      <w:pPr>
        <w:spacing w:after="0" w:line="76"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9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00" w:type="dxa"/>
            <w:vAlign w:val="bottom"/>
          </w:tcPr>
          <w:p>
            <w:pPr>
              <w:ind w:left="32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6, 2019, the number of shares of the registrant’s common stock outstanding was 45,279,244.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159385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20" w:type="dxa"/>
            <w:vAlign w:val="bottom"/>
            <w:gridSpan w:val="2"/>
            <w:vMerge w:val="continue"/>
          </w:tcPr>
          <w:p>
            <w:pPr>
              <w:spacing w:after="0"/>
              <w:rPr>
                <w:sz w:val="14"/>
                <w:szCs w:val="14"/>
                <w:color w:val="auto"/>
              </w:rPr>
            </w:pPr>
          </w:p>
        </w:tc>
        <w:tc>
          <w:tcPr>
            <w:tcW w:w="9740" w:type="dxa"/>
            <w:vAlign w:val="bottom"/>
            <w:gridSpan w:val="18"/>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42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70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60" w:type="dxa"/>
            <w:vAlign w:val="bottom"/>
            <w:tcBorders>
              <w:top w:val="single" w:sz="8" w:color="0000EE"/>
            </w:tcBorders>
            <w:gridSpan w:val="4"/>
          </w:tcPr>
          <w:p>
            <w:pPr>
              <w:spacing w:after="0"/>
              <w:rPr>
                <w:sz w:val="17"/>
                <w:szCs w:val="17"/>
                <w:color w:val="auto"/>
              </w:rPr>
            </w:pPr>
          </w:p>
        </w:tc>
        <w:tc>
          <w:tcPr>
            <w:tcW w:w="498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Stockholders’ Equity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1240" w:type="dxa"/>
            <w:vAlign w:val="bottom"/>
            <w:tcBorders>
              <w:top w:val="single" w:sz="8" w:color="0000EE"/>
            </w:tcBorders>
            <w:gridSpan w:val="2"/>
          </w:tcPr>
          <w:p>
            <w:pPr>
              <w:spacing w:after="0"/>
              <w:rPr>
                <w:sz w:val="17"/>
                <w:szCs w:val="17"/>
                <w:color w:val="auto"/>
              </w:rPr>
            </w:pPr>
          </w:p>
        </w:tc>
        <w:tc>
          <w:tcPr>
            <w:tcW w:w="412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740" w:type="dxa"/>
            <w:vAlign w:val="bottom"/>
            <w:gridSpan w:val="1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3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798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7720" w:type="dxa"/>
            <w:vAlign w:val="bottom"/>
            <w:gridSpan w:val="11"/>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4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Unregistered Sales of Equity Securities and Use of Proceeds</w:t>
              </w:r>
            </w:hyperlink>
          </w:p>
        </w:tc>
        <w:tc>
          <w:tcPr>
            <w:tcW w:w="540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Defaults Upon Senior Securities</w:t>
              </w:r>
            </w:hyperlink>
          </w:p>
        </w:tc>
        <w:tc>
          <w:tcPr>
            <w:tcW w:w="736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Mine Safety Disclosures</w:t>
              </w:r>
            </w:hyperlink>
          </w:p>
        </w:tc>
        <w:tc>
          <w:tcPr>
            <w:tcW w:w="798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740" w:type="dxa"/>
            <w:vAlign w:val="bottom"/>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44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60,556</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FF0FC"/>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rebates and discounts payable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Loan payable,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short-term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net</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15,000,000 shares authorized, zero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issued or outstanding</w:t>
            </w:r>
          </w:p>
        </w:tc>
        <w:tc>
          <w:tcPr>
            <w:tcW w:w="1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Common stock: $0.001 par value; 500,000,000 shares authorized; 45,279,244</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and 22,808,416 shares issued and outstanding at September 30, 2019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December 31, 2018,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(159,682)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(127,408)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4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9,011</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5,824</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23,393</w:t>
            </w:r>
          </w:p>
        </w:tc>
        <w:tc>
          <w:tcPr>
            <w:tcW w:w="16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 from continuing operations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Benefit from income tax</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(10,175)</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Discontinued operations (Note 11):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2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w:t>
            </w:r>
          </w:p>
        </w:tc>
        <w:tc>
          <w:tcPr>
            <w:tcW w:w="24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and diluted per share amounts: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(0.90)</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basic share</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to compute per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45,169,864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22,672,721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39,341,974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22,431,146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(39,561)</w:t>
            </w:r>
          </w:p>
        </w:tc>
        <w:tc>
          <w:tcPr>
            <w:tcW w:w="100" w:type="dxa"/>
            <w:vAlign w:val="bottom"/>
            <w:shd w:val="clear" w:color="auto" w:fill="CFF0FC"/>
          </w:tcPr>
          <w:p>
            <w:pPr>
              <w:spacing w:after="0"/>
              <w:rPr>
                <w:sz w:val="19"/>
                <w:szCs w:val="19"/>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available-for-sale investments,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20"/>
                <w:szCs w:val="20"/>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(6,924)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(12,528)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(32,274)</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(39,458)</w:t>
            </w: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56"/>
        </w:trPr>
        <w:tc>
          <w:tcPr>
            <w:tcW w:w="68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(32,274)</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(39,561)</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Non-cash interest expense and other</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Hyperimmune Business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(4,250)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(2,698)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(4,061)</w:t>
            </w: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(2,941)</w:t>
            </w: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(1,570)</w:t>
            </w: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right of use asset</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compensation and other liabilities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w:t>
            </w: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Long-term operating lease liability</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rebates and discounts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(44,130)</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Proceeds from the maturity of investments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81,152</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received from sale of Hyperimmune Business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Purchases of investments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(16,534)</w:t>
            </w:r>
          </w:p>
        </w:tc>
      </w:tr>
      <w:tr>
        <w:trPr>
          <w:trHeight w:val="223"/>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63,756</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Proceeds from issuance of common stock, warrants, and pre-funded warrants, net</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Proceeds from the exercise of pre-funded warrants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Payment of tax liability for vested equity awards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(797)</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Debt issuance costs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(12,902)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18,800</w:t>
            </w:r>
          </w:p>
        </w:tc>
        <w:tc>
          <w:tcPr>
            <w:tcW w:w="12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12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36,295</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June 30, 2019</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45,098,823</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178,912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(152,758)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spacing w:after="0"/>
              <w:rPr>
                <w:sz w:val="20"/>
                <w:szCs w:val="20"/>
                <w:color w:val="auto"/>
              </w:rPr>
            </w:pPr>
            <w:r>
              <w:rPr>
                <w:rFonts w:ascii="Arial" w:cs="Arial" w:eastAsia="Arial" w:hAnsi="Arial"/>
                <w:sz w:val="16"/>
                <w:szCs w:val="16"/>
                <w:color w:val="auto"/>
              </w:rPr>
              <w:t>Issuance of common stock, net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180,421</w:t>
            </w: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(6,924)</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(6,924)</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2019</w:t>
            </w: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45,279,244</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(159,682)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2"/>
              <w:spacing w:after="0" w:line="12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June 30, 2018</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22,667,873</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(100,717)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6"/>
                <w:szCs w:val="16"/>
                <w:color w:val="auto"/>
              </w:rPr>
              <w:t>Unrealized gain on available-</w:t>
            </w: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for-sale investments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3,464</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5,933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(12,562)</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(12,562)</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2018</w:t>
            </w: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22,677,270</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(113,279)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2"/>
              <w:spacing w:after="0" w:line="12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22,808,416</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157,791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(127,408)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6"/>
                <w:szCs w:val="16"/>
                <w:color w:val="auto"/>
              </w:rPr>
              <w:t>Issuance of common stock, pre-</w:t>
            </w: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rPr>
                <w:sz w:val="20"/>
                <w:szCs w:val="20"/>
                <w:color w:val="auto"/>
              </w:rPr>
            </w:pPr>
            <w:r>
              <w:rPr>
                <w:rFonts w:ascii="Arial" w:cs="Arial" w:eastAsia="Arial" w:hAnsi="Arial"/>
                <w:sz w:val="16"/>
                <w:szCs w:val="16"/>
                <w:color w:val="auto"/>
              </w:rPr>
              <w:t>funded warrants and warrants,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net</w:t>
            </w:r>
          </w:p>
        </w:tc>
        <w:tc>
          <w:tcPr>
            <w:tcW w:w="1220" w:type="dxa"/>
            <w:vAlign w:val="bottom"/>
          </w:tcPr>
          <w:p>
            <w:pPr>
              <w:jc w:val="right"/>
              <w:spacing w:after="0"/>
              <w:rPr>
                <w:sz w:val="20"/>
                <w:szCs w:val="20"/>
                <w:color w:val="auto"/>
              </w:rPr>
            </w:pPr>
            <w:r>
              <w:rPr>
                <w:rFonts w:ascii="Arial" w:cs="Arial" w:eastAsia="Arial" w:hAnsi="Arial"/>
                <w:sz w:val="16"/>
                <w:szCs w:val="16"/>
                <w:color w:val="auto"/>
              </w:rPr>
              <w:t>22,180,421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commitment shares</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common stock, non-cash</w:t>
            </w: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195,867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94,540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(32,274)</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(32,274)</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2019</w:t>
            </w: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45,279,244</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179,382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(159,682)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7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42"/>
              <w:spacing w:after="0" w:line="12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81"/>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2017</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21,605,716</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155,836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(73,718)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40" w:type="dxa"/>
            <w:vAlign w:val="bottom"/>
          </w:tcPr>
          <w:p>
            <w:pPr>
              <w:spacing w:after="0"/>
              <w:rPr>
                <w:sz w:val="20"/>
                <w:szCs w:val="20"/>
                <w:color w:val="auto"/>
              </w:rPr>
            </w:pPr>
            <w:r>
              <w:rPr>
                <w:rFonts w:ascii="Arial" w:cs="Arial" w:eastAsia="Arial" w:hAnsi="Arial"/>
                <w:sz w:val="16"/>
                <w:szCs w:val="16"/>
                <w:color w:val="auto"/>
              </w:rPr>
              <w:t>Unrealized gain on available-</w:t>
            </w: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for-sale investments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Common stock issued upon</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exercise of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257,550</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color w:val="auto"/>
              </w:rPr>
              <w:t>Common stock issued upon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40" w:type="dxa"/>
            <w:vAlign w:val="bottom"/>
          </w:tcPr>
          <w:p>
            <w:pPr>
              <w:ind w:left="120"/>
              <w:spacing w:after="0"/>
              <w:rPr>
                <w:sz w:val="20"/>
                <w:szCs w:val="20"/>
                <w:color w:val="auto"/>
              </w:rPr>
            </w:pPr>
            <w:r>
              <w:rPr>
                <w:rFonts w:ascii="Arial" w:cs="Arial" w:eastAsia="Arial" w:hAnsi="Arial"/>
                <w:sz w:val="16"/>
                <w:szCs w:val="16"/>
                <w:color w:val="auto"/>
              </w:rPr>
              <w:t>vesting of restricted stock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814,004</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(797)</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(39,561)</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(39,561)</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2018</w:t>
            </w: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vMerge w:val="continue"/>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22,677,270</w:t>
            </w:r>
          </w:p>
        </w:tc>
        <w:tc>
          <w:tcPr>
            <w:tcW w:w="118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157,258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(113,279)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Aptevo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 of immuno-oncology.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currently trading on the Nasdaq Capital Market under the symbol “APVO.”</w:t>
      </w: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Aptevo Research and Development LLC; Aptevo BioTherapeutics LLC; and Aptevo Europe Limited. All intercompany balances and transactions have been eliminated and we have determined that we operate in one segment.</w:t>
      </w:r>
    </w:p>
    <w:p>
      <w:pPr>
        <w:spacing w:after="0" w:line="20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the rules and regulations of the Securities and Exchange Commission (SEC) and U.S. generally accepted accounting principles (GAAP) for unaudited interim financial information. Accordingly, they do not include all of the information and footnotes required by GAAP for audited annual financial statements. These condensed consolidated financial statements include all adjustments, which include normal recurring adjustments, necessary for the fair presentation of the Company’s financial position.</w:t>
      </w:r>
    </w:p>
    <w:p>
      <w:pPr>
        <w:spacing w:after="0" w:line="154"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These unaudited condensed consolidated financial statements should be read in conjunction with our audited consolidated financial statements and accompanying notes included in our Form 10-K for the year ended December 31, 2018, which was filed with the SEC on March 18, 2019.</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1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accompanying financial statements have been prepared on a basis that assumes we will continue as a going concern and which contemplates the realization of assets and satisfaction of liabilities and commitments in the normal course of business. We have suffered recurring losses from operations and negative cash flows from operating activities. At September 30, 2019, we had cash, cash equivalents, short-term investments, and restricted cash totaling $25.2 million and an accumulated deficit of $159.7 million. While we continue to generate cash inflows from the sale of IXINITY, we expect to continue spending significantly on research and development and in marketing IXINITY.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2020.</w:t>
      </w:r>
    </w:p>
    <w:p>
      <w:pPr>
        <w:spacing w:after="0" w:line="17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continue to face significant challenges and uncertainties and, as a result, our available capital resources may be consumed more rapidly than currently expected due to: (a) potential decreases in sales of IXINITY, our sole marketed product, and the uncertainty of future revenues; (b) changes we may make to the business that affect ongoing operating expenses; (c) changes we may make in our business strategy; (d) regulatory developments affecting IXINITY; (e) changes we may make in our research and development spending plans; and (f) other items affecting our forecasted level of expenditures and use of cash resources. We may attempt to obtain additional funding through our existing equity sales agreement with Lincoln Park Financial LLC or our Equity Distribution Agreement with Piper Jaffray, or other public or private financing, collaborative arrangements with strategic partners, or through additional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sales and marketing efforts, research and development activities, or other operations and potentially delay product development in an effort to provide sufficient funds to continue our operations. If any of these events occurs, our ability to achieve our development and commercialization goals may be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January 1, 2019 we adopted ASU No. 2016-02, Leases (ASC 842), which amended the existing standards for lease accounting, requiring lessees to recognize most leases on their balance sheets and disclose key information about leasing arrangements. We adopted the new standard using a modified retrospective transition approach at the beginning of the current fiscal year, January 1, 2019. We did not adjust comparative periods in our financial statements prior to that period.</w:t>
      </w:r>
    </w:p>
    <w:p>
      <w:pPr>
        <w:spacing w:after="0" w:line="21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transition leases, entities were permitted to make an election to apply a package of practical expedients that allows entities not to reassess (i) whether any expired or existing contracts are or contain leases, (ii) lease classification for any expired or existing leases, and (iii) whether initial direct costs for any expired or existing leases qualify for capitalization under ASC 842. In addition, entities were also permitted to make an election to use hindsight when determining lease terms and when assessing the impairment of right-of-use assets. We have chosen to elect the package of practical expedients but did not elect the hindsight practical expedient for our transition leases.</w:t>
      </w:r>
    </w:p>
    <w:p>
      <w:pPr>
        <w:spacing w:after="0" w:line="22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determine if an arrangement is a lease at inception date. Leases are to be classified as finance or operating at the lease commencement date, which affects the classification of expense recognition in the income statement.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20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 our existing leases do not contain an implicit interest rate, we estimate our incremental borrowing rate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w:t>
      </w:r>
    </w:p>
    <w:p>
      <w:pPr>
        <w:spacing w:after="0" w:line="174"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Lease expense for operating leases is recognized on a straight-line basis over the lease term as part of our selling, general and administrative expenses and our research and development expenses on our consolidated statement of operations. Lease expense for financing leases consists of amortization of the right-of-use asset and interest on the lease liability as part of our research and development expenses on our consolidated statement of operations.</w:t>
      </w:r>
    </w:p>
    <w:p>
      <w:pPr>
        <w:spacing w:after="0" w:line="18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Adoption of the new standard resulted in the recognition of a right-to-use asset of $1.5 million, an operating lease liability of $2.2 million dollars, and a related decrease in deferred rent liability of $0.7 million at January 1, 2019. Refer to Note 6 for additional information.</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Stock-based compensation expense is recognized for all share-based payments made to employees, directors and non-employees based on estimated fair values as of the date of grant. The fair value of our stock options is calculated using the Black-Scholes option-pricing model which requires judgmental assumptions including volatility, risk-free rates and expected option life. We recognize stock-based compensation expense on a straight-line basis over the requisite service period, net of an estimated forfeiture rate.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b w:val="1"/>
          <w:bCs w:val="1"/>
          <w:color w:val="auto"/>
        </w:rPr>
        <w:t>ther Significant Accounting Policies</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Our other significant accounting policies were reported in our Annual Report on Form 10-K for the year ended December 31, 2018 that was filed with the SEC on March 18, 2019. Our other significant accounting policies have not changed materially from the policies previously reported.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In June 2016, the FASB issued ASU 2016-13, Financial Instruments — Credit Losses, (Topic 326) which changes how entities account for credit losses on most financial assets and certain other instruments, and expands disclosures. The standard is effective for annual and interim periods beginning after December 15, 2022, with early adoption permitted, for Aptevo, as we meet the definition of a smaller reporting company (SRC). We expect to adopt the standard on January 1, 2020 and are still in the process of evaluating the effect of adoption on our consolidated financial statements and disclosures.</w:t>
      </w:r>
    </w:p>
    <w:p>
      <w:pPr>
        <w:spacing w:after="0" w:line="15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(“ASU 2018-13”), which modifies the disclosure requirements for fair value measurements. The new standard is effective for the Company on January 1, 2020. Early adoption is permitted. We are evaluating the impact the adoption of ASU 2018-13 may have on our disclosures.</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2. Collaboration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Alligator</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w:t>
      </w:r>
    </w:p>
    <w:p>
      <w:pPr>
        <w:spacing w:after="0" w:line="20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Subject to certain exceptions for Aptevo’s manufacturing and platform technologies, the parties will jointly own intellectual property generated in the performance of the development activities under the Collaboration Agreement.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214"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206"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Aptevo and Alligator have made a joint decision to delay submission of the clinical trial authorization (CTA) for ALG-APV.527 previously planned for the fourth quarter of 2019. Alligator and Aptevo have made a joint decision to focus efforts on partnering ALG.APV-527 prior to phase 1 clinical development. The adjustment to the development plan for ALG.APV -527 will allow both Aptevo and Alligator to align their resources with their respective ongoing clinical programs. The companies are initiating discussions with potential partners for the upcoming clinical development of ALG.APV-527.</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three and nine months ended September 30, 2019, we recorded a reduction in our research and development expense of $1.0 million and $1.6 million, respectively, and for the three and nine months ended September 30, 2018, we recorded a decrease in our research and development expense of $0.2 million and $0.4 million, respectively, related to the collaboration arrangement.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20" w:firstLine="518"/>
        <w:spacing w:after="0" w:line="272" w:lineRule="auto"/>
        <w:rPr>
          <w:sz w:val="20"/>
          <w:szCs w:val="20"/>
          <w:color w:val="auto"/>
        </w:rPr>
      </w:pPr>
      <w:r>
        <w:rPr>
          <w:rFonts w:ascii="Arial" w:cs="Arial" w:eastAsia="Arial" w:hAnsi="Arial"/>
          <w:sz w:val="17"/>
          <w:szCs w:val="17"/>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27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At September 30, 2019 and December 31, 2018, we had $10.4 million and $29.0 million in money market funds, respectively. Money market funds are level one balances as they are valued at fair value, which is the closing price reported by the fund sponsor from an actively traded exchange. At September 30, 2019 and December 31, 2018, we did not have any level two or level three assets or liabilities.</w:t>
      </w:r>
    </w:p>
    <w:p>
      <w:pPr>
        <w:spacing w:after="0" w:line="3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135"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The Company’s cash equivalents are highly liquid investments with a maturity of 90 days or less at the date of purchase and include time deposits and investments in money market funds. Restricted cash, long-term includes $5.0 million related to the minimum cash covenant included in the Company’s Credit and Security Agreement (the Credit Agreement) with MidCap Financial Trust, and $2.5 million securing letters of credit, which will be released between March and September 2021.</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our cash, cash equivalents and long-term restricted cash as of September 30,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Arial" w:cs="Arial" w:eastAsia="Arial" w:hAnsi="Arial"/>
                <w:sz w:val="18"/>
                <w:szCs w:val="18"/>
                <w:color w:val="auto"/>
              </w:rPr>
              <w:t>Total cash, cash equivalents, and restricted cash</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Note 5. Inventories</w:t>
            </w: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82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Inventories consist of the following:</w:t>
            </w: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Raw materials and supplies</w:t>
            </w:r>
          </w:p>
        </w:tc>
        <w:tc>
          <w:tcPr>
            <w:tcW w:w="2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Work-in-process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ind w:left="580"/>
              <w:spacing w:after="0"/>
              <w:rPr>
                <w:sz w:val="20"/>
                <w:szCs w:val="20"/>
                <w:color w:val="auto"/>
              </w:rPr>
            </w:pPr>
            <w:r>
              <w:rPr>
                <w:rFonts w:ascii="Arial" w:cs="Arial" w:eastAsia="Arial" w:hAnsi="Arial"/>
                <w:sz w:val="18"/>
                <w:szCs w:val="18"/>
                <w:color w:val="auto"/>
              </w:rPr>
              <w:t>Total inventories</w:t>
            </w:r>
          </w:p>
        </w:tc>
        <w:tc>
          <w:tcPr>
            <w:tcW w:w="2840" w:type="dxa"/>
            <w:vAlign w:val="bottom"/>
            <w:gridSpan w:val="2"/>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60" w:type="dxa"/>
            <w:vAlign w:val="bottom"/>
            <w:vMerge w:val="restart"/>
          </w:tcPr>
          <w:p>
            <w:pPr>
              <w:jc w:val="right"/>
              <w:ind w:right="159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Note 6. Leases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Office Space Lease – Operating</w:t>
      </w:r>
    </w:p>
    <w:p>
      <w:pPr>
        <w:spacing w:after="0" w:line="13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have an operating lease related to our office and laboratory space in Seattle, Washington. This lease was amended and extended in March 2019. The term of the amended lease is through April 2030 and we have two options to extend the lease term, each by five years, as well as a one-time option to terminate the lease in April 2023.</w:t>
      </w:r>
    </w:p>
    <w:p>
      <w:pPr>
        <w:spacing w:after="0" w:line="181"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We recorded a right-of-use asset for this lease on January 1, 2019 of $1.2 million which reflects the amount of the remaining lease liability, less the balance of accrued and deferred rent, and net of the unamortized balance of tenant incentives. We also recorded a lease liability of $1.9 million, which reflects the present value of the remaining lease payments, discounted using our incremental borrowing rate of 16.95% for the remaining term of the lease. The future expense for this lease will be recorded as a straight-line expense, less the unamortized tenant incentive portion, plus any variable expenses due to true-ups of operating costs or real estate taxes. In August of 2019, we amended the lease to reduce the space included in the original lease to equal the space in the renewed lease. As a result, we recorded an adjustment of $0.1 million to the right-of-use asset and lease liability.</w:t>
      </w:r>
    </w:p>
    <w:p>
      <w:pPr>
        <w:spacing w:after="0" w:line="205"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As a result of the lease amendment in March 2019, we recorded an increase to our right-of-use asset for this lease amendment of $3.2 million which reflects the amount of the remaining lease liability through April 30, 2023, less the balance of accrued and deferred rent, and net of the unamortized balance of tenant incentives. In March 2019, we also recorded an increase to our lease liability for this lease amendment of $3.2 million which reflects the present value of the remaining lease payments through April 30, 2023, discounted using our incremental borrowing rate of 14.45% for the remaining term of the lease on the date of amendment.</w:t>
      </w:r>
    </w:p>
    <w:p>
      <w:pPr>
        <w:spacing w:after="0" w:line="215"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The amended lease has a renewal option of two five-year renewals at fair market value as determined at the time of renewal, and a termination option after month thirty-six with nine months written notice. The termination option also requires a penalty equal to the unamortized tenant improvement allowance at 8% interest, the unamortized real estate taxes at 8% interest, and the equivalent of four-months’ rent at the base rent price at the time of termination. The estimated termination penalty has been recorded in our lease payments. We determined we should not include any periods after the termination option when evaluating this amendment as we are not reasonably certain to not exercise the option, therefore we are recording our liability through April 30, 2023.</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nine months ended September 30, 2019, we recorded $0.1 million and $0.4 million, respectively, related to variable expenses.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Leases - Operating</w:t>
      </w:r>
    </w:p>
    <w:p>
      <w:pPr>
        <w:spacing w:after="0" w:line="117"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As of January 1, 2019, we have operating leases for one piece of lab equipment and four copiers in our Seattle, Washington headquarters. We recorded a right-of-use asset of $0.3 million on January 1, 2019 which reflects the remaining liability of the leases, less the balance of accrued and deferred rent. We also recorded a lease liability of $0.3 million which reflects the present value of the remaining payment for the leases, discounted using our incremental borrowing rate for the lab equipment lease is 16.53% and for the copier leases it is 16.19%, for the remaining term of the leases. The future expense for these leases will be straight-line and will include any variable expenses that arise.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Equipment Lease – Financing</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As of January 1, 2019, we had one equipment lease classified as a financing lease as the lease transfers ownership of the underlying asset to us at the end of the lease term. The remaining term of this lease is eleven months and has a remaining expense obligation of less than $0.1 million. There were no financing lease payments in the nine months ended September 30, 2019.</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lease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w w:val="97"/>
              </w:rPr>
              <w:t>For the Three Months</w:t>
            </w:r>
          </w:p>
        </w:tc>
        <w:tc>
          <w:tcPr>
            <w:tcW w:w="24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For the Nine Months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Ended September 30,</w:t>
            </w:r>
          </w:p>
        </w:tc>
        <w:tc>
          <w:tcPr>
            <w:tcW w:w="240" w:type="dxa"/>
            <w:vAlign w:val="bottom"/>
          </w:tcPr>
          <w:p>
            <w:pPr>
              <w:spacing w:after="0"/>
              <w:rPr>
                <w:sz w:val="16"/>
                <w:szCs w:val="16"/>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Ended 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ind w:left="580"/>
              <w:spacing w:after="0"/>
              <w:rPr>
                <w:sz w:val="20"/>
                <w:szCs w:val="20"/>
                <w:color w:val="auto"/>
              </w:rPr>
            </w:pPr>
            <w:r>
              <w:rPr>
                <w:rFonts w:ascii="Arial" w:cs="Arial" w:eastAsia="Arial" w:hAnsi="Arial"/>
                <w:sz w:val="14"/>
                <w:szCs w:val="14"/>
                <w:b w:val="1"/>
                <w:bCs w:val="1"/>
                <w:color w:val="auto"/>
              </w:rPr>
              <w:t>(in thousands)</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Finance lease cost:</w:t>
            </w:r>
          </w:p>
        </w:tc>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right-of-use assets</w:t>
            </w: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30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3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60" w:type="dxa"/>
            <w:vAlign w:val="bottom"/>
            <w:vMerge w:val="restart"/>
          </w:tcPr>
          <w:p>
            <w:pPr>
              <w:jc w:val="right"/>
              <w:ind w:right="159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Right of use assets acquired under operating leases: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215"/>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excluding Seattle office lease</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Seattle office lease, including amendment</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leases</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Lease payments: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Nine Months</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September 30,</w:t>
            </w:r>
          </w:p>
        </w:tc>
        <w:tc>
          <w:tcPr>
            <w:tcW w:w="0" w:type="dxa"/>
            <w:vAlign w:val="bottom"/>
          </w:tcPr>
          <w:p>
            <w:pPr>
              <w:spacing w:after="0"/>
              <w:rPr>
                <w:sz w:val="1"/>
                <w:szCs w:val="1"/>
                <w:color w:val="auto"/>
              </w:rPr>
            </w:pPr>
          </w:p>
        </w:tc>
      </w:tr>
      <w:tr>
        <w:trPr>
          <w:trHeight w:val="215"/>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For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320" w:type="dxa"/>
            <w:vAlign w:val="bottom"/>
            <w:gridSpan w:val="2"/>
          </w:tcPr>
          <w:p>
            <w:pPr>
              <w:spacing w:after="0"/>
              <w:rPr>
                <w:sz w:val="20"/>
                <w:szCs w:val="20"/>
                <w:color w:val="auto"/>
              </w:rPr>
            </w:pPr>
            <w:r>
              <w:rPr>
                <w:rFonts w:ascii="Arial" w:cs="Arial" w:eastAsia="Arial" w:hAnsi="Arial"/>
                <w:sz w:val="18"/>
                <w:szCs w:val="18"/>
                <w:color w:val="auto"/>
              </w:rPr>
              <w:t>Future minimum payments as of September 30, 2019 are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(remainder of year)</w:t>
            </w:r>
          </w:p>
        </w:tc>
        <w:tc>
          <w:tcPr>
            <w:tcW w:w="320" w:type="dxa"/>
            <w:vAlign w:val="bottom"/>
            <w:tcBorders>
              <w:top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82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23"/>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long-term portion of the lease liabilities included in the amounts above is $3.5 million and the remainder of our lease liabilities are included in other current liabilities on our condensed consolidated balance sheets.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September 30, 2019, the weighted average remaining lease term and weighted discount rate for operating leases was 3.5 years and 14.56%.</w:t>
      </w:r>
    </w:p>
    <w:p>
      <w:pPr>
        <w:spacing w:after="0" w:line="35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7. Debt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our hyperimmune business under the LLC purchase agreement, and to reflect changes in the remaining business as a result of such sale.</w:t>
      </w:r>
    </w:p>
    <w:p>
      <w:pPr>
        <w:spacing w:after="0" w:line="21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w:t>
      </w:r>
    </w:p>
    <w:p>
      <w:pPr>
        <w:spacing w:after="0" w:line="19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ind w:firstLine="518"/>
        <w:spacing w:after="0" w:line="259" w:lineRule="auto"/>
        <w:rPr>
          <w:sz w:val="20"/>
          <w:szCs w:val="20"/>
          <w:color w:val="auto"/>
        </w:rPr>
      </w:pPr>
      <w:r>
        <w:rPr>
          <w:rFonts w:ascii="Arial" w:cs="Arial" w:eastAsia="Arial" w:hAnsi="Arial"/>
          <w:sz w:val="18"/>
          <w:szCs w:val="18"/>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This facility is subject to a subjective acceleration clause that could be invoked by the lender upon the occurrence of any event the lender deems to have a material adverse effect on our ability to repay the lender. As a result of the uncertainty related to our ability to continue as a going concern and the assessment that the material adverse change clause under the Amended Credit agreement is not within the Company’s control, the long-term portion of our outstanding debt has been reclassified to current in these financial statements as of September 30, 2019. We have not been notified of an event of default by MidCap as of the date of the filing of this Quarterly Report on Form 10-Q.</w:t>
      </w:r>
    </w:p>
    <w:p>
      <w:pPr>
        <w:spacing w:after="0" w:line="21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 average number of common shares outstanding for the period. Diluted net loss per share is computed by dividing the net loss by the weighted average number of common share equivalents outstanding for the period using the as-if converted method. For the purpose of this calculation, warrants, stock options and restricted stock units (RSUs) are only included in the calculation of diluted net income per share when their effect is dilutive.</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equivalents include warrants, stock options and unvested RSUs.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represents all potentially dilutive shares, which were all anti-dilutive and therefore excluded from the calculation of diluted net loss per share: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5"/>
              </w:rPr>
              <w:t>As of 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80" w:type="dxa"/>
            <w:vAlign w:val="bottom"/>
            <w:gridSpan w:val="2"/>
            <w:vMerge w:val="continue"/>
          </w:tcPr>
          <w:p>
            <w:pPr>
              <w:spacing w:after="0"/>
              <w:rPr>
                <w:sz w:val="13"/>
                <w:szCs w:val="13"/>
                <w:color w:val="auto"/>
              </w:rPr>
            </w:pPr>
          </w:p>
        </w:tc>
        <w:tc>
          <w:tcPr>
            <w:tcW w:w="1420" w:type="dxa"/>
            <w:vAlign w:val="bottom"/>
          </w:tcPr>
          <w:p>
            <w:pPr>
              <w:jc w:val="right"/>
              <w:ind w:right="49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Warrants</w:t>
            </w: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22,000</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Outstanding options to purchase common stock</w:t>
            </w:r>
          </w:p>
        </w:tc>
        <w:tc>
          <w:tcPr>
            <w:tcW w:w="1420" w:type="dxa"/>
            <w:vAlign w:val="bottom"/>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RSUs</w:t>
            </w:r>
          </w:p>
        </w:tc>
        <w:tc>
          <w:tcPr>
            <w:tcW w:w="220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9. Equity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11, 2019, we completed a public offering of common stock and warrants, as follows:</w:t>
      </w:r>
    </w:p>
    <w:p>
      <w:pPr>
        <w:spacing w:after="0" w:line="131" w:lineRule="exact"/>
        <w:rPr>
          <w:sz w:val="20"/>
          <w:szCs w:val="20"/>
          <w:color w:val="auto"/>
        </w:rPr>
      </w:pPr>
    </w:p>
    <w:p>
      <w:pPr>
        <w:ind w:left="104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a combined public offering price of $1.00 per share of common stock and related warrants, 19,850,000 shares of common stock and related warrants with a 5-year life to purchase up to 19,850,000 shares of common stock at an exercise price of $1.30 per share,</w:t>
      </w:r>
    </w:p>
    <w:p>
      <w:pPr>
        <w:spacing w:after="0" w:line="51" w:lineRule="exact"/>
        <w:rPr>
          <w:rFonts w:ascii="Arial" w:cs="Arial" w:eastAsia="Arial" w:hAnsi="Arial"/>
          <w:sz w:val="17"/>
          <w:szCs w:val="17"/>
          <w:color w:val="auto"/>
        </w:rPr>
      </w:pPr>
    </w:p>
    <w:p>
      <w:pPr>
        <w:jc w:val="both"/>
        <w:ind w:left="1040" w:hanging="519"/>
        <w:spacing w:after="0" w:line="31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a combined public offering price of $0.99 per pre-funded warrant and related warrant, pre-funded warrants with a 10-year life to purchase up to 2,150,000 shares of common stock at an exercise price of $0.01 per share and related warrants with a 5-year life to purchase up to 2,150,000 shares of common stock at an exercise price of $1.30 per share. These pre-funded warrants were exercised on March 21, 2019.</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received net proceeds of $20.2 million, net of transaction costs, as a result of this offering.</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2019, we issued 94,540 shares of common stock due to the vesting of RSUs.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4" w:name="page15"/>
    <w:bookmarkEnd w:id="14"/>
    <w:p>
      <w:pPr>
        <w:jc w:val="both"/>
        <w:ind w:right="20" w:firstLine="518"/>
        <w:spacing w:after="0" w:line="308" w:lineRule="auto"/>
        <w:rPr>
          <w:sz w:val="20"/>
          <w:szCs w:val="20"/>
          <w:color w:val="auto"/>
        </w:rPr>
      </w:pPr>
      <w:r>
        <w:rPr>
          <w:rFonts w:ascii="Arial" w:cs="Arial" w:eastAsia="Arial" w:hAnsi="Arial"/>
          <w:sz w:val="17"/>
          <w:szCs w:val="17"/>
          <w:color w:val="auto"/>
        </w:rPr>
        <w:t>During the nine months ended September 30, 2018, we received proceeds of $0.6 million upon the exercise of stock options which resulted in the issuance of 257,550 shares of common stock and issued 814,004 shares of common stock due to the vesting of restricted stock units.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this agreement Lincoln Park has committed to purchase up to $35.0 million worth of our common stock over a 36-month period commencing on February 13, 2019, the date the registration statement covering the resale of the shares was deemed effective by the SEC. Pursuant to this purchase agreement we issued 105,467 commitment shares of common stock in December 2018, and 195,867 commitment shares of common stock in the first quarter of 2019.</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3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On November 9, 2017, we entered into an Equity Distribution Agreement (the Equity Distribution Agreement) with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such shares of common stock by Piper Jaffray have been and will be effected pursuant to a Registration Statement on Form S-3 which we filed on November 9, 2017. We issued 13,265 shares under the Equity Distribution Agreement in the fourth quarter of 2018, and 180,421 shares in the nine month ended September 30, 2019 and received net proceeds of $0.2 million from these transactions. Following such prior sales, we have the ability to sell up to an additional $17.3 million of common stock under the Equity Distribution Agreement.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i w:val="1"/>
          <w:iCs w:val="1"/>
          <w:u w:val="single" w:color="auto"/>
          <w:color w:val="auto"/>
        </w:rPr>
        <w:t>onverted Equity Awards Incentive Plan</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2016 Stock Incentive Plan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1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17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compensation awards granted by the Company generally vest only if the employee is employed by the Company (or in the case of directors, the director continues to serve on the Board) on the vesting date.</w:t>
      </w:r>
    </w:p>
    <w:p>
      <w:pPr>
        <w:spacing w:after="0" w:line="19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u w:val="single" w:color="auto"/>
          <w:color w:val="auto"/>
        </w:rPr>
        <w:t>2018 Stock Incentive Plan</w:t>
      </w:r>
    </w:p>
    <w:p>
      <w:pPr>
        <w:spacing w:after="0" w:line="131" w:lineRule="exact"/>
        <w:rPr>
          <w:sz w:val="20"/>
          <w:szCs w:val="20"/>
          <w:color w:val="auto"/>
        </w:rPr>
      </w:pPr>
    </w:p>
    <w:p>
      <w:pPr>
        <w:jc w:val="both"/>
        <w:ind w:right="20" w:firstLine="518"/>
        <w:spacing w:after="0" w:line="285" w:lineRule="auto"/>
        <w:rPr>
          <w:sz w:val="20"/>
          <w:szCs w:val="20"/>
          <w:color w:val="auto"/>
        </w:rPr>
      </w:pPr>
      <w:r>
        <w:rPr>
          <w:rFonts w:ascii="Arial" w:cs="Arial" w:eastAsia="Arial" w:hAnsi="Arial"/>
          <w:sz w:val="16"/>
          <w:szCs w:val="16"/>
          <w:color w:val="auto"/>
        </w:rPr>
        <w:t>On June 1, 2018, at the 2018 Annual Meeting, the Company’s stockholders approved a new 2018 Stock Incentive Plan (2018 SIP), which replaced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w:t>
      </w:r>
    </w:p>
    <w:p>
      <w:pPr>
        <w:spacing w:after="0" w:line="2" w:lineRule="exact"/>
        <w:rPr>
          <w:sz w:val="20"/>
          <w:szCs w:val="20"/>
          <w:color w:val="auto"/>
        </w:rPr>
      </w:pPr>
    </w:p>
    <w:p>
      <w:pPr>
        <w:jc w:val="both"/>
        <w:ind w:right="20" w:firstLine="8"/>
        <w:spacing w:after="0" w:line="254"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September 30, 2019, there are 2.0 million shares available to be granted under the 2018 SIP.</w:t>
      </w:r>
    </w:p>
    <w:p>
      <w:pPr>
        <w:spacing w:after="0" w:line="230"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Capital Market on the date of grant.</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Stock-based compensation expense includes amortization of stock options and RSUs granted to employees and has been reported in our condensed consolidated statements of operations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applied an estimated forfeiture rate of 10% for the periods presented.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3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Aptevo utilizes the Black-Scholes valuation model for estimating the fair value of all stock options granted. Set forth below are the assumptions used in valuing the stock options granted: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520" w:type="dxa"/>
            <w:vAlign w:val="bottom"/>
            <w:gridSpan w:val="4"/>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71"/>
        </w:trPr>
        <w:tc>
          <w:tcPr>
            <w:tcW w:w="5320" w:type="dxa"/>
            <w:vAlign w:val="bottom"/>
          </w:tcPr>
          <w:p>
            <w:pPr>
              <w:spacing w:after="0"/>
              <w:rPr>
                <w:sz w:val="14"/>
                <w:szCs w:val="14"/>
                <w:color w:val="auto"/>
              </w:rPr>
            </w:pPr>
          </w:p>
        </w:tc>
        <w:tc>
          <w:tcPr>
            <w:tcW w:w="252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75.00%</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75.00%</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6 years</w:t>
            </w: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6 years</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option activity for the nine months ended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2"/>
              </w:rPr>
              <w:t>Remaining 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5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3,329,618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979,223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Forfeited and expired</w:t>
            </w:r>
          </w:p>
        </w:tc>
        <w:tc>
          <w:tcPr>
            <w:tcW w:w="2700" w:type="dxa"/>
            <w:vAlign w:val="bottom"/>
            <w:gridSpan w:val="3"/>
          </w:tcPr>
          <w:p>
            <w:pPr>
              <w:jc w:val="right"/>
              <w:ind w:right="80"/>
              <w:spacing w:after="0"/>
              <w:rPr>
                <w:sz w:val="20"/>
                <w:szCs w:val="20"/>
                <w:color w:val="auto"/>
              </w:rPr>
            </w:pPr>
            <w:r>
              <w:rPr>
                <w:rFonts w:ascii="Arial" w:cs="Arial" w:eastAsia="Arial" w:hAnsi="Arial"/>
                <w:sz w:val="18"/>
                <w:szCs w:val="18"/>
                <w:color w:val="auto"/>
              </w:rPr>
              <w:t>(293,994)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2019</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4,014,847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580"/>
              <w:spacing w:after="0"/>
              <w:rPr>
                <w:sz w:val="20"/>
                <w:szCs w:val="20"/>
                <w:color w:val="auto"/>
              </w:rPr>
            </w:pPr>
            <w:r>
              <w:rPr>
                <w:rFonts w:ascii="Arial" w:cs="Arial" w:eastAsia="Arial" w:hAnsi="Arial"/>
                <w:sz w:val="18"/>
                <w:szCs w:val="18"/>
                <w:color w:val="auto"/>
              </w:rPr>
              <w:t>Exercisable at September 30, 2019</w:t>
            </w:r>
          </w:p>
        </w:tc>
        <w:tc>
          <w:tcPr>
            <w:tcW w:w="2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6" w:name="page17"/>
    <w:bookmarkEnd w:id="16"/>
    <w:p>
      <w:pPr>
        <w:jc w:val="both"/>
        <w:ind w:firstLine="518"/>
        <w:spacing w:after="0" w:line="277" w:lineRule="auto"/>
        <w:rPr>
          <w:sz w:val="20"/>
          <w:szCs w:val="20"/>
          <w:color w:val="auto"/>
        </w:rPr>
      </w:pPr>
      <w:r>
        <w:rPr>
          <w:rFonts w:ascii="Arial" w:cs="Arial" w:eastAsia="Arial" w:hAnsi="Arial"/>
          <w:sz w:val="18"/>
          <w:szCs w:val="18"/>
          <w:color w:val="auto"/>
        </w:rPr>
        <w:t>As of September 30, 2019, we had $1.9 million of unrecognized compensation expense related to options expected to vest over a weighted average period of 1.7 years. The weighted average remaining contractual life of outstanding and exercisable options is 5.6 years.</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Aptevo’s common stock on the last trading day of September 2019 and the exercise price, multiplied by the number of in the money options) that would have been received by the option holders had all the option holders exercised their options on the last trading day of the quarter. As of December 31, 2018 and September 30, 2019, we had no outstanding options with an exercise price below the trading price of our common stock.</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RSU activity for the nine months ended September 30, 2019:</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Weighted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Value per Unit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133,040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tcPr>
          <w:p>
            <w:pPr>
              <w:jc w:val="right"/>
              <w:spacing w:after="0"/>
              <w:rPr>
                <w:sz w:val="20"/>
                <w:szCs w:val="20"/>
                <w:color w:val="auto"/>
              </w:rPr>
            </w:pPr>
            <w:r>
              <w:rPr>
                <w:rFonts w:ascii="Arial" w:cs="Arial" w:eastAsia="Arial" w:hAnsi="Arial"/>
                <w:sz w:val="18"/>
                <w:szCs w:val="18"/>
                <w:color w:val="auto"/>
              </w:rPr>
              <w:t>133,040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September 30, 2019</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there was no unrecognized stock-based compensation expense related to unvested RSUs.</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fair value of each RSU has been determined to be the closing trading price of the Company’s common stock on the date of grant as quoted on the Nasdaq Capital Market.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Warrants</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March 2019, as part of a public offering, we issued warrants to purchase up to 24,150,000 shares of our common stock, 22,000,000 of which have an exercise price of $1.30 per share and have a five-year life, and 2,150,000 of pre-funded warrants with an exercise price of $0.01 per share. The pre-funded warrants had a ten-year life and would have expired on March 11, 2029; however, the pre-funded warrants were exercised in March 2019. We determined the warrants do not meet liability classification pursuant to ASC 480 – Distinguishing Liabilities from Equity. They are therefore included within equity on our consolidated balance sheet. As of September 30, 2019, there were 22,000,000 warrants outstanding.</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10. Revenue Reserves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in each of our product revenue allowance and reserve categories for the nine months ending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Chargebacks 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Distribution Fees,</w:t>
            </w: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Rebates and Patient</w:t>
            </w:r>
          </w:p>
        </w:tc>
        <w:tc>
          <w:tcPr>
            <w:tcW w:w="0" w:type="dxa"/>
            <w:vAlign w:val="bottom"/>
          </w:tcPr>
          <w:p>
            <w:pPr>
              <w:spacing w:after="0"/>
              <w:rPr>
                <w:sz w:val="1"/>
                <w:szCs w:val="1"/>
                <w:color w:val="auto"/>
              </w:rPr>
            </w:pPr>
          </w:p>
        </w:tc>
      </w:tr>
      <w:tr>
        <w:trPr>
          <w:trHeight w:val="171"/>
        </w:trPr>
        <w:tc>
          <w:tcPr>
            <w:tcW w:w="6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Cash Discounts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Assistance</w:t>
            </w:r>
          </w:p>
        </w:tc>
        <w:tc>
          <w:tcPr>
            <w:tcW w:w="0" w:type="dxa"/>
            <w:vAlign w:val="bottom"/>
          </w:tcPr>
          <w:p>
            <w:pPr>
              <w:spacing w:after="0"/>
              <w:rPr>
                <w:sz w:val="1"/>
                <w:szCs w:val="1"/>
                <w:color w:val="auto"/>
              </w:rPr>
            </w:pPr>
          </w:p>
        </w:tc>
      </w:tr>
      <w:tr>
        <w:trPr>
          <w:trHeight w:val="223"/>
        </w:trPr>
        <w:tc>
          <w:tcPr>
            <w:tcW w:w="634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or payments made during the period</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Note 11. Discontinued Operations – Milestone Payment</w:t>
      </w:r>
    </w:p>
    <w:p>
      <w:pPr>
        <w:spacing w:after="0" w:line="13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the third quarter of 2019, we received a $4.25 million milestone payment from Saol International Limited, in connection with the sale of our hyperimmune business in September 2017. No additional amounts are outstanding related to the milestones. This was recorded as a gain in discontinued operations, net of tax, of $3.3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8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the financial statements and the related notes to those statements included elsewhere in this Quarterly Report.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Pipeline Highlights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70"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also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 capabilities, cGMP manufacturing oversight and clinical development capabilities. We also have the ability to launch, market and commercialize these product candidates upon approval.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investigational stage product candidates are:</w:t>
      </w:r>
    </w:p>
    <w:p>
      <w:pPr>
        <w:spacing w:after="0" w:line="131" w:lineRule="exact"/>
        <w:rPr>
          <w:sz w:val="20"/>
          <w:szCs w:val="20"/>
          <w:color w:val="auto"/>
        </w:rPr>
      </w:pPr>
    </w:p>
    <w:p>
      <w:pPr>
        <w:jc w:val="both"/>
        <w:ind w:left="1040" w:hanging="519"/>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APVO436, a novel investigational bispecific ADAPTIR candidate targeting CD123, a cell surface receptor highly expressed on several hematological malignancies and CD3, a component of the T-cell receptor complex expressed on all T-cells. APVO436 engages T cells to initiate killing of tumor cells. We commenced a Phase 1/1b clinical trial in the United States in December 2018 in patients with AML and MDS. The objective of the trial is to evaluate safety, pharmacokinetics, and pharmacodynamics of APVO436 in patients. We anticipate that we will have further anti-drug antibody (ADA) data in the first half of 2020.</w:t>
      </w:r>
    </w:p>
    <w:p>
      <w:pPr>
        <w:spacing w:after="0" w:line="93" w:lineRule="exact"/>
        <w:rPr>
          <w:rFonts w:ascii="Arial" w:cs="Arial" w:eastAsia="Arial" w:hAnsi="Arial"/>
          <w:sz w:val="18"/>
          <w:szCs w:val="18"/>
          <w:color w:val="auto"/>
        </w:rPr>
      </w:pPr>
    </w:p>
    <w:p>
      <w:pPr>
        <w:jc w:val="both"/>
        <w:ind w:left="1040" w:hanging="519"/>
        <w:spacing w:after="0" w:line="273"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APVO603, a dual agonist bispecific ADAPTIR candidate employing a novel mechanism of action to simultaneously target 4-1BB (CD137) and OX40 (CD134), both members of the TNF-receptor family. Dual targeting of 4-1BB and OX40 provides synergistic co-stimulation of T cells with the potential to amplify the cytotoxic function of activated T cells and NK cells, potentially leading to more robust anti-tumor responses. APVO603’s combined activation of both the 4-1BB and OX40 TNF receptors represents an attractive approach in potentially overcoming the suppressive tumor microenvironment. The targeted co-stimulation of 4-1BB and OX40 has the potential to promote an important immunological cascade, enhancing T-cell activation, prolonging T-cell survival, and improving tumor killing.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both"/>
        <w:ind w:left="1040" w:hanging="519"/>
        <w:spacing w:after="0" w:line="27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ALG.APV-527, a novel investigational bispecific ADAPTIR candidate, partnered with Alligator Bioscience, featuring a novel mechanism of action designed to simultaneously target 4-1BB (CD137) and 5T4, a tumor antigen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mesothelioma, non-small-cell-lung, head and neck, pancreatic, renal, ovarian and bladder cancers. Aptevo and Alligator have made a joint decision to delay submission of the clinical trial authorization (CTA) for ALG-APV.527 previously planned for the fourth quarter of 2019. Alligator and Aptevo have made a joint decision to focus efforts on partnering ALG.APV-527 prior to phase 1 clinical development. The adjustment to the development plan for ALG.APV -527 will allow both Aptevo and Alligator to align their resources to meet the needs of their respective ongoing clinical programs. The companies are initiating discussions with potential partners for the upcoming clinical development of ALG.APV-527.</w:t>
      </w:r>
    </w:p>
    <w:p>
      <w:pPr>
        <w:spacing w:after="0" w:line="178"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APVO210 is a novel investigational bispecific antibody candidate previously under development for the treatment of autoimmune diseases. We have elected to discontinue the APVO210 development program. The decision followed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The rapidity in which the ADA developed in the APVO210 program is uncharacteristic of a typical immune response, which suggests that it is related to the mechanism of action of the drug. APVO210 binds to CD86 on antigen presenting cells (APC). This may have led to internalization and presentation of APVO210 more efficiently than the anticipated and intended suppression of antigen presentation driven by the IL-10 component of APVO210. The uncharacteristic timing and appearance of the ADA and the robustness of the response suggests that it is specific to the drug mechanism of action and not related to sequences in the candidate.</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Collaboration with Alligator Bioscience AB</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overexpressed in a number of different types of cancer. This product candidate is built on our novel ADAPTIR platform.</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Subject to certain exceptions for Aptevo R&amp;D’s manufacturing and platform technologies, the parties will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8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21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Aptevo and Alligator have made a joint decision to delay submission of the CTA for ALG-APV.527 previously planned for the fourth quarter of 2019. Alligator and Aptevo have made a joint decision to focus efforts on partnering ALG.APV-527 prior to phase 1 clinical development. The adjustment to the development plan for ALG.APV -527 will allow both Aptevo and Alligator to align their resources to meet the needs of their respective ongoing clinical programs. The companies are initiating discussions with potential partners for the upcoming clinical development of ALG.APV-527.</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Collaboration Agreement contains industry standard termination rights, including for material breach following a specified cure period, and in the case of a party’s insolvency.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color w:val="auto"/>
        </w:rPr>
        <w:t>IXINITY</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IXINITY is a third-generation recombinant human coagulation factor IX approved by the FDA in April 2015 in the United States for the control and prevention of bleeding episodes and for perioperative management in adults and children 12 years of age or older with hemophilia B. Hemophilia B, also known as Christmas disease, is a rare, inherited bleeding disorder. The blood of hemophilia B patients has an impaired clotting ability, which results from substantially reduced or missing factor IX activity. Patients with hemophilia B commonly experience joint bleeding with pain and swelling, which can result in irreversible joint damage. They may also experience more serious or life-threatening hemorrhages. People with hemophilia B require factor IX injections to restore normal blood coagulation temporarily. Many patients use regular, prophylactic treatment to try to prevent bleeding episodes, while others use on-demand treatment to control bleeding episodes after they occur. Treatment selection and approach is individualized based on factors including the patient’s condition and age, factor level severity, bleeding pattern, activity level and individual pharmacokinetic parameters.</w:t>
      </w:r>
    </w:p>
    <w:p>
      <w:pPr>
        <w:spacing w:after="0" w:line="20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June 2019, we introduced a new 3,000 IU assay size. This 3,000 IU assay size will provide enhanced convenience for patients who use IXINITY and is designed to allow some patients to use fewer vials when infusing. We believe that the 3,000 IU assay size will also be a more attractive option for some patients on IXINITY when traveling.</w:t>
      </w:r>
    </w:p>
    <w:p>
      <w:pPr>
        <w:spacing w:after="0" w:line="20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anticipate commencing dosing in our Phase 4 post-marketing study by the end of 2019 that has the potential to support a pediatric label expansion. We performed a pilot study in patients under 12 years of age that showed that IXINITY was well tolerated. The pilot study also showed comparable results to that of the overall patient population studied in the Phase 3 pivotal clinical trial of IXINITY.</w:t>
      </w:r>
    </w:p>
    <w:p>
      <w:pPr>
        <w:spacing w:after="0" w:line="22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are exploring distribution and partnership opportunities for IXINITY outside of the U.S. We believe that we may be able to leverage existing relationships to grow the IXINITY market outside of the United States. Currently all IXINITY sales are in the U.S.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Comparison of the three and nine months ended September 30, 2019 and September 30,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Financial Summary</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recognized net losses of $6.9 million and $32.3 million for the three and nine months ended September 30, 2019, and $12.6 million and $39.6 million, respectively, for the three and nine months ended September 30, 2018, respectively.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Product Sales and Gross Margin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sales represents sales of IXINITY, our third-generation recombinant human coagulation factor IX.</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both"/>
        <w:ind w:firstLine="518"/>
        <w:spacing w:after="0" w:line="277" w:lineRule="auto"/>
        <w:rPr>
          <w:sz w:val="20"/>
          <w:szCs w:val="20"/>
          <w:color w:val="auto"/>
        </w:rPr>
      </w:pPr>
      <w:r>
        <w:rPr>
          <w:rFonts w:ascii="Arial" w:cs="Arial" w:eastAsia="Arial" w:hAnsi="Arial"/>
          <w:sz w:val="18"/>
          <w:szCs w:val="18"/>
          <w:color w:val="auto"/>
        </w:rPr>
        <w:t>The following table provides information regarding our cost of products sales, including gross profit and gross margin percent for the three and nine months ended September 30, 2019 and 2018:</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vMerge w:val="continue"/>
            <w:shd w:val="clear" w:color="auto" w:fill="CFF0FC"/>
          </w:tcPr>
          <w:p>
            <w:pPr>
              <w:spacing w:after="0"/>
              <w:rPr>
                <w:sz w:val="19"/>
                <w:szCs w:val="19"/>
                <w:color w:val="auto"/>
              </w:rPr>
            </w:pPr>
          </w:p>
        </w:tc>
        <w:tc>
          <w:tcPr>
            <w:tcW w:w="18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margin percent</w:t>
            </w:r>
          </w:p>
        </w:tc>
        <w:tc>
          <w:tcPr>
            <w:tcW w:w="1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3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4"/>
                <w:szCs w:val="14"/>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Percent</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Product sales</w:t>
            </w: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Cost of product sales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vMerge w:val="continue"/>
            <w:shd w:val="clear" w:color="auto" w:fill="CFF0FC"/>
          </w:tcPr>
          <w:p>
            <w:pPr>
              <w:spacing w:after="0"/>
              <w:rPr>
                <w:sz w:val="19"/>
                <w:szCs w:val="19"/>
                <w:color w:val="auto"/>
              </w:rPr>
            </w:pPr>
          </w:p>
        </w:tc>
        <w:tc>
          <w:tcPr>
            <w:tcW w:w="18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9,602</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20" w:type="dxa"/>
            <w:vAlign w:val="bottom"/>
            <w:vMerge w:val="continue"/>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Gross margin percent</w:t>
            </w:r>
          </w:p>
        </w:tc>
        <w:tc>
          <w:tcPr>
            <w:tcW w:w="1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Sales of IXINITY increased by $3.2 million, or 55%, to $9.0 million for the three months ended September 30, 2019 from $5.8 million in the three months ended September 30, 2018, and by $6.7 million, or 40%, to $23.4 million for the nine months ended September 30, 2019 from $16.7 million in the nine months ended September 30, 2018. This increase was primarily related to the continuing expansion of our Hemophilia B patient base and the launch of the 3000 IU assay size in Q2 2019, which resulted in increased IU’s sold during the period, and price increases in 2019.</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Gross margin decreased slightly to 56% in the three months ended September 30, 2019 compared to 58% for the three months ended September 30, 2018. Cost of product sales increased by $1.5 million, or 62% for the three months ended September 30, 2019 to $4.0 million from $2.4 million for the three months ended September 30, 2018 primarily driven by increased IU’s sold during the three months ended September 30, 2019 compared to 2018. This increase was offset by credits received from our bulk drug supplier of $0.2 million for materials previously purchased.</w:t>
      </w:r>
    </w:p>
    <w:p>
      <w:pPr>
        <w:spacing w:after="0" w:line="17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Gross margin decreased to 41% in the nine months ended September 30, 2019 compared to 60% the nine months ended September 30, 2018. Cost of product sales increased by $7.0 million or 104%, for the nine months ended September 30, 2019 to $13.8 million from $6.8 million, due primarily to increased IU’s sold in the period, higher cost of product in 2019 due to a credit received from our supplier and used to purchase product in 2018, and costs for stability and the write-off of costs related to inventory write-offs in the nine months ended September 30, 2019.</w:t>
      </w:r>
    </w:p>
    <w:p>
      <w:pPr>
        <w:spacing w:after="0" w:line="17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a royalty obligation related to net product sales of IXINITY which is triggered if year-to-date net product sales from the U.S. exceeds $25 million. This double-digit royalty will be owed on the portion of net product sales in excess of $25 million. The royalty percentage varies by geography, with the highest royalty rates applicable in the United States and Canada and lower rates in other jurisdictions. We have not recorded any expenses related to this royalty obligation to date as we have not recognized in excess of $25 million in net product sales from IXINITY in any calendar year. Our gross profit in future periods will be impacted if we exceed the contractual revenue minimums.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Our research and development expenses include:</w:t>
      </w:r>
    </w:p>
    <w:p>
      <w:pPr>
        <w:spacing w:after="0" w:line="117" w:lineRule="exact"/>
        <w:rPr>
          <w:sz w:val="20"/>
          <w:szCs w:val="20"/>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salaries and related expenses, including stock-based compensation and benefits for our employees involved in our drug discovery and development activities;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 incurred under agreements with third-party contract research organizations (CROs) and investigative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material expense for third-party manufacturing;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overhead costs such as rent, utilities and depreciation.</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program for the three and nine months ended September 30, 2019 and 2018 are shown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APVO436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6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APVO210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IXINITY Pediatric (APVO101-903)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gridSpan w:val="7"/>
          </w:tcPr>
          <w:p>
            <w:pPr>
              <w:ind w:left="120"/>
              <w:spacing w:after="0"/>
              <w:rPr>
                <w:sz w:val="20"/>
                <w:szCs w:val="20"/>
                <w:color w:val="auto"/>
              </w:rPr>
            </w:pPr>
            <w:r>
              <w:rPr>
                <w:rFonts w:ascii="Arial" w:cs="Arial" w:eastAsia="Arial" w:hAnsi="Arial"/>
                <w:sz w:val="14"/>
                <w:szCs w:val="14"/>
                <w:b w:val="1"/>
                <w:bCs w:val="1"/>
                <w:color w:val="auto"/>
              </w:rPr>
              <w:t>For the Nine Months Ended 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Clinical programs:</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APVO436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3,195</w:t>
            </w:r>
          </w:p>
        </w:tc>
        <w:tc>
          <w:tcPr>
            <w:tcW w:w="62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5,198</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APVO210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IXINITY Pediatric (APVO101-903)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clinical programs</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11,035</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Preclinical program, general research and discovery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Research and development expenses increased by $0.6 million for the three months ended September 30, 2019 compared to the three months ended September 30, 2018. This was due to increased spending for our IXINITY pediatric clinical program and our preclinical, general research and discovery programs, which are primarily related to research and development activities around new pipeline product candidates or programs as they are being evaluated, offset by lower spending on other clinical programs, including APVO210, which was discontinued in October 2019.</w:t>
      </w:r>
    </w:p>
    <w:p>
      <w:pPr>
        <w:spacing w:after="0" w:line="19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Research and development expenses decreased by $2.3 million for the nine months ended September 30, 2019 compared to the nine months ended September 30, 2018 primarily due to a decrease in expenses for APVO436 related to the timing of manufacturing and clinical trial activities, a decrease in expenses for other clinical programs, including lower costs for programs discontinued in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jc w:val="both"/>
        <w:ind w:right="20"/>
        <w:spacing w:after="0" w:line="264" w:lineRule="auto"/>
        <w:rPr>
          <w:sz w:val="20"/>
          <w:szCs w:val="20"/>
          <w:color w:val="auto"/>
        </w:rPr>
      </w:pPr>
      <w:r>
        <w:rPr>
          <w:rFonts w:ascii="Arial" w:cs="Arial" w:eastAsia="Arial" w:hAnsi="Arial"/>
          <w:sz w:val="18"/>
          <w:szCs w:val="18"/>
          <w:color w:val="auto"/>
        </w:rPr>
        <w:t>and APVO210, which was discontinued in October 2019. This was offset by an increased spending for our IXINITY pediatric clinical program and our preclinical, general research and discovery programs, which are primarily related to research and development activities around new pipeline product candidates or programs as they are being evaluated.</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 IXINITY sales and marketing, business development, finance, accounting, information technology, quality assurance, legal and human resource functions. Other costs include facility costs not otherwise included in cost of product sales or research and development expenses.</w:t>
      </w:r>
    </w:p>
    <w:p>
      <w:pPr>
        <w:spacing w:after="0" w:line="166"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For the three months ended September 30, 2019, selling, general and administrative expenses decreased by $0.5 million, or 7%, to $6.5 million from $6.9 million for the three months ended September 30, 2018. This decrease was primarily due to reduced personnel and professional services costs.</w:t>
      </w:r>
    </w:p>
    <w:p>
      <w:pPr>
        <w:spacing w:after="0" w:line="124" w:lineRule="exact"/>
        <w:rPr>
          <w:sz w:val="20"/>
          <w:szCs w:val="20"/>
          <w:color w:val="auto"/>
        </w:rPr>
      </w:pPr>
    </w:p>
    <w:p>
      <w:pPr>
        <w:jc w:val="both"/>
        <w:ind w:right="20" w:firstLine="518"/>
        <w:spacing w:after="0" w:line="342" w:lineRule="auto"/>
        <w:rPr>
          <w:sz w:val="20"/>
          <w:szCs w:val="20"/>
          <w:color w:val="auto"/>
        </w:rPr>
      </w:pPr>
      <w:r>
        <w:rPr>
          <w:rFonts w:ascii="Arial" w:cs="Arial" w:eastAsia="Arial" w:hAnsi="Arial"/>
          <w:sz w:val="16"/>
          <w:szCs w:val="16"/>
          <w:color w:val="auto"/>
        </w:rPr>
        <w:t>For the nine months ended September 30, 2019, selling, general and administrative expenses decreased by $1.2 million, or 6%, to $20.3 million from $21.6 million for the nine months ended September 30, 2018. This decrease was primarily due to reduced personnel and professional services costs.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ind w:right="20" w:firstLine="518"/>
        <w:spacing w:after="0" w:line="273"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78"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condensed consolidated financial statements:</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off-balance sheet arrangements as of September 30, 2019.</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have financed our operations to date primarily through revenue generated from our commercial products, the sale of our hyperimmune business, public offerings of our common stock, loan proceeds, license fees, milestone payments and research and development funding from strategic partners, and funds received at the date of our spin-off from Emergent. As of September 30, 2019, we had cash, and cash equivalents in the amount of $17.7 million and restricted cash of $7.5 million, for a total cash balance of $25.2 million.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provides information regarding our cash flows for the nine months ended September 30, 2019 </w:t>
      </w:r>
      <w:r>
        <w:rPr>
          <w:rFonts w:ascii="Arial" w:cs="Arial" w:eastAsia="Arial" w:hAnsi="Arial"/>
          <w:sz w:val="18"/>
          <w:szCs w:val="18"/>
          <w:color w:val="231F20"/>
        </w:rPr>
        <w:t>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(37,283)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(44,130)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Increase (decrease) in cash, cash equivalents, and restricted cash</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60" w:type="dxa"/>
            <w:vAlign w:val="bottom"/>
            <w:vMerge w:val="restart"/>
          </w:tcPr>
          <w:p>
            <w:pPr>
              <w:jc w:val="right"/>
              <w:ind w:right="159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23" w:name="page24"/>
    <w:bookmarkEnd w:id="23"/>
    <w:p>
      <w:pPr>
        <w:jc w:val="both"/>
        <w:ind w:right="20" w:firstLine="518"/>
        <w:spacing w:after="0" w:line="277" w:lineRule="auto"/>
        <w:rPr>
          <w:sz w:val="20"/>
          <w:szCs w:val="20"/>
          <w:color w:val="auto"/>
        </w:rPr>
      </w:pPr>
      <w:r>
        <w:rPr>
          <w:rFonts w:ascii="Arial" w:cs="Arial" w:eastAsia="Arial" w:hAnsi="Arial"/>
          <w:sz w:val="18"/>
          <w:szCs w:val="18"/>
          <w:color w:val="auto"/>
        </w:rPr>
        <w:t>Net cash used in operating activities for the nine months ended September 30, 2019 and 2018 was primarily due to our net operating loss and changes in working capital accounts.</w:t>
      </w:r>
    </w:p>
    <w:p>
      <w:pPr>
        <w:spacing w:after="0" w:line="170"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Net cash provided by investing activities for the three months ended September 30, 2019, was primarily due to the receipt of the $4.25 million milestone payment from Saol International Limited, in conjunction with the sale in September 2017 of our hyperimmune business, net of the purchase of property and equipment. For the nine months ended September 30, 2018, the largest components of the cash provided by investing activities was primarily due to the maturity and redemption of investments of $81.2 million, offset by investment purchases of $16.5 million.</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2019 is primarily due to $20.3 million received from the issuance of common stock and related warrants and the exercise of warrants. Net cash used in financing activities for the nine months ended September 30, 2018 was primarily due to the payment of tax liability associated with restricted stock units that vested in the quarter.</w:t>
      </w:r>
    </w:p>
    <w:p>
      <w:pPr>
        <w:spacing w:after="0" w:line="3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Public Offering – March 2019</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March 11, 2019, we completed a public offering relating to the issuance and sale of 19,850,000 shares of our common stock and warrants to purchase up to 19,850,000 shares of common stock at $1.30 per share, as well as pre-funded warrants to purchase up to 2,150,000 shares of common stock at an exercise prices of $0.01 per share and 2,150,000 of related warrants to purchase shares of common stock at $1.30 per share. We received net proceeds of $20.2 million, after underwriting fees, legal fees, and other expenses. If the remaining warrants are fully exercised in the future, additional proceeds to be received upon exercise of these warrants totals up to $28.6 million, which have a five-year life.</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Credit Agreement</w:t>
      </w:r>
    </w:p>
    <w:p>
      <w:pPr>
        <w:spacing w:after="0" w:line="13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4, 2016, we entered into a Credit and Security Agreement or the Credit Agreement, with MidCap Financial Trust or MidCap.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our hyperimmune business under the LLC purchase agreement, and to reflect changes in the remaining business as a result of such sale.</w:t>
      </w:r>
    </w:p>
    <w:p>
      <w:pPr>
        <w:spacing w:after="0" w:line="213"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and (iii) a new covenant requiring us to maintain a minimum $10.0 million unrestricted cash balance.</w:t>
      </w:r>
    </w:p>
    <w:p>
      <w:pPr>
        <w:spacing w:after="0" w:line="199"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5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On August 6, 2018, we entered into an Amended and Restated Credit and Security Agreement, or the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$10.0 million to $5.0 million. On December 14, 2018, we entered into an amendment to the Amended Credit Agreement to amend certain provisions as related to our Equity Distribution Agreement.</w:t>
      </w:r>
    </w:p>
    <w:p>
      <w:pPr>
        <w:spacing w:after="0" w:line="21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January 2019, our unrestricted cash level fell below $25.0 million which triggered the effectiveness of a security agreement in favor of MidCap with respect to our registered intellectual property to secure our obligations under the Amended Credit Agreement.</w:t>
      </w:r>
    </w:p>
    <w:p>
      <w:pPr>
        <w:spacing w:after="0" w:line="21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obligations under the Amended Credit Agreement will mature on February 1, 2023. Amounts drawn under the Amended Credit Agreement continue to accrue interest at a rate of LIBOR plus 7.60% per annum.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4" w:name="page25"/>
    <w:bookmarkEnd w:id="24"/>
    <w:p>
      <w:pPr>
        <w:jc w:val="both"/>
        <w:ind w:firstLine="518"/>
        <w:spacing w:after="0" w:line="257" w:lineRule="auto"/>
        <w:rPr>
          <w:sz w:val="20"/>
          <w:szCs w:val="20"/>
          <w:color w:val="auto"/>
        </w:rPr>
      </w:pPr>
      <w:r>
        <w:rPr>
          <w:rFonts w:ascii="Arial" w:cs="Arial" w:eastAsia="Arial" w:hAnsi="Arial"/>
          <w:sz w:val="18"/>
          <w:szCs w:val="18"/>
          <w:color w:val="auto"/>
        </w:rPr>
        <w:t>This facility is subject to a subjective acceleration clause that could be invoked by the lender upon the occurrence of any event the lender deems to have a material adverse effect on our ability to repay the lender. As a result of the uncertainty related to our ability to continue as a going concern and the assessment that the material adverse change clause under the Amended Credit agreement is not within our control, the long-term portion of our outstanding debt has been reclassified to current in these financial statements as of September 30, 2019. We have not been notified of an event of default by MidCap as of the date of the filing of this Quarterly Report on Form 10-Q.</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Equity Distribution Agreement</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November 9, 2017, we entered into an Equity Distribution Agreement with Piper Jaffray. The Equity Distribution Agreement provides that, upon the terms and subject to the conditions set forth therein, we may issue and sell through Piper Jaffray, acting as sales agent, shares of our common stock having an aggregate offering price of up to $17.5 million. We have no obligation to sell any such shares under the Equity Distribution Agreement. The sale of the shares of our common stock by Piper Jaffray will be effected pursuant to a Registration Statement on Form S-3 which we filed on November 9, 2017. We issued 13,265 shares under the Equity Distribution Agreement in the fourth quarter of 2018, and 180,421 shares in the nine month ended September 30, 2019 and received net proceeds of $0.2 million from these transactions. Following such prior sales, we have the ability to sell up to an additional $17.3 million of common stock under the Equity Distribution Agreement.</w:t>
      </w:r>
    </w:p>
    <w:p>
      <w:pPr>
        <w:spacing w:after="0" w:line="21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Equity Distribution Agreement will terminate upon the issuance and sale of all shares under the Equity Distribution Agreement or upon the earlier termination thereof at any time by us or Piper Jaffray upon notice to the other party.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Purchase Agreement</w:t>
      </w:r>
    </w:p>
    <w:p>
      <w:pPr>
        <w:spacing w:after="0" w:line="13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On December 20, 2018 we entered into the Purchase Agreement, and a registration rights agreement with Lincoln Park, pursuant to this agreement Lincoln Park has committed to purchase up to $35.0 million worth of our common stock over a 36-month period commencing on February 13, 2019, the date the registration statement covering the resale of the shares was deemed effective by the SEC. Pursuant to this purchase agreement, we issued 105,467 commitment shares of common stock in December 2018, and 195,867 commitment shares of common stock in the first quarter of 2019.</w:t>
      </w:r>
    </w:p>
    <w:p>
      <w:pPr>
        <w:spacing w:after="0" w:line="195"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Under the Purchase Agreement, on any business day selected by us, we may direct Lincoln Park to purchase shares of our common stock provided that Lincoln Park’s maximum commitment on any single day not exceed $2.0 million. The purchase price per share will be based off of prevailing market prices of our common stock immediately preceding the time of sale; provided, however, that we cannot direct any such purchase if the prevailing market price is less than $1.00. In addition, we may also direct Lincoln Park to purchase other amounts as accelerated purchases or as additional accelerated purchases if the closing sale price of our common stock exceeds certain threshold prices as set forth in the Purchase Agreement.</w:t>
      </w:r>
    </w:p>
    <w:p>
      <w:pPr>
        <w:spacing w:after="0" w:line="21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Actual sales of shares of our common stock to Lincoln Park under the Purchase Agreement will depend on a variety of factors as determined by us from time to time,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Due to our significant research and development expenditures, we have generated significant operating losses from inception and we expect to incur significant operating losses in the future. We have funded our operations primarily through sales of our equity securities, utilization of our credit agreement, the sale of our former hyperimmune business, and payments from our former parent. For the three and nine months ended September 30, 2019, we had a net loss of $6.9 million and $32.3 million. We had cash and cash equivalents of $17.7 million, restricted cash of $7.5 million and an accumulated deficit of $159.7 million as of September 30, 2019.</w:t>
      </w:r>
    </w:p>
    <w:p>
      <w:pPr>
        <w:spacing w:after="0" w:line="188"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For the nine months ended September 30, 2019, net cash used in our operating activities was $37.3 million. While we continue to generate cash inflows from the sale of IXINITY, exclusive of selling and marketing costs, our results of operations will be highly dependent on IXINITY sales unless or until we develop or partner any of our development stage product candidates and we expect to continue spending significantly on research and development and in marketing IXINITY.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2020.</w:t>
      </w:r>
    </w:p>
    <w:p>
      <w:pPr>
        <w:spacing w:after="0" w:line="15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order to conserve resources and extend our cash runway, we implemented an expense reduction plan that reduces annual expenditures by approximately 30%. Reductions included: streamlining research and development programs, including reducing investment in certain programs; cut-backs in legal, professional and consulting expenses; reduction of leased space, cut-backs in non-commercial headcount; and reductions in executive and board cash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5" w:name="page26"/>
    <w:bookmarkEnd w:id="25"/>
    <w:p>
      <w:pPr>
        <w:ind w:firstLine="518"/>
        <w:spacing w:after="0" w:line="277" w:lineRule="auto"/>
        <w:rPr>
          <w:sz w:val="20"/>
          <w:szCs w:val="20"/>
          <w:color w:val="auto"/>
        </w:rPr>
      </w:pPr>
      <w:r>
        <w:rPr>
          <w:rFonts w:ascii="Arial" w:cs="Arial" w:eastAsia="Arial" w:hAnsi="Arial"/>
          <w:sz w:val="18"/>
          <w:szCs w:val="18"/>
          <w:color w:val="auto"/>
        </w:rPr>
        <w:t>Our plans to address this condition include pursuing one or more of the following options to secure additional funding, none of which can be guaranteed or are entirely within our control:</w:t>
      </w:r>
    </w:p>
    <w:p>
      <w:pPr>
        <w:spacing w:after="0" w:line="62" w:lineRule="exact"/>
        <w:rPr>
          <w:sz w:val="20"/>
          <w:szCs w:val="20"/>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Raise funding through the possible additional sales of our common stock, through our existing equity sales agreement with Lincoln Park Financial LLC or our Equity Distribution Agreement with Piper Jaffray or other public or private equity financings.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 or sell a portion or all rights to any of our assets to secure potential additional non-dilutive funds.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additional credit lines or other debt financing sources.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can be no assurance, however, that we will receive cash proceeds from any of these potential resources or to the extent cash proceeds are received such proceeds would be sufficient to support our current operating plan for at least the next twelve months from the date of filing this Quarterly Report on Form 10-Q.</w:t>
      </w:r>
    </w:p>
    <w:p>
      <w:pPr>
        <w:spacing w:after="0" w:line="181"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38"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of conducting preclinical and clinical trials;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and the costs involved in, completing our clinical trials and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receipt and amount of sales of IXINITY and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are unable to raise substantial additional capital in the next year, whether on terms that are acceptable to us, or at all then we may be required to:</w:t>
      </w:r>
    </w:p>
    <w:p>
      <w:pPr>
        <w:spacing w:after="0" w:line="140"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limit, reduce or terminate our clinical trials or other development activities for one or more of our product candidates; and/or</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commercialize our product candidates, if approved.</w:t>
      </w:r>
    </w:p>
    <w:p>
      <w:pPr>
        <w:spacing w:after="0" w:line="170"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sale of additional equity or convertible debt securities may result in additional dilution to our stockholders. If we raise additional funds through the issuance of debt securities or preferred stock or through additional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future success is dependent on our ability to develop our product candidates and ultimately upon our ability to attain profitable operations.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Since our Annual Report on Form 10-K for the year ended December 31, 2018 that was filed with the SEC on March 18, 2019, we have entered into an amendment to our building lease. See Note 6 – Leases for our future contractual obligations as of September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of September 30, 2019, there were no material changes to the information provided under Item 7A, Quantitative and Qualitative Disclosures About Market Risk in our Annual Report filed on Form 10-K for the year ended December 31, 2018 and filed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As of September 30, 2019,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September 30, 2019,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2019, that have materially affected, or are reasonably likely to materially affect, our internal control over financial reporting.</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i w:val="1"/>
          <w:iCs w:val="1"/>
          <w:color w:val="auto"/>
        </w:rPr>
        <w:t>You should carefully consider the following risks and other information in this Quarterly Report on Form 10-Q in evaluating us and our common stock. Any of the following risks could materially and adversely affect our results of operations, financial condition or financial prospects.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profitable in the future.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For the nine months ended September 30, 2019, we had a net loss of $32.3 million. Except for the third quarter of 2017 and year ended December 31, 2017, we have experienced net losses in all other periods since our spin-off from Emergent. The net income for the third quarter of 2017 and year ended December 31, 2017 were the result of our receipt of proceeds from the sale of our hyperimmune business in September 2017. As of September 30, 2019, we had an accumulated deficit of $159.7 million.</w:t>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and board of directors have concluded that a substantial doubt is deemed to exist concerning our ability to continue as a going concern.</w:t>
      </w:r>
    </w:p>
    <w:p>
      <w:pPr>
        <w:spacing w:after="0" w:line="16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Quarterly Report on Form 10-Q, substantial doubt is deemed to exist about the company’s ability to continue as a going concern through November 2020.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The reaction of investors to the inclusion of a going concern statement in this report on Form 10-Q, our current lack of cash resources and our potential inability to continue as a going concern may materially adversely affect our share price and our ability to raise new capital, enter into strategic alliances and/or make our scheduled debt payments on a timely basis or at all.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additional capital and may be unable to raise capital when needed or on acceptable terms.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As of September 30, 2019, we had cash, cash equivalents, and restricted cash in the amount of $25.2 million. We will require additional funding to grow our business including to develop additional products, support commercial marketing activities or otherwise provide additional financial flexibility. On October 3, 2019, we announced that we are implementing an expense reduction plan that reduces annual expenditures by approximately 30%. Planned reductions include: streamlining research and development programs, including reducing investment in certain programs; cut-backs in legal, professional and consulting expenses; reduction of leased space, cut-backs in non-commercial headcount; and reductions in executive and board cash compensation. If we are not able to secure adequate additional funding, we may need to make additional reductions in spending. This may include extending payment terms with suppliers, liquidating assets, and suspending or curtailing planned programs. We may also have to further delay, reduce the scope of, suspend or eliminate one or more research and development programs. A failure to raise the additional funding or to effectively implement cost reductions could harm our business, results of operations and future prospects. Our future capital requirements will depend on many factors, including:</w:t>
      </w:r>
    </w:p>
    <w:p>
      <w:pPr>
        <w:spacing w:after="0" w:line="5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timing and cost of IXINITY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collection of accounts receivable from customers;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comply with the continued listing requirements of the Nasdaq Capital Market and the risk that our common shares will be delisted if we cannot do so;</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invest in products or technologies;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satisfy the payment obligations and covenants under our credit agreement or any future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secure partnerships and/or collaborations that generate additional cash;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improvements to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22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(i) any sale of up to the remaining $17.3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Capital Fund, LLC, or Lincoln Park, entered into in December 2018, and (iii) the issuance of up to 22,000,000 shares of common stock upon the exercise of warrants issued in connection with our March 2019 public offering of common stock and warrants.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rely on only one revenue-generating product, IXINITY.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have only one revenue-generating product, IXINITY. The commercial success of IXINITY depends upon:</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acceptance by regulators, physicians, patients and other key decision-makers of IXINITY as a safe, therapeutic and cost-effective option;</w:t>
      </w:r>
    </w:p>
    <w:p>
      <w:pPr>
        <w:spacing w:after="0" w:line="140"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further develop IXINITY and obtain marketing approval for its use in additional patient populations and the clinical data we generate to support expansion of the product label;</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AGC Biologics and other third-party service providers to provide us with sufficient IXINITY bulk drug substance and finished IXINITY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competition from existing competitive products and from competitive products that may be approved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safety and efficacy of IXINITY;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what extent and in what amount government and third-party payors cover or reimburse for the costs of IXINITY;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and the success of our third-party distributors in selling and marketing IXINITY.</w:t>
      </w:r>
    </w:p>
    <w:p>
      <w:pPr>
        <w:spacing w:after="0" w:line="225"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IXINITY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unpredictable and may fluctuate.</w:t>
      </w:r>
    </w:p>
    <w:p>
      <w:pPr>
        <w:spacing w:after="0" w:line="13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IXINITY revenue figures will likely fluctuate from month to month. IXINITY sales are difficult to predict from period to period and as a result, you should not rely on IXINITY sales results in any period as being indicative of future performance, and sales of IXINITY may be below the expectations of management, securities analysts or investors in the future. We believe that our quarterly and annual results of operations may be affected by a variety of factors, including: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and timing of commercial sales of IXINITY as well as our product candidates, if and when such candidates are approved or commercialized;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coverage and reimbursement for IXINITY and the amount of IXINITY chargebacks, rebates and product returns;</w:t>
      </w:r>
    </w:p>
    <w:p>
      <w:pPr>
        <w:spacing w:after="0" w:line="117"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cost and level of investment in our research and development activities as well as expenditures we will or may incur to acquire or develop additional technologies, products and product candidates.</w:t>
      </w:r>
    </w:p>
    <w:p>
      <w:pPr>
        <w:spacing w:after="0" w:line="23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the number of indications in which IXINITY or any of our product candidates, if commercialized, would be used may be significantly less than the total number of such indications or total possible market size. These and other factors, including our limited history of product sales,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of our credit agreement may restrict the operation of our business and limit the cash available for investment in our business operations.</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August 2016, we entered into a Credit and Security Agreement, or the Credit Agreement, by and among us and certain of our subsidiaries as borrowers, MidCap Financial Trust, as agent, and the lenders from time to time party thereto. The Credit Agreement was amended and restated in August 2018 and amended again in December 2018. The terms of the Credit Agreement, as amended, and borrowings we may make under the Credit Agreement in the future, could have significant adverse consequences for our business, including:</w:t>
      </w:r>
    </w:p>
    <w:p>
      <w:pPr>
        <w:spacing w:after="0" w:line="79" w:lineRule="exact"/>
        <w:rPr>
          <w:sz w:val="20"/>
          <w:szCs w:val="20"/>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borrowings under the Credit Agreement if market rates of interest increase;</w:t>
      </w:r>
    </w:p>
    <w:p>
      <w:pPr>
        <w:spacing w:after="0" w:line="12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complying with affirmative covenants including payment, reporting and revenue covenants; and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 including our intellectual property.</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0" w:name="page31"/>
    <w:bookmarkEnd w:id="30"/>
    <w:p>
      <w:pPr>
        <w:ind w:firstLine="518"/>
        <w:spacing w:after="0" w:line="277" w:lineRule="auto"/>
        <w:rPr>
          <w:sz w:val="20"/>
          <w:szCs w:val="20"/>
          <w:color w:val="auto"/>
        </w:rPr>
      </w:pPr>
      <w:r>
        <w:rPr>
          <w:rFonts w:ascii="Arial" w:cs="Arial" w:eastAsia="Arial" w:hAnsi="Arial"/>
          <w:sz w:val="18"/>
          <w:szCs w:val="18"/>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and/or 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IXINITY or any product candidates we successfully develop, withdrawal of clinical trial participants and potential termination of clinical trial sites or entire clinical programs, and could cause our stock price to fall.</w:t>
      </w:r>
    </w:p>
    <w:p>
      <w:pPr>
        <w:spacing w:after="0" w:line="182"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6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periodic litigation, which could result in losses or unexpected expenditure of time and resources.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The comprehensive tax reform bill could adversely affect our business and financial condition.</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3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As of December 31, 2018, we had approximately $20.3 million and $2.3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including as a result of our March 2019 public offering of common stock and warrants. In addition, we may experience ownership changes in the future as a result of subsequent shifts in our stock ownership, some of which may be outside of our control. If an ownership change has occurred or occurs in the future and our ability to use our net operating loss carryforwards is materially limited, it would harm our future operating results by effectively increasing our future tax obligations.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 Risks</w:t>
      </w:r>
    </w:p>
    <w:p>
      <w:pPr>
        <w:spacing w:after="0" w:line="12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impose distribution or use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one or more post-market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jc w:val="both"/>
        <w:ind w:left="1040" w:hanging="519"/>
        <w:spacing w:after="0" w:line="312"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w:t>
      </w:r>
    </w:p>
    <w:p>
      <w:pPr>
        <w:spacing w:after="0" w:line="11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For example, Dr. Scott Stromatt recently resigned as our full-time chief medical officer and is now providing clinical trial and medical affairs oversight duties as a third-party consultant.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83"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78"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78"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Commercialization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For example, in 2018, we announced the discontinuation of development of APVO414 and otlertuzumab as a result of clinical trial results. In addition, on October 3, 2019, we announced our decision to discontinue development of APVO210, a novel investigational bispecific antibody candidate under development for the treatment of autoimmune diseases. The decision followed the review of data from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further develop our ADAPTIR platform.</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233"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We believe that our most significant competitors in the hematology and oncology markets include: AbbVie Inc., Aduro, Inc., Affirmed, Amgen Inc., AnaptysBio, Inc., Astellas Pharma Inc., Bayer AG, Biogen Idec Inc., Bioverativ Therapeutics Inc., Boehringer Ingelheim GmbH, CSL Behring, a subsidiary of CSL Limited, Genentech Inc. (a subsidiary of F. Hoffmann-La Roche Ltd.), Genmab A/S, GlaxoSmithKline plc, Grifols USA LLC, ImmunoGen, Inc., Immunomedics, Inc., Janssen BioTech Inc., Johnson &amp; Johnson, Macrogenics, Inc., Novartis International AG, Pieris Pharmaceuticals, Inc., Pfizer Inc., Sanofi-Aventis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6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similar to IXINITY.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of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IXINITY or any of our product candidates, if approved, may become subject to unfavorable pricing regulations or third-party coverage and reimbursement policies, which would harm our business</w:t>
      </w:r>
      <w:r>
        <w:rPr>
          <w:rFonts w:ascii="Arial" w:cs="Arial" w:eastAsia="Arial" w:hAnsi="Arial"/>
          <w:sz w:val="18"/>
          <w:szCs w:val="18"/>
          <w:b w:val="1"/>
          <w:bCs w:val="1"/>
          <w:color w:val="auto"/>
        </w:rPr>
        <w:t>.</w:t>
      </w:r>
    </w:p>
    <w:p>
      <w:pPr>
        <w:spacing w:after="0" w:line="6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firstLine="518"/>
        <w:spacing w:after="0" w:line="288" w:lineRule="auto"/>
        <w:rPr>
          <w:sz w:val="20"/>
          <w:szCs w:val="20"/>
          <w:color w:val="auto"/>
        </w:rPr>
      </w:pPr>
      <w:r>
        <w:rPr>
          <w:rFonts w:ascii="Arial" w:cs="Arial" w:eastAsia="Arial" w:hAnsi="Arial"/>
          <w:sz w:val="16"/>
          <w:szCs w:val="16"/>
          <w:color w:val="auto"/>
        </w:rPr>
        <w:t>In the United States and internationally, sales of IXINITY and our ability to generate revenues on such sales are dependent, in significant part, on the availability of coverage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adequate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future revenues will depend on the availability outside the United States of adequate coverage, pricing and reimbursement from third-party payors for IXINITY, if we pursue registration and sale of IXINITY outside of the United States, and future drug products, if any.</w:t>
      </w:r>
    </w:p>
    <w:p>
      <w:pPr>
        <w:spacing w:after="0" w:line="3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future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inability to convince hospitals and managed care organizations to include IXINITY on their approved formulary lists, may result in our failure to meet revenue expectations.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legislature reform measures may have a material adverse effect on our business and results of operations.</w:t>
      </w:r>
    </w:p>
    <w:p>
      <w:pPr>
        <w:spacing w:after="0" w:line="13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Additionally, on December 14, 2018, a Texas U.S. District Court Judge ruled that the ACA is unconstitutional in its entirety because the individual mandate was repealed by Congress as part of the Tax Cuts &amp; Jobs Act. While the Texas U.S. District Court Judge, as well as the current U.S. Presidential administration and the Centers for Medicare and Medicaid Services, or CMS, have stated that the ruling will have no immediate effect pending appeal of the decision, it is unclear how this decision, subsequent appeals, and other efforts to repeal and replace the ACA will impact the ACA and our business. We continue to evaluate how the ACA and recent efforts to repeal and replace or limit the implementation of the ACA will impact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both"/>
        <w:ind w:firstLine="518"/>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220"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For example,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8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IXINITY or any product candidates we successfully develop or additional pricing pressures.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negotiate and maintain satisfactory arrangements with group purchasing organizations and our distributors our financial condition could be adversely affected.</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The loss of any of our sole source manufacturers, or delays or problems in the manufacture of </w:t>
      </w:r>
      <w:r>
        <w:rPr>
          <w:rFonts w:ascii="Arial" w:cs="Arial" w:eastAsia="Arial" w:hAnsi="Arial"/>
          <w:sz w:val="18"/>
          <w:szCs w:val="18"/>
          <w:color w:val="auto"/>
        </w:rPr>
        <w:t>IXINITY</w:t>
      </w:r>
      <w:r>
        <w:rPr>
          <w:rFonts w:ascii="Arial" w:cs="Arial" w:eastAsia="Arial" w:hAnsi="Arial"/>
          <w:sz w:val="18"/>
          <w:szCs w:val="18"/>
          <w:b w:val="1"/>
          <w:bCs w:val="1"/>
          <w:i w:val="1"/>
          <w:iCs w:val="1"/>
          <w:color w:val="auto"/>
        </w:rPr>
        <w:t xml:space="preserve"> or our product candidates, could result in product shortages and loss in revenue or delays in clinical development.</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Manufacturer of our products and product candidates, especially in large quantities, is complex and time consuming.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62"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APVO436, APVO603,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6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commercialization of IXINITY and our product candidates may be terminated or delayed.</w:t>
      </w:r>
    </w:p>
    <w:p>
      <w:pPr>
        <w:spacing w:after="0" w:line="117"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risks and uncertainties associated with our international activities and operations.</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Regulatory and Compliance Risks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long-term success depends, in part, upon our ability to develop, receive regulatory approval for and commercialize our product candidates.</w:t>
      </w:r>
    </w:p>
    <w:p>
      <w:pPr>
        <w:spacing w:after="0" w:line="14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8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2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7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93"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4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both"/>
        <w:ind w:firstLine="518"/>
        <w:spacing w:after="0" w:line="271" w:lineRule="auto"/>
        <w:rPr>
          <w:sz w:val="20"/>
          <w:szCs w:val="20"/>
          <w:color w:val="auto"/>
        </w:rPr>
      </w:pPr>
      <w:r>
        <w:rPr>
          <w:rFonts w:ascii="Arial" w:cs="Arial" w:eastAsia="Arial" w:hAnsi="Arial"/>
          <w:sz w:val="17"/>
          <w:szCs w:val="17"/>
          <w:color w:val="auto"/>
        </w:rPr>
        <w:t>In addition, in 2018 we commenced a pilot Phase 2 clinical trial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One patient showed a complete response, there was some evidence of tumor regression (43% in primary tumor) in a second patient, and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 and to explore options to partner or sell this asset.</w:t>
      </w:r>
    </w:p>
    <w:p>
      <w:pPr>
        <w:spacing w:after="0" w:line="21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Finally, the development program for APVO210 was terminated due to the development of ADA. The cause of the ADA is uncertain, however, the rapidity in which the ADA developed suggests that it is more related to the mechanism of action of the drug. APVO210 binds to CD86 on antigen presenting cells (APC) and that may have led to internalization of APVO210, before the IL10 component of APVO210 could down regulate the APC.</w:t>
      </w:r>
    </w:p>
    <w:p>
      <w:pPr>
        <w:spacing w:after="0" w:line="16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78"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8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While physicians may choose to prescribe drugs for uses that are not described in the product’s labeling and for uses that differ from those tested in clinical trials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8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products may face regulatory, legal or commercial challenges even after approval.</w:t>
      </w:r>
    </w:p>
    <w:p>
      <w:pPr>
        <w:spacing w:after="0" w:line="11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9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7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Failure by AGC or our other third-party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The FDA enforces its cGMP and other requirements through periodic unannounced inspections of manufacturing facilities. If, in connection with any future inspection, the FDA finds that any of our third-party manufacturers is not in substantial compliance with cGMP requirements, or if the FDA is not satisfied with the corrective actions such manufacturer may take, the FDA may undertake certain enforcement actions, including product seizure or withdrawal of the product from the market, imposition of restrictions on the marketing or manufacturing of a product and suspension or withdrawal of regulatory approvals or refusal to approve pending applications or supplements.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1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3" w:lineRule="exact"/>
        <w:rPr>
          <w:sz w:val="20"/>
          <w:szCs w:val="20"/>
          <w:color w:val="auto"/>
        </w:rPr>
      </w:pPr>
    </w:p>
    <w:p>
      <w:pPr>
        <w:jc w:val="both"/>
        <w:ind w:left="1040" w:hanging="519"/>
        <w:spacing w:after="0" w:line="255"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85"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ind w:left="1040" w:hanging="519"/>
        <w:spacing w:after="0" w:line="272"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9" w:lineRule="exact"/>
        <w:rPr>
          <w:rFonts w:ascii="Arial" w:cs="Arial" w:eastAsia="Arial" w:hAnsi="Arial"/>
          <w:sz w:val="17"/>
          <w:szCs w:val="17"/>
          <w:color w:val="auto"/>
        </w:rPr>
      </w:pPr>
    </w:p>
    <w:p>
      <w:pPr>
        <w:jc w:val="both"/>
        <w:ind w:left="1040" w:hanging="519"/>
        <w:spacing w:after="0" w:line="293"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56" w:lineRule="exact"/>
        <w:rPr>
          <w:rFonts w:ascii="Arial" w:cs="Arial" w:eastAsia="Arial" w:hAnsi="Arial"/>
          <w:sz w:val="16"/>
          <w:szCs w:val="16"/>
          <w:color w:val="auto"/>
        </w:rPr>
      </w:pPr>
    </w:p>
    <w:p>
      <w:pPr>
        <w:jc w:val="both"/>
        <w:ind w:left="1040" w:hanging="519"/>
        <w:spacing w:after="0" w:line="297"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50" w:lineRule="exact"/>
        <w:rPr>
          <w:rFonts w:ascii="Arial" w:cs="Arial" w:eastAsia="Arial" w:hAnsi="Arial"/>
          <w:sz w:val="16"/>
          <w:szCs w:val="16"/>
          <w:color w:val="auto"/>
        </w:rPr>
      </w:pPr>
    </w:p>
    <w:p>
      <w:pPr>
        <w:jc w:val="both"/>
        <w:ind w:left="1040" w:hanging="519"/>
        <w:spacing w:after="0" w:line="25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9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17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jc w:val="both"/>
        <w:ind w:firstLine="518"/>
        <w:spacing w:after="0" w:line="270" w:lineRule="auto"/>
        <w:rPr>
          <w:sz w:val="20"/>
          <w:szCs w:val="20"/>
          <w:color w:val="auto"/>
        </w:rPr>
      </w:pPr>
      <w:r>
        <w:rPr>
          <w:rFonts w:ascii="Arial" w:cs="Arial" w:eastAsia="Arial" w:hAnsi="Arial"/>
          <w:sz w:val="17"/>
          <w:szCs w:val="17"/>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8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9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 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6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jc w:val="both"/>
        <w:ind w:firstLine="518"/>
        <w:spacing w:after="0" w:line="287" w:lineRule="auto"/>
        <w:rPr>
          <w:sz w:val="20"/>
          <w:szCs w:val="20"/>
          <w:color w:val="auto"/>
        </w:rPr>
      </w:pPr>
      <w:r>
        <w:rPr>
          <w:rFonts w:ascii="Arial" w:cs="Arial" w:eastAsia="Arial" w:hAnsi="Arial"/>
          <w:sz w:val="16"/>
          <w:szCs w:val="16"/>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$184,767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62"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Intellectual Property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proprietary rights, our business could be harmed.</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4"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and maintain U.S. and foreign patents, that are meaningful to our products, including defending those patents against adverse claims;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secure patent term extension for the patents covering our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 trade secrets;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others;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 others from infringing our proprietary rights.</w:t>
      </w:r>
    </w:p>
    <w:p>
      <w:pPr>
        <w:spacing w:after="0" w:line="22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79"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addition to patent litigation, we may be a party to adversarial proceedings before the Patent Trial and Appeal Board (PTAB) of the US Patent and Trademark Office (USPTO), or the Opposition Division of the European Patent Office (EPO). Potential 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7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both"/>
        <w:ind w:firstLine="518"/>
        <w:spacing w:after="0" w:line="259" w:lineRule="auto"/>
        <w:rPr>
          <w:sz w:val="20"/>
          <w:szCs w:val="20"/>
          <w:color w:val="auto"/>
        </w:rPr>
      </w:pPr>
      <w:r>
        <w:rPr>
          <w:rFonts w:ascii="Arial" w:cs="Arial" w:eastAsia="Arial" w:hAnsi="Arial"/>
          <w:sz w:val="18"/>
          <w:szCs w:val="18"/>
          <w:color w:val="auto"/>
        </w:rPr>
        <w:t>Additionally, in January 2019, our unrestricted cash level fell below $25.0 million which triggered the effectiveness of a security agreement in favor of MidCap with respect to our registered intellectual property to secure our obligations under the Amended Credit Agreement. MidCap now holds a security interest in our registered intellectual property and may take ownership of such intellectual property if we do not satisfy our obligations under the Amended Credit Agreement.</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8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54"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3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the outcome of a patent opposition proceeding currently pending in Europe relating to IXINITY is unsuccessful, we may need to identify an additional fill/finish manufacturer, which could result in significant production delays and additional costs associated with moving our fill/finish manufacturing activities and identifying another fill/finish manufacturer</w:t>
      </w:r>
      <w:r>
        <w:rPr>
          <w:rFonts w:ascii="Arial" w:cs="Arial" w:eastAsia="Arial" w:hAnsi="Arial"/>
          <w:sz w:val="18"/>
          <w:szCs w:val="18"/>
          <w:color w:val="auto"/>
        </w:rPr>
        <w:t>.</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A European Patent Opposition is a European Patent Office proceeding that allows for an opponent to challenge the validity of an issued patent. A European Patent Opposition is a proceeding that determines only the validity of a patent and does not determine whether a party infringes a patent. To initiate an Opposition at the European Patent Office, an opponent files a notice that it wishes to oppose the patent within a nine-month period following the publication of the patent grant. After the opponent files the notice, it may be a few years before the merits of the opposition are heard and decided by the European Patent Office Opposition Division and several more years before the Boards of Appeal hears and decides on any appeals. We are currently opposing a European patent owned by Baxalta Incorporated, which relates to factor IX proteins such as IXINITY. Depending on the final outcome of the currently pending opposition proceeding, we may be unable to continue to conduct our current IXINITY fill/finish manufacturing activities. We were previously involved in five similar opposition proceedings in Europe relating to factor IX proteins in which Baxter International Inc., former parent of Baxalta, or Baxalta was the patentee or opposing party. None of the previous five oppositions are still pending, and all came to a conclusion in a manner favorable to Aptevo.</w:t>
      </w:r>
    </w:p>
    <w:p>
      <w:pPr>
        <w:spacing w:after="0" w:line="19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Patheon UK Limited, through an affiliate, is currently the sole source third-party manufacturer that provides fill and finish services for our IXINITY product, which conducts such activities in Europe. If, as a result of an adverse outcome in this proceeding, we are required to identify an additional fill/finish manufacturer in another location, we would not be able to do so without significant delay and likely significant additional cost.</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 addition, depending on the final outcome of this proceeding, we may be unable to sell factor IX products in Europe relating to the subject matter claimed in the European patent we are opposing.</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Although we do not have current marketing authorization for IXINITY in Europe, nor do we sell IXINITY in Europe, if we are unsuccessful in opposing Baxalta’s European patent, we may never be able to obtain marketing authorization to sell IXINITY in Europe or any other recombinant vitamin K dependent products we may develop in the future.</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International patent protection is particularly uncertain, and if we are involved in additional opposition proceedings in foreign countries, we may have to expend substantial sums and management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choose to file patent infringement claims against us.</w:t>
      </w:r>
    </w:p>
    <w:p>
      <w:pPr>
        <w:spacing w:after="0" w:line="117"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ind w:firstLine="51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9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Aptevo trademarks may be opposed which could have a material and adverse effect on our business.</w:t>
      </w:r>
    </w:p>
    <w:p>
      <w:pPr>
        <w:spacing w:after="0" w:line="11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have applications pending that cover the APTEVO THERAPEUTICS, APTEVO BIOTHERAPEUTICS and APTEVO RESEARCH AND DEVELOPMENT trademarks. We refer to these trademarks as our house marks. If a third 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our obligations in our intellectual property licenses with third parties, could result in loss of license rights or other damages.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52"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Related to Collaborations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that leverage our capabilities in pursuit of developing and commercializing our product candidates.</w:t>
      </w:r>
    </w:p>
    <w:p>
      <w:pPr>
        <w:spacing w:after="0" w:line="6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6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risks that we are subject to in any of our collaborations include, among others:</w:t>
      </w:r>
    </w:p>
    <w:p>
      <w:pPr>
        <w:spacing w:after="0" w:line="117" w:lineRule="exact"/>
        <w:rPr>
          <w:sz w:val="20"/>
          <w:szCs w:val="20"/>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not commit adequate resources to the development, marketing and distribution of any collaboration products, limiting our potential revenues from these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experience financial difficulties and may therefore be unable to meet their commitments to us;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pursue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collaborative partners may terminate our relationship.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p>
      <w:pPr>
        <w:jc w:val="both"/>
        <w:ind w:firstLine="518"/>
        <w:spacing w:after="0" w:line="255" w:lineRule="auto"/>
        <w:rPr>
          <w:sz w:val="20"/>
          <w:szCs w:val="20"/>
          <w:color w:val="auto"/>
        </w:rPr>
      </w:pPr>
      <w:r>
        <w:rPr>
          <w:rFonts w:ascii="Arial" w:cs="Arial" w:eastAsia="Arial" w:hAnsi="Arial"/>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continue to develop effective internal controls, we may not be able to accurately report our financial results and our business could be harmed.</w:t>
      </w:r>
    </w:p>
    <w:p>
      <w:pPr>
        <w:spacing w:after="0" w:line="6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7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stock price has fluctuated in the past and is likely to be volatile in the future. Since August 1, 2016, the reported closing price of our common stock has fluctuated between $0.54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6"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management, or our ability to meet those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 perceptions or negative announcements by our customers, competitors or suppliers regarding their own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expenses and results of clinical and non-clinical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regarding clinical trial results and product introductions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acquisitions, collaborations, financings or other transactions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variations in our product revenue and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industry conditions and domestic and worldwide financial, economic and political instability;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may be at risk for delisting from the Nasdaq Capital Market in the future. Delisting could adversely affect the liquidity of our common stock and the market price of our common stock could decrease.</w:t>
      </w:r>
    </w:p>
    <w:p>
      <w:pPr>
        <w:spacing w:after="0" w:line="6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common stock is currently listed on the Nasdaq Capital Market. The Nasdaq Stock Market LLC has minimum requirements that a company must meet in order to remain listed on Nasdaq, including a requirement that we maintain a minimum closing bid price of $1.00 per share. On April 18, 2019, we received a letter from the listing qualifications department staff of Nasdaq notifying us that for the last 30 consecutive business days the bid price of our common stock had closed below $1.00 per share. On October 11, 2019, we submitted to the Listing Qualifications Department of Nasdaq an application to transfer the listing of our common stock from The Nasdaq Global Market to The Nasdaq Capital Market, On October 16, 2019, we received notice from Nasdaq that our application to transfer listing of our common stock had been approved. The transfer was effective at the opening of business on October 18,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jc w:val="both"/>
        <w:ind w:firstLine="518"/>
        <w:spacing w:after="0" w:line="273" w:lineRule="auto"/>
        <w:rPr>
          <w:sz w:val="20"/>
          <w:szCs w:val="20"/>
          <w:color w:val="auto"/>
        </w:rPr>
      </w:pPr>
      <w:r>
        <w:rPr>
          <w:rFonts w:ascii="Arial" w:cs="Arial" w:eastAsia="Arial" w:hAnsi="Arial"/>
          <w:sz w:val="17"/>
          <w:szCs w:val="17"/>
          <w:color w:val="auto"/>
        </w:rPr>
        <w:t>We are eligible for an additional 180-day period (through April 13, 2020) to regain compliance with the minimum bid price, which requires that the closing bid price of our common stock be at least $1.00 per share for a minimum of ten consecutive days. In the event that we are not able to regain compliance during this additional compliance period, we intend to to cure the deficiency during the second compliance period by effecting a reverse stock split, if necessary. However, if it appears to the Nasdaq staff that we will not be able to cure the deficiency, or if we do not meet the other listing standards, Nasdaq could provide notice that our common stock will become subject to delisting. In the event we receive notice that our common stock is being delisted, Nasdaq rules permit us to appeal any delisting determination by the Nasdaq staff to a hearings panel.</w:t>
      </w:r>
    </w:p>
    <w:p>
      <w:pPr>
        <w:spacing w:after="0" w:line="219"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If our common stock were to be delisted, the liquidity of our common stock would be adversely affected and the market price of our common stock could decrease.</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 Under these rules, broker-dealers who recommend such securities to persons other than institutional accredited investors must:</w:t>
      </w:r>
    </w:p>
    <w:p>
      <w:pPr>
        <w:spacing w:after="0" w:line="8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a special written suitability determination for the purchaser;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the purchaser’s written agreement to the transaction prior to sale;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the purchaser with risk disclosure documents which identify certain risks associated with investing in “penny stocks” and which describe the market for these “penny stocks” as well as a purchaser’s legal remedies;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signed and dated acknowledgment from the purchaser demonstrating that the purchaser has actually received the required risk disclosure document before a transaction in a “penny stock” can be completed.</w:t>
      </w:r>
    </w:p>
    <w:p>
      <w:pPr>
        <w:spacing w:after="0" w:line="170"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As a result of these requirements, the market price of our securities may be adversely impacted, and current stockholders may find it more difficult to sell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Aptevo may be diluted in the future.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14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Future issuances of common stock may include (i) any sale of up to the remaining $17.3 million worth of shares of our common stock pursuant to our Equity Distribution Agreement with Piper Jaffray &amp; Co entered into in November 2017, (ii) any sale of up to $35.0 million worth of shares of our common stock in a private placement pursuant to our Purchase Agreement with Lincoln Park, entered into in December 2018 and (iii) the issuance of up to 22,000,000 share of common stock upon the exercise of warrants issued in connection with our March 2019 public offering of common stock and warrants.</w:t>
      </w:r>
    </w:p>
    <w:p>
      <w:pPr>
        <w:spacing w:after="0" w:line="154"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23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7"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shares may be sold into the market at any time which could depress our stock price</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If our stockholders sell a substantial number of shares of our common stock in the public market, our market price could decline. In connection with the transaction with Lincoln Park, we have agreed to register under the Securities Act of 1933, as amended, the resale of shares of common stock that have been and may be issued under the Purchase Agreement with Lincoln Park. Any such sales by Lincoln Park, or the perception that such sales may occur, could decrease the market price of our common stock. In addition, holders of an aggregate of approximately three million shares of our common stock have the right to require us to register these shares of common stock under specified circumstances.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60" w:type="dxa"/>
            <w:vAlign w:val="bottom"/>
            <w:gridSpan w:val="5"/>
          </w:tcPr>
          <w:p>
            <w:pPr>
              <w:ind w:left="3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88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Borders>
              <w:top w:val="single" w:sz="8" w:color="auto"/>
            </w:tcBorders>
            <w:gridSpan w:val="6"/>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Amendment to LLC Purchase Agreement dated as of August 31, 2017, by and among Aptevo BioTherapeutics LLC, Aptevo Inc., Venus Bio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Therapeutics Sub LLC, and Saol International Limited (incorporated by reference from exhibit 10.1 to Quarterly Report on Form 10-Q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No. 001-37746) filed by Aptevo Therapeutics Inc. with the SEC on August 9, 2019).</w:t>
              </w:r>
            </w:hyperlink>
          </w:p>
        </w:tc>
        <w:tc>
          <w:tcPr>
            <w:tcW w:w="4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6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Amendment to Lease Dated April 28, 2003 by and between Selig Real Estate Holdings Eight, LLC and later assigned to SREH 2018</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Holdings LLC and Aptevo Research and Development LLC.</w:t>
              </w:r>
            </w:hyperlink>
          </w:p>
        </w:tc>
        <w:tc>
          <w:tcPr>
            <w:tcW w:w="58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6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Adopted Pursuant to Section 302 of the Sarbanes 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Adopted Pursuant to Section 302 of the Sarbanes 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6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APTEVO THERAPEUTICS INC.</w:t>
      </w:r>
    </w:p>
    <w:p>
      <w:pPr>
        <w:spacing w:after="0" w:line="293" w:lineRule="exact"/>
        <w:rPr>
          <w:sz w:val="20"/>
          <w:szCs w:val="20"/>
          <w:color w:val="auto"/>
        </w:rPr>
      </w:pPr>
    </w:p>
    <w:p>
      <w:pPr>
        <w:spacing w:after="0"/>
        <w:tabs>
          <w:tab w:leader="none" w:pos="6280" w:val="left"/>
          <w:tab w:leader="none" w:pos="84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8" w:lineRule="exact"/>
        <w:rPr>
          <w:sz w:val="20"/>
          <w:szCs w:val="20"/>
          <w:color w:val="auto"/>
        </w:rPr>
      </w:pPr>
    </w:p>
    <w:p>
      <w:pPr>
        <w:spacing w:after="0"/>
        <w:tabs>
          <w:tab w:leader="none" w:pos="6280" w:val="left"/>
          <w:tab w:leader="none" w:pos="82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G.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Jeffrey G. Lamothe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Exhibit 10.2</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November 6, 2019</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Mr. Marvin White</w:t>
      </w:r>
    </w:p>
    <w:p>
      <w:pPr>
        <w:spacing w:after="0" w:line="225" w:lineRule="auto"/>
        <w:rPr>
          <w:sz w:val="20"/>
          <w:szCs w:val="20"/>
          <w:color w:val="auto"/>
        </w:rPr>
      </w:pPr>
      <w:r>
        <w:rPr>
          <w:rFonts w:ascii="Arial" w:cs="Arial" w:eastAsia="Arial" w:hAnsi="Arial"/>
          <w:sz w:val="20"/>
          <w:szCs w:val="20"/>
          <w:color w:val="auto"/>
        </w:rPr>
        <w:t>APTEVO RESEARCH AND</w:t>
      </w:r>
    </w:p>
    <w:p>
      <w:pPr>
        <w:spacing w:after="0" w:line="225" w:lineRule="auto"/>
        <w:rPr>
          <w:sz w:val="20"/>
          <w:szCs w:val="20"/>
          <w:color w:val="auto"/>
        </w:rPr>
      </w:pPr>
      <w:r>
        <w:rPr>
          <w:rFonts w:ascii="Arial" w:cs="Arial" w:eastAsia="Arial" w:hAnsi="Arial"/>
          <w:sz w:val="20"/>
          <w:szCs w:val="20"/>
          <w:color w:val="auto"/>
        </w:rPr>
        <w:t>DEVELOPMENT LLC</w:t>
      </w:r>
    </w:p>
    <w:p>
      <w:pPr>
        <w:spacing w:after="0" w:line="226" w:lineRule="auto"/>
        <w:rPr>
          <w:sz w:val="20"/>
          <w:szCs w:val="20"/>
          <w:color w:val="auto"/>
        </w:rPr>
      </w:pPr>
      <w:r>
        <w:rPr>
          <w:rFonts w:ascii="Arial" w:cs="Arial" w:eastAsia="Arial" w:hAnsi="Arial"/>
          <w:sz w:val="20"/>
          <w:szCs w:val="20"/>
          <w:color w:val="auto"/>
        </w:rPr>
        <w:t>2401 Fourth Avenue, Suite 1200</w:t>
      </w:r>
    </w:p>
    <w:p>
      <w:pPr>
        <w:spacing w:after="0"/>
        <w:rPr>
          <w:sz w:val="20"/>
          <w:szCs w:val="20"/>
          <w:color w:val="auto"/>
        </w:rPr>
      </w:pPr>
      <w:r>
        <w:rPr>
          <w:rFonts w:ascii="Arial" w:cs="Arial" w:eastAsia="Arial" w:hAnsi="Arial"/>
          <w:sz w:val="20"/>
          <w:szCs w:val="20"/>
          <w:color w:val="auto"/>
        </w:rPr>
        <w:t>Seattle, Washington 98121</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RE: Lease Dated April 28, 2003 by and between Selig Real Estate Holdings Eight, LLC and later assigned to SREH 2018 Holdings LLC and Aptevo Research and Development LLC.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Dear Daphne:</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Please let this letter serve as our agreement, subject to the provisions described herein, to cancel and terminate the above referenced Lease of 3,067 rentable square feet located on the first floor of our 2401 Fourth Avenue Building.</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Provided that if Lessee is not in breach of any of the terms and conditions set forth in the Lease, the effective date of this lease cancellation shall be August 31, 2019, and thereafter all rights and obligations pertaining to this Lease will terminate.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Unless modified herein, all other Lease terms and conditions shall remain in full force and effect.</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If you are in agreement with the above, please sign and notarize three (3) original copies and return all three (3) to my attention for Martin Selig’s signature. Upon full execution I shall return one (1) original for your records.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Michael Brixner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Michael Brixner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SIGNATURE BLOCK ONLY ON LAST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Mr. Marvin White</w:t>
      </w:r>
    </w:p>
    <w:p>
      <w:pPr>
        <w:spacing w:after="0" w:line="225" w:lineRule="auto"/>
        <w:rPr>
          <w:sz w:val="20"/>
          <w:szCs w:val="20"/>
          <w:color w:val="auto"/>
        </w:rPr>
      </w:pPr>
      <w:r>
        <w:rPr>
          <w:rFonts w:ascii="Arial" w:cs="Arial" w:eastAsia="Arial" w:hAnsi="Arial"/>
          <w:sz w:val="20"/>
          <w:szCs w:val="20"/>
          <w:color w:val="auto"/>
        </w:rPr>
        <w:t>APTEVO RESEARCH AND</w:t>
      </w:r>
    </w:p>
    <w:p>
      <w:pPr>
        <w:spacing w:after="0" w:line="225" w:lineRule="auto"/>
        <w:rPr>
          <w:sz w:val="20"/>
          <w:szCs w:val="20"/>
          <w:color w:val="auto"/>
        </w:rPr>
      </w:pPr>
      <w:r>
        <w:rPr>
          <w:rFonts w:ascii="Arial" w:cs="Arial" w:eastAsia="Arial" w:hAnsi="Arial"/>
          <w:sz w:val="20"/>
          <w:szCs w:val="20"/>
          <w:color w:val="auto"/>
        </w:rPr>
        <w:t>DEVELOPMENT LLC.</w:t>
      </w:r>
    </w:p>
    <w:p>
      <w:pPr>
        <w:spacing w:after="0" w:line="226" w:lineRule="auto"/>
        <w:rPr>
          <w:sz w:val="20"/>
          <w:szCs w:val="20"/>
          <w:color w:val="auto"/>
        </w:rPr>
      </w:pPr>
      <w:r>
        <w:rPr>
          <w:rFonts w:ascii="Arial" w:cs="Arial" w:eastAsia="Arial" w:hAnsi="Arial"/>
          <w:sz w:val="20"/>
          <w:szCs w:val="20"/>
          <w:color w:val="auto"/>
        </w:rPr>
        <w:t>August 9,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900" w:type="dxa"/>
            <w:vAlign w:val="bottom"/>
            <w:gridSpan w:val="3"/>
          </w:tcPr>
          <w:p>
            <w:pPr>
              <w:ind w:left="980"/>
              <w:spacing w:after="0"/>
              <w:rPr>
                <w:sz w:val="20"/>
                <w:szCs w:val="20"/>
                <w:color w:val="auto"/>
              </w:rPr>
            </w:pPr>
            <w:r>
              <w:rPr>
                <w:rFonts w:ascii="Arial" w:cs="Arial" w:eastAsia="Arial" w:hAnsi="Arial"/>
                <w:sz w:val="20"/>
                <w:szCs w:val="20"/>
                <w:color w:val="auto"/>
              </w:rPr>
              <w:t>AGREED AND ACCEPTED:</w:t>
            </w:r>
          </w:p>
        </w:tc>
      </w:tr>
      <w:tr>
        <w:trPr>
          <w:trHeight w:val="432"/>
        </w:trPr>
        <w:tc>
          <w:tcPr>
            <w:tcW w:w="3520" w:type="dxa"/>
            <w:vAlign w:val="bottom"/>
            <w:gridSpan w:val="2"/>
          </w:tcPr>
          <w:p>
            <w:pPr>
              <w:spacing w:after="0"/>
              <w:rPr>
                <w:sz w:val="20"/>
                <w:szCs w:val="20"/>
                <w:color w:val="auto"/>
              </w:rPr>
            </w:pPr>
            <w:r>
              <w:rPr>
                <w:rFonts w:ascii="Arial" w:cs="Arial" w:eastAsia="Arial" w:hAnsi="Arial"/>
                <w:sz w:val="20"/>
                <w:szCs w:val="20"/>
                <w:color w:val="auto"/>
              </w:rPr>
              <w:t>SREH 2018 HOLDINGS LLC</w:t>
            </w:r>
          </w:p>
        </w:tc>
        <w:tc>
          <w:tcPr>
            <w:tcW w:w="1740" w:type="dxa"/>
            <w:vAlign w:val="bottom"/>
          </w:tcPr>
          <w:p>
            <w:pPr>
              <w:spacing w:after="0"/>
              <w:rPr>
                <w:sz w:val="24"/>
                <w:szCs w:val="24"/>
                <w:color w:val="auto"/>
              </w:rPr>
            </w:pPr>
          </w:p>
        </w:tc>
        <w:tc>
          <w:tcPr>
            <w:tcW w:w="6160" w:type="dxa"/>
            <w:vAlign w:val="bottom"/>
            <w:gridSpan w:val="2"/>
          </w:tcPr>
          <w:p>
            <w:pPr>
              <w:ind w:left="340"/>
              <w:spacing w:after="0"/>
              <w:rPr>
                <w:sz w:val="20"/>
                <w:szCs w:val="20"/>
                <w:color w:val="auto"/>
              </w:rPr>
            </w:pPr>
            <w:r>
              <w:rPr>
                <w:rFonts w:ascii="Arial" w:cs="Arial" w:eastAsia="Arial" w:hAnsi="Arial"/>
                <w:sz w:val="20"/>
                <w:szCs w:val="20"/>
                <w:color w:val="auto"/>
              </w:rPr>
              <w:t>APTEVO RESEARCH AND DEVELOPMENT LLC</w:t>
            </w:r>
          </w:p>
        </w:tc>
      </w:tr>
      <w:tr>
        <w:trPr>
          <w:trHeight w:val="455"/>
        </w:trPr>
        <w:tc>
          <w:tcPr>
            <w:tcW w:w="880" w:type="dxa"/>
            <w:vAlign w:val="bottom"/>
          </w:tcPr>
          <w:p>
            <w:pPr>
              <w:spacing w:after="0"/>
              <w:rPr>
                <w:sz w:val="24"/>
                <w:szCs w:val="24"/>
                <w:color w:val="auto"/>
              </w:rPr>
            </w:pPr>
          </w:p>
        </w:tc>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20"/>
                <w:szCs w:val="20"/>
                <w:i w:val="1"/>
                <w:iCs w:val="1"/>
                <w:color w:val="auto"/>
              </w:rPr>
              <w:t>/s/ Martin Selig</w:t>
            </w:r>
          </w:p>
        </w:tc>
        <w:tc>
          <w:tcPr>
            <w:tcW w:w="174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Borders>
              <w:bottom w:val="single" w:sz="8" w:color="auto"/>
            </w:tcBorders>
          </w:tcPr>
          <w:p>
            <w:pPr>
              <w:ind w:left="100"/>
              <w:spacing w:after="0"/>
              <w:rPr>
                <w:sz w:val="20"/>
                <w:szCs w:val="20"/>
                <w:color w:val="auto"/>
              </w:rPr>
            </w:pPr>
            <w:r>
              <w:rPr>
                <w:rFonts w:ascii="Arial" w:cs="Arial" w:eastAsia="Arial" w:hAnsi="Arial"/>
                <w:sz w:val="20"/>
                <w:szCs w:val="20"/>
                <w:i w:val="1"/>
                <w:iCs w:val="1"/>
                <w:color w:val="auto"/>
              </w:rPr>
              <w:t>/s/ Marvin White</w:t>
            </w: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By:</w:t>
            </w:r>
          </w:p>
        </w:tc>
        <w:tc>
          <w:tcPr>
            <w:tcW w:w="26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Martin Selig</w:t>
            </w:r>
          </w:p>
        </w:tc>
        <w:tc>
          <w:tcPr>
            <w:tcW w:w="1740" w:type="dxa"/>
            <w:vAlign w:val="bottom"/>
            <w:tcBorders>
              <w:bottom w:val="single" w:sz="8" w:color="auto"/>
            </w:tcBorders>
          </w:tcPr>
          <w:p>
            <w:pPr>
              <w:spacing w:after="0"/>
              <w:rPr>
                <w:sz w:val="19"/>
                <w:szCs w:val="19"/>
                <w:color w:val="auto"/>
              </w:rPr>
            </w:pPr>
          </w:p>
        </w:tc>
        <w:tc>
          <w:tcPr>
            <w:tcW w:w="1240" w:type="dxa"/>
            <w:vAlign w:val="bottom"/>
          </w:tcPr>
          <w:p>
            <w:pPr>
              <w:ind w:left="340"/>
              <w:spacing w:after="0" w:line="223" w:lineRule="exact"/>
              <w:rPr>
                <w:sz w:val="20"/>
                <w:szCs w:val="20"/>
                <w:color w:val="auto"/>
              </w:rPr>
            </w:pPr>
            <w:r>
              <w:rPr>
                <w:rFonts w:ascii="Arial" w:cs="Arial" w:eastAsia="Arial" w:hAnsi="Arial"/>
                <w:sz w:val="20"/>
                <w:szCs w:val="20"/>
                <w:color w:val="auto"/>
              </w:rPr>
              <w:t>By:</w:t>
            </w:r>
          </w:p>
        </w:tc>
        <w:tc>
          <w:tcPr>
            <w:tcW w:w="49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Marvin White</w:t>
            </w: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Its:</w:t>
            </w:r>
          </w:p>
        </w:tc>
        <w:tc>
          <w:tcPr>
            <w:tcW w:w="26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Manager</w:t>
            </w:r>
          </w:p>
        </w:tc>
        <w:tc>
          <w:tcPr>
            <w:tcW w:w="1740" w:type="dxa"/>
            <w:vAlign w:val="bottom"/>
            <w:tcBorders>
              <w:bottom w:val="single" w:sz="8" w:color="auto"/>
            </w:tcBorders>
          </w:tcPr>
          <w:p>
            <w:pPr>
              <w:spacing w:after="0"/>
              <w:rPr>
                <w:sz w:val="19"/>
                <w:szCs w:val="19"/>
                <w:color w:val="auto"/>
              </w:rPr>
            </w:pPr>
          </w:p>
        </w:tc>
        <w:tc>
          <w:tcPr>
            <w:tcW w:w="1240" w:type="dxa"/>
            <w:vAlign w:val="bottom"/>
          </w:tcPr>
          <w:p>
            <w:pPr>
              <w:ind w:left="340"/>
              <w:spacing w:after="0" w:line="223" w:lineRule="exact"/>
              <w:rPr>
                <w:sz w:val="20"/>
                <w:szCs w:val="20"/>
                <w:color w:val="auto"/>
              </w:rPr>
            </w:pPr>
            <w:r>
              <w:rPr>
                <w:rFonts w:ascii="Arial" w:cs="Arial" w:eastAsia="Arial" w:hAnsi="Arial"/>
                <w:sz w:val="20"/>
                <w:szCs w:val="20"/>
                <w:color w:val="auto"/>
              </w:rPr>
              <w:t>Its:</w:t>
            </w:r>
          </w:p>
        </w:tc>
        <w:tc>
          <w:tcPr>
            <w:tcW w:w="49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President &amp; CEO</w:t>
            </w: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Dated:</w:t>
            </w:r>
          </w:p>
        </w:tc>
        <w:tc>
          <w:tcPr>
            <w:tcW w:w="264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August 22, 2019</w:t>
            </w:r>
          </w:p>
        </w:tc>
        <w:tc>
          <w:tcPr>
            <w:tcW w:w="1740" w:type="dxa"/>
            <w:vAlign w:val="bottom"/>
            <w:tcBorders>
              <w:bottom w:val="single" w:sz="8" w:color="auto"/>
            </w:tcBorders>
          </w:tcPr>
          <w:p>
            <w:pPr>
              <w:spacing w:after="0"/>
              <w:rPr>
                <w:sz w:val="19"/>
                <w:szCs w:val="19"/>
                <w:color w:val="auto"/>
              </w:rPr>
            </w:pPr>
          </w:p>
        </w:tc>
        <w:tc>
          <w:tcPr>
            <w:tcW w:w="1240" w:type="dxa"/>
            <w:vAlign w:val="bottom"/>
          </w:tcPr>
          <w:p>
            <w:pPr>
              <w:ind w:left="340"/>
              <w:spacing w:after="0" w:line="223" w:lineRule="exact"/>
              <w:rPr>
                <w:sz w:val="20"/>
                <w:szCs w:val="20"/>
                <w:color w:val="auto"/>
              </w:rPr>
            </w:pPr>
            <w:r>
              <w:rPr>
                <w:rFonts w:ascii="Arial" w:cs="Arial" w:eastAsia="Arial" w:hAnsi="Arial"/>
                <w:sz w:val="20"/>
                <w:szCs w:val="20"/>
                <w:color w:val="auto"/>
              </w:rPr>
              <w:t>Dated:</w:t>
            </w:r>
          </w:p>
        </w:tc>
        <w:tc>
          <w:tcPr>
            <w:tcW w:w="4920" w:type="dxa"/>
            <w:vAlign w:val="bottom"/>
            <w:tcBorders>
              <w:bottom w:val="single" w:sz="8" w:color="auto"/>
            </w:tcBorders>
          </w:tcPr>
          <w:p>
            <w:pPr>
              <w:ind w:left="100"/>
              <w:spacing w:after="0" w:line="223" w:lineRule="exact"/>
              <w:rPr>
                <w:sz w:val="20"/>
                <w:szCs w:val="20"/>
                <w:color w:val="auto"/>
              </w:rPr>
            </w:pPr>
            <w:r>
              <w:rPr>
                <w:rFonts w:ascii="Arial" w:cs="Arial" w:eastAsia="Arial" w:hAnsi="Arial"/>
                <w:sz w:val="20"/>
                <w:szCs w:val="20"/>
                <w:color w:val="auto"/>
              </w:rPr>
              <w:t>8/16/19</w:t>
            </w:r>
          </w:p>
        </w:tc>
      </w:tr>
    </w:tbl>
    <w:p>
      <w:pPr>
        <w:sectPr>
          <w:pgSz w:w="11900" w:h="16838" w:orient="portrait"/>
          <w:cols w:equalWidth="0" w:num="1">
            <w:col w:w="11420"/>
          </w:cols>
          <w:pgMar w:left="240" w:top="55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0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Lamothe, certify that:</w:t>
      </w:r>
    </w:p>
    <w:p>
      <w:pPr>
        <w:spacing w:after="0" w:line="22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Aptevo Therapeutics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00" w:val="left"/>
          <w:tab w:leader="none" w:pos="81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Treasurer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connection with the Annual Report of Aptevo Therapeutics Inc. on Form 10-Q for the period ending September 30, 2019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Marvin White</w:t>
      </w:r>
    </w:p>
    <w:p>
      <w:pPr>
        <w:spacing w:after="0" w:line="27" w:lineRule="exact"/>
        <w:rPr>
          <w:sz w:val="20"/>
          <w:szCs w:val="20"/>
          <w:color w:val="auto"/>
        </w:rPr>
      </w:pPr>
    </w:p>
    <w:p>
      <w:pPr>
        <w:jc w:val="cente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In connection with the Annual Report of Aptevo Inc. on Form 10-Q for the period ending September 30, 2019 as filed with the Securities and Exchange Commission on the date hereof (the “Report”), I certify, pursuant to 18 U.S.C. § 1350, as adopted pursuant to §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00" w:val="left"/>
          <w:tab w:leader="none" w:pos="86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74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2"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Jeff Lamothe</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3"/>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3" Type="http://schemas.openxmlformats.org/officeDocument/2006/relationships/hyperlink" Target="http://www.sec.gov/Archives/edgar/data/1671584/000156459019031118/apvo-ex101_2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2019-12-28T02:03:50Z</dcterms:created>
  <dcterms:modified xsi:type="dcterms:W3CDTF">2019-12-28T02:03:50Z</dcterms:modified>
</cp:coreProperties>
</file>