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150495</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161290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154305</wp:posOffset>
            </wp:positionV>
            <wp:extent cx="5966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141605</wp:posOffset>
            </wp:positionV>
            <wp:extent cx="5966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25"/>
        </w:trPr>
        <w:tc>
          <w:tcPr>
            <w:tcW w:w="3220" w:type="dxa"/>
            <w:vAlign w:val="bottom"/>
          </w:tcPr>
          <w:p>
            <w:pPr>
              <w:jc w:val="center"/>
              <w:ind w:right="1599"/>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001-37746</w:t>
            </w:r>
          </w:p>
        </w:tc>
        <w:tc>
          <w:tcPr>
            <w:tcW w:w="2560" w:type="dxa"/>
            <w:vAlign w:val="bottom"/>
          </w:tcPr>
          <w:p>
            <w:pPr>
              <w:jc w:val="center"/>
              <w:ind w:left="1341"/>
              <w:spacing w:after="0"/>
              <w:rPr>
                <w:sz w:val="20"/>
                <w:szCs w:val="20"/>
                <w:color w:val="auto"/>
              </w:rPr>
            </w:pPr>
            <w:r>
              <w:rPr>
                <w:rFonts w:ascii="Arial" w:cs="Arial" w:eastAsia="Arial" w:hAnsi="Arial"/>
                <w:sz w:val="18"/>
                <w:szCs w:val="18"/>
                <w:b w:val="1"/>
                <w:bCs w:val="1"/>
                <w:color w:val="auto"/>
                <w:w w:val="89"/>
              </w:rPr>
              <w:t>81-1567056</w:t>
            </w:r>
          </w:p>
        </w:tc>
      </w:tr>
      <w:tr>
        <w:trPr>
          <w:trHeight w:val="148"/>
        </w:trPr>
        <w:tc>
          <w:tcPr>
            <w:tcW w:w="3220" w:type="dxa"/>
            <w:vAlign w:val="bottom"/>
          </w:tcPr>
          <w:p>
            <w:pPr>
              <w:jc w:val="center"/>
              <w:ind w:right="1599"/>
              <w:spacing w:after="0" w:line="149" w:lineRule="exact"/>
              <w:rPr>
                <w:sz w:val="20"/>
                <w:szCs w:val="20"/>
                <w:color w:val="auto"/>
              </w:rPr>
            </w:pPr>
            <w:r>
              <w:rPr>
                <w:rFonts w:ascii="Arial" w:cs="Arial" w:eastAsia="Arial" w:hAnsi="Arial"/>
                <w:sz w:val="14"/>
                <w:szCs w:val="14"/>
                <w:b w:val="1"/>
                <w:bCs w:val="1"/>
                <w:color w:val="auto"/>
                <w:w w:val="95"/>
              </w:rPr>
              <w:t>(State or Other Juris-</w:t>
            </w:r>
          </w:p>
        </w:tc>
        <w:tc>
          <w:tcPr>
            <w:tcW w:w="20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(Commission</w:t>
            </w:r>
          </w:p>
        </w:tc>
        <w:tc>
          <w:tcPr>
            <w:tcW w:w="2560" w:type="dxa"/>
            <w:vAlign w:val="bottom"/>
          </w:tcPr>
          <w:p>
            <w:pPr>
              <w:jc w:val="center"/>
              <w:ind w:left="13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20" w:type="dxa"/>
            <w:vAlign w:val="bottom"/>
          </w:tcPr>
          <w:p>
            <w:pPr>
              <w:jc w:val="center"/>
              <w:ind w:right="1599"/>
              <w:spacing w:after="0"/>
              <w:rPr>
                <w:sz w:val="20"/>
                <w:szCs w:val="20"/>
                <w:color w:val="auto"/>
              </w:rPr>
            </w:pPr>
            <w:r>
              <w:rPr>
                <w:rFonts w:ascii="Arial" w:cs="Arial" w:eastAsia="Arial" w:hAnsi="Arial"/>
                <w:sz w:val="14"/>
                <w:szCs w:val="14"/>
                <w:b w:val="1"/>
                <w:bCs w:val="1"/>
                <w:color w:val="auto"/>
                <w:w w:val="95"/>
              </w:rPr>
              <w:t>diction of Incorporation)</w:t>
            </w:r>
          </w:p>
        </w:tc>
        <w:tc>
          <w:tcPr>
            <w:tcW w:w="2060" w:type="dxa"/>
            <w:vAlign w:val="bottom"/>
          </w:tcPr>
          <w:p>
            <w:pPr>
              <w:ind w:left="380"/>
              <w:spacing w:after="0"/>
              <w:rPr>
                <w:sz w:val="20"/>
                <w:szCs w:val="20"/>
                <w:color w:val="auto"/>
              </w:rPr>
            </w:pPr>
            <w:r>
              <w:rPr>
                <w:rFonts w:ascii="Arial" w:cs="Arial" w:eastAsia="Arial" w:hAnsi="Arial"/>
                <w:sz w:val="14"/>
                <w:szCs w:val="14"/>
                <w:b w:val="1"/>
                <w:bCs w:val="1"/>
                <w:color w:val="auto"/>
              </w:rPr>
              <w:t>File Number)</w:t>
            </w:r>
          </w:p>
        </w:tc>
        <w:tc>
          <w:tcPr>
            <w:tcW w:w="2560" w:type="dxa"/>
            <w:vAlign w:val="bottom"/>
          </w:tcPr>
          <w:p>
            <w:pPr>
              <w:jc w:val="center"/>
              <w:ind w:left="1341"/>
              <w:spacing w:after="0"/>
              <w:rPr>
                <w:sz w:val="20"/>
                <w:szCs w:val="20"/>
                <w:color w:val="auto"/>
              </w:rPr>
            </w:pPr>
            <w:r>
              <w:rPr>
                <w:rFonts w:ascii="Arial" w:cs="Arial" w:eastAsia="Arial" w:hAnsi="Arial"/>
                <w:sz w:val="14"/>
                <w:szCs w:val="14"/>
                <w:b w:val="1"/>
                <w:bCs w:val="1"/>
                <w:color w:val="auto"/>
                <w:w w:val="96"/>
              </w:rPr>
              <w:t>Identification No.)</w:t>
            </w:r>
          </w:p>
        </w:tc>
      </w:tr>
      <w:tr>
        <w:trPr>
          <w:trHeight w:val="466"/>
        </w:trPr>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89"/>
              </w:rPr>
              <w:t>2401 4th Avenue, Suite 1050</w:t>
            </w:r>
          </w:p>
        </w:tc>
        <w:tc>
          <w:tcPr>
            <w:tcW w:w="20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5"/>
        </w:trPr>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88"/>
              </w:rPr>
              <w:t>Seattle, Washington</w:t>
            </w:r>
          </w:p>
        </w:tc>
        <w:tc>
          <w:tcPr>
            <w:tcW w:w="2060" w:type="dxa"/>
            <w:vAlign w:val="bottom"/>
          </w:tcPr>
          <w:p>
            <w:pPr>
              <w:spacing w:after="0"/>
              <w:rPr>
                <w:sz w:val="19"/>
                <w:szCs w:val="19"/>
                <w:color w:val="auto"/>
              </w:rPr>
            </w:pPr>
          </w:p>
        </w:tc>
        <w:tc>
          <w:tcPr>
            <w:tcW w:w="2560" w:type="dxa"/>
            <w:vAlign w:val="bottom"/>
          </w:tcPr>
          <w:p>
            <w:pPr>
              <w:jc w:val="right"/>
              <w:ind w:right="1081"/>
              <w:spacing w:after="0"/>
              <w:rPr>
                <w:sz w:val="20"/>
                <w:szCs w:val="20"/>
                <w:color w:val="auto"/>
              </w:rPr>
            </w:pPr>
            <w:r>
              <w:rPr>
                <w:rFonts w:ascii="Arial" w:cs="Arial" w:eastAsia="Arial" w:hAnsi="Arial"/>
                <w:sz w:val="18"/>
                <w:szCs w:val="18"/>
                <w:b w:val="1"/>
                <w:bCs w:val="1"/>
                <w:color w:val="auto"/>
              </w:rPr>
              <w:t>98121</w:t>
            </w:r>
          </w:p>
        </w:tc>
      </w:tr>
      <w:tr>
        <w:trPr>
          <w:trHeight w:val="186"/>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560" w:type="dxa"/>
            <w:vAlign w:val="bottom"/>
          </w:tcPr>
          <w:p>
            <w:pPr>
              <w:jc w:val="center"/>
              <w:ind w:right="121"/>
              <w:spacing w:after="0"/>
              <w:rPr>
                <w:sz w:val="20"/>
                <w:szCs w:val="20"/>
                <w:color w:val="auto"/>
              </w:rPr>
            </w:pPr>
            <w:r>
              <w:rPr>
                <w:rFonts w:ascii="Arial" w:cs="Arial" w:eastAsia="Arial" w:hAnsi="Arial"/>
                <w:sz w:val="14"/>
                <w:szCs w:val="14"/>
                <w:b w:val="1"/>
                <w:bCs w:val="1"/>
                <w:color w:val="auto"/>
                <w:w w:val="98"/>
              </w:rPr>
              <w:t>(Zip Code)</w:t>
            </w:r>
          </w:p>
        </w:tc>
      </w:tr>
    </w:tbl>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133350</wp:posOffset>
            </wp:positionV>
            <wp:extent cx="5966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4"/>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420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Title of each class</w:t>
            </w:r>
          </w:p>
        </w:tc>
        <w:tc>
          <w:tcPr>
            <w:tcW w:w="238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Trading Symbol(s)</w:t>
            </w:r>
          </w:p>
        </w:tc>
        <w:tc>
          <w:tcPr>
            <w:tcW w:w="45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76"/>
        </w:trPr>
        <w:tc>
          <w:tcPr>
            <w:tcW w:w="120" w:type="dxa"/>
            <w:vAlign w:val="bottom"/>
            <w:vMerge w:val="restart"/>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240" w:type="dxa"/>
            <w:vAlign w:val="bottom"/>
            <w:vMerge w:val="restart"/>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260" w:type="dxa"/>
            <w:vAlign w:val="bottom"/>
            <w:vMerge w:val="restart"/>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0" w:type="dxa"/>
            <w:vAlign w:val="bottom"/>
            <w:vMerge w:val="continue"/>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120" w:type="dxa"/>
            <w:vAlign w:val="bottom"/>
          </w:tcPr>
          <w:p>
            <w:pPr>
              <w:jc w:val="center"/>
              <w:ind w:right="350"/>
              <w:spacing w:after="0"/>
              <w:rPr>
                <w:sz w:val="20"/>
                <w:szCs w:val="20"/>
                <w:color w:val="auto"/>
              </w:rPr>
            </w:pPr>
            <w:r>
              <w:rPr>
                <w:rFonts w:ascii="Arial" w:cs="Arial" w:eastAsia="Arial" w:hAnsi="Arial"/>
                <w:sz w:val="18"/>
                <w:szCs w:val="18"/>
                <w:color w:val="auto"/>
                <w:w w:val="95"/>
              </w:rPr>
              <w:t>APVO</w:t>
            </w:r>
          </w:p>
        </w:tc>
        <w:tc>
          <w:tcPr>
            <w:tcW w:w="260" w:type="dxa"/>
            <w:vAlign w:val="bottom"/>
            <w:vMerge w:val="continue"/>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30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156210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40" w:firstLine="749"/>
        <w:spacing w:after="0" w:line="285" w:lineRule="auto"/>
        <w:rPr>
          <w:sz w:val="20"/>
          <w:szCs w:val="20"/>
          <w:color w:val="auto"/>
        </w:rPr>
      </w:pPr>
      <w:r>
        <w:rPr>
          <w:rFonts w:ascii="Arial" w:cs="Arial" w:eastAsia="Arial" w:hAnsi="Arial"/>
          <w:sz w:val="16"/>
          <w:szCs w:val="16"/>
          <w:color w:val="auto"/>
        </w:rPr>
        <w:t>On June 25, 2021, Aptevo Therapeutics Inc. (the “Company”) held its 2021 Annual Meeting of Stockholders (the “Annual Meeting”), at which the Company’s stockholders voted on the following matters, which are described in detail in the Company’s Definitive Proxy Statement filed with the Securities and Exchange Commission on May 11, 2021 (the “Proxy Statement”): (i) to elect two nominees to serve on the Company’s Board of Directors to hold office until the 2024 Annual Meeting of Stockholders and until their respective successors are duly elected and qualified (“Proposal 1”); (ii) to ratify the selection of Moss Adams LLP as the Company’s independent registered public accounting firm for the year ending December 31, 2021 (“Proposal 2”);</w:t>
      </w:r>
    </w:p>
    <w:p>
      <w:pPr>
        <w:spacing w:after="0" w:line="2" w:lineRule="exact"/>
        <w:rPr>
          <w:sz w:val="20"/>
          <w:szCs w:val="20"/>
          <w:color w:val="auto"/>
        </w:rPr>
      </w:pPr>
    </w:p>
    <w:p>
      <w:pPr>
        <w:ind w:right="60" w:firstLine="8"/>
        <w:spacing w:after="0" w:line="253"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Aptevo Therapeutics Inc. 2018 Stock Incentive Plan (as Amended and Restated) (“Proposal 3”); (iv) to vote upon a non-binding stockholder proposal, requesting that the Aptevo Board of Directors immediately commence a process to sell Aptevo to the highest bidder (“Proposal 4”); and (v) to approve an amendment to the Company’s Amended and Restated Certificate of Incorporation to declassify its Board of Directors (“Proposal 5”). At the 2021 Annual Meeting, the holders of 3,873,575 shares of the Company’s common stock were represented in person or by proxy, constituting a quorum.</w:t>
      </w:r>
    </w:p>
    <w:p>
      <w:pPr>
        <w:spacing w:after="0" w:line="191" w:lineRule="exact"/>
        <w:rPr>
          <w:sz w:val="20"/>
          <w:szCs w:val="20"/>
          <w:color w:val="auto"/>
        </w:rPr>
      </w:pPr>
    </w:p>
    <w:p>
      <w:pPr>
        <w:jc w:val="both"/>
        <w:ind w:right="20" w:firstLine="749"/>
        <w:spacing w:after="0" w:line="308" w:lineRule="auto"/>
        <w:rPr>
          <w:sz w:val="20"/>
          <w:szCs w:val="20"/>
          <w:color w:val="auto"/>
        </w:rPr>
      </w:pPr>
      <w:r>
        <w:rPr>
          <w:rFonts w:ascii="Arial" w:cs="Arial" w:eastAsia="Arial" w:hAnsi="Arial"/>
          <w:sz w:val="17"/>
          <w:szCs w:val="17"/>
          <w:color w:val="auto"/>
        </w:rPr>
        <w:t>Set forth below are the final voting results with respect to each of the proposals acted upon at the 2021 Annual Meeting including the number of votes cast for and against (or withheld) and the number of abstentions and broker non-votes with respect to each such proposal.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9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two nominees, each of whom were named in the Proxy Statement, were elected to serve on the Board of Directors to hold office until the 2024 Annual Meeting of Stockholders and until their respective successors are duly elected and qualified, based on the following votes:</w:t>
      </w:r>
    </w:p>
    <w:tbl>
      <w:tblPr>
        <w:tblLayout w:type="fixed"/>
        <w:tblInd w:w="92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17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FOR*</w:t>
            </w:r>
          </w:p>
        </w:tc>
        <w:tc>
          <w:tcPr>
            <w:tcW w:w="2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WITHHELD</w:t>
            </w:r>
          </w:p>
        </w:tc>
        <w:tc>
          <w:tcPr>
            <w:tcW w:w="19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Daniel J. Abdun-Nabi</w:t>
            </w:r>
          </w:p>
        </w:tc>
        <w:tc>
          <w:tcPr>
            <w:tcW w:w="158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1,226,325</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2,011,008</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636,242</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Grady Grant III</w:t>
            </w:r>
          </w:p>
        </w:tc>
        <w:tc>
          <w:tcPr>
            <w:tcW w:w="1580" w:type="dxa"/>
            <w:vAlign w:val="bottom"/>
          </w:tcPr>
          <w:p>
            <w:pPr>
              <w:jc w:val="right"/>
              <w:ind w:right="416"/>
              <w:spacing w:after="0"/>
              <w:rPr>
                <w:sz w:val="20"/>
                <w:szCs w:val="20"/>
                <w:color w:val="auto"/>
              </w:rPr>
            </w:pPr>
            <w:r>
              <w:rPr>
                <w:rFonts w:ascii="Arial" w:cs="Arial" w:eastAsia="Arial" w:hAnsi="Arial"/>
                <w:sz w:val="18"/>
                <w:szCs w:val="18"/>
                <w:color w:val="auto"/>
              </w:rPr>
              <w:t>891,069</w:t>
            </w:r>
          </w:p>
        </w:tc>
        <w:tc>
          <w:tcPr>
            <w:tcW w:w="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2,346,264</w:t>
            </w:r>
          </w:p>
        </w:tc>
        <w:tc>
          <w:tcPr>
            <w:tcW w:w="2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636,242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*Because the vote standard for director elections under Aptevo’s Amended and Restated Bylaws is a plurality of the votes cast by the stockholders entitled to vote on the election of directors, Messrs. Abdun-Nabi and Grant were re-elected to the Board as they were the only two nominees standing for election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 for 2021</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appointment of Moss Adams LLP to serve as the Company’s independent registered public accounting firm for the year 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was approved based on the following votes:</w:t>
      </w:r>
    </w:p>
    <w:tbl>
      <w:tblPr>
        <w:tblLayout w:type="fixed"/>
        <w:tblInd w:w="980" w:type="dxa"/>
        <w:tblCellMar>
          <w:top w:w="0" w:type="dxa"/>
          <w:left w:w="0" w:type="dxa"/>
          <w:bottom w:w="0" w:type="dxa"/>
          <w:right w:w="0" w:type="dxa"/>
        </w:tblCellMar>
      </w:tblPr>
      <w:tr>
        <w:trPr>
          <w:trHeight w:val="135"/>
        </w:trPr>
        <w:tc>
          <w:tcPr>
            <w:tcW w:w="17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BROKER</w:t>
            </w:r>
          </w:p>
        </w:tc>
      </w:tr>
      <w:tr>
        <w:trPr>
          <w:trHeight w:val="185"/>
        </w:trPr>
        <w:tc>
          <w:tcPr>
            <w:tcW w:w="1760" w:type="dxa"/>
            <w:vAlign w:val="bottom"/>
          </w:tcPr>
          <w:p>
            <w:pPr>
              <w:jc w:val="center"/>
              <w:ind w:right="939"/>
              <w:spacing w:after="0"/>
              <w:rPr>
                <w:sz w:val="20"/>
                <w:szCs w:val="20"/>
                <w:color w:val="auto"/>
              </w:rPr>
            </w:pPr>
            <w:r>
              <w:rPr>
                <w:rFonts w:ascii="Arial" w:cs="Arial" w:eastAsia="Arial" w:hAnsi="Arial"/>
                <w:sz w:val="14"/>
                <w:szCs w:val="14"/>
                <w:b w:val="1"/>
                <w:bCs w:val="1"/>
                <w:color w:val="auto"/>
              </w:rPr>
              <w:t>FOR</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NON-VOTES</w:t>
            </w:r>
          </w:p>
        </w:tc>
      </w:tr>
      <w:tr>
        <w:trPr>
          <w:trHeight w:val="224"/>
        </w:trPr>
        <w:tc>
          <w:tcPr>
            <w:tcW w:w="1760" w:type="dxa"/>
            <w:vAlign w:val="bottom"/>
          </w:tcPr>
          <w:p>
            <w:pPr>
              <w:jc w:val="right"/>
              <w:ind w:right="959"/>
              <w:spacing w:after="0"/>
              <w:rPr>
                <w:sz w:val="20"/>
                <w:szCs w:val="20"/>
                <w:color w:val="auto"/>
              </w:rPr>
            </w:pPr>
            <w:r>
              <w:rPr>
                <w:rFonts w:ascii="Arial" w:cs="Arial" w:eastAsia="Arial" w:hAnsi="Arial"/>
                <w:sz w:val="18"/>
                <w:szCs w:val="18"/>
                <w:color w:val="auto"/>
                <w:w w:val="87"/>
              </w:rPr>
              <w:t>3,806,665</w:t>
            </w:r>
          </w:p>
        </w:tc>
        <w:tc>
          <w:tcPr>
            <w:tcW w:w="2640" w:type="dxa"/>
            <w:vAlign w:val="bottom"/>
          </w:tcPr>
          <w:p>
            <w:pPr>
              <w:jc w:val="right"/>
              <w:ind w:right="959"/>
              <w:spacing w:after="0"/>
              <w:rPr>
                <w:sz w:val="20"/>
                <w:szCs w:val="20"/>
                <w:color w:val="auto"/>
              </w:rPr>
            </w:pPr>
            <w:r>
              <w:rPr>
                <w:rFonts w:ascii="Arial" w:cs="Arial" w:eastAsia="Arial" w:hAnsi="Arial"/>
                <w:sz w:val="18"/>
                <w:szCs w:val="18"/>
                <w:color w:val="auto"/>
              </w:rPr>
              <w:t>28,681</w:t>
            </w:r>
          </w:p>
        </w:tc>
        <w:tc>
          <w:tcPr>
            <w:tcW w:w="2640" w:type="dxa"/>
            <w:vAlign w:val="bottom"/>
          </w:tcPr>
          <w:p>
            <w:pPr>
              <w:jc w:val="right"/>
              <w:ind w:right="1019"/>
              <w:spacing w:after="0"/>
              <w:rPr>
                <w:sz w:val="20"/>
                <w:szCs w:val="20"/>
                <w:color w:val="auto"/>
              </w:rPr>
            </w:pPr>
            <w:r>
              <w:rPr>
                <w:rFonts w:ascii="Arial" w:cs="Arial" w:eastAsia="Arial" w:hAnsi="Arial"/>
                <w:sz w:val="18"/>
                <w:szCs w:val="18"/>
                <w:color w:val="auto"/>
              </w:rPr>
              <w:t>38,229</w:t>
            </w: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Approval of Aptevo Therapeutics Inc. 2018 Stock Incentive Plan (as Amended and Restated)</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Aptevo Therapeutics Inc. 2018 Stock Incentive Plan was not approved based on the following votes:</w:t>
      </w:r>
    </w:p>
    <w:p>
      <w:pPr>
        <w:spacing w:after="0" w:line="204"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r>
      <w:tr>
        <w:trPr>
          <w:trHeight w:val="185"/>
        </w:trPr>
        <w:tc>
          <w:tcPr>
            <w:tcW w:w="1760" w:type="dxa"/>
            <w:vAlign w:val="bottom"/>
          </w:tcPr>
          <w:p>
            <w:pPr>
              <w:jc w:val="center"/>
              <w:ind w:right="979"/>
              <w:spacing w:after="0"/>
              <w:rPr>
                <w:sz w:val="20"/>
                <w:szCs w:val="20"/>
                <w:color w:val="auto"/>
              </w:rPr>
            </w:pPr>
            <w:r>
              <w:rPr>
                <w:rFonts w:ascii="Arial" w:cs="Arial" w:eastAsia="Arial" w:hAnsi="Arial"/>
                <w:sz w:val="14"/>
                <w:szCs w:val="14"/>
                <w:b w:val="1"/>
                <w:bCs w:val="1"/>
                <w:color w:val="auto"/>
              </w:rPr>
              <w:t>FOR</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NON-VOTES</w:t>
            </w:r>
          </w:p>
        </w:tc>
      </w:tr>
      <w:tr>
        <w:trPr>
          <w:trHeight w:val="224"/>
        </w:trPr>
        <w:tc>
          <w:tcPr>
            <w:tcW w:w="1760" w:type="dxa"/>
            <w:vAlign w:val="bottom"/>
          </w:tcPr>
          <w:p>
            <w:pPr>
              <w:jc w:val="right"/>
              <w:ind w:right="959"/>
              <w:spacing w:after="0"/>
              <w:rPr>
                <w:sz w:val="20"/>
                <w:szCs w:val="20"/>
                <w:color w:val="auto"/>
              </w:rPr>
            </w:pPr>
            <w:r>
              <w:rPr>
                <w:rFonts w:ascii="Arial" w:cs="Arial" w:eastAsia="Arial" w:hAnsi="Arial"/>
                <w:sz w:val="18"/>
                <w:szCs w:val="18"/>
                <w:color w:val="auto"/>
                <w:w w:val="87"/>
              </w:rPr>
              <w:t>1,081,933</w:t>
            </w:r>
          </w:p>
        </w:tc>
        <w:tc>
          <w:tcPr>
            <w:tcW w:w="2760" w:type="dxa"/>
            <w:vAlign w:val="bottom"/>
          </w:tcPr>
          <w:p>
            <w:pPr>
              <w:jc w:val="right"/>
              <w:ind w:right="919"/>
              <w:spacing w:after="0"/>
              <w:rPr>
                <w:sz w:val="20"/>
                <w:szCs w:val="20"/>
                <w:color w:val="auto"/>
              </w:rPr>
            </w:pPr>
            <w:r>
              <w:rPr>
                <w:rFonts w:ascii="Arial" w:cs="Arial" w:eastAsia="Arial" w:hAnsi="Arial"/>
                <w:sz w:val="18"/>
                <w:szCs w:val="18"/>
                <w:color w:val="auto"/>
              </w:rPr>
              <w:t>2,126,839</w:t>
            </w:r>
          </w:p>
        </w:tc>
        <w:tc>
          <w:tcPr>
            <w:tcW w:w="2620" w:type="dxa"/>
            <w:vAlign w:val="bottom"/>
          </w:tcPr>
          <w:p>
            <w:pPr>
              <w:jc w:val="right"/>
              <w:ind w:right="999"/>
              <w:spacing w:after="0"/>
              <w:rPr>
                <w:sz w:val="20"/>
                <w:szCs w:val="20"/>
                <w:color w:val="auto"/>
              </w:rPr>
            </w:pPr>
            <w:r>
              <w:rPr>
                <w:rFonts w:ascii="Arial" w:cs="Arial" w:eastAsia="Arial" w:hAnsi="Arial"/>
                <w:sz w:val="18"/>
                <w:szCs w:val="18"/>
                <w:color w:val="auto"/>
              </w:rPr>
              <w:t>28,561</w:t>
            </w:r>
          </w:p>
        </w:tc>
        <w:tc>
          <w:tcPr>
            <w:tcW w:w="3140" w:type="dxa"/>
            <w:vAlign w:val="bottom"/>
          </w:tcPr>
          <w:p>
            <w:pPr>
              <w:jc w:val="center"/>
              <w:spacing w:after="0"/>
              <w:rPr>
                <w:sz w:val="20"/>
                <w:szCs w:val="20"/>
                <w:color w:val="auto"/>
              </w:rPr>
            </w:pPr>
            <w:r>
              <w:rPr>
                <w:rFonts w:ascii="Arial" w:cs="Arial" w:eastAsia="Arial" w:hAnsi="Arial"/>
                <w:sz w:val="18"/>
                <w:szCs w:val="18"/>
                <w:color w:val="auto"/>
                <w:w w:val="89"/>
              </w:rPr>
              <w:t>636,242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43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Vote Upon a Non-binding Stockholder Proposal</w:t>
      </w:r>
    </w:p>
    <w:p>
      <w:pPr>
        <w:spacing w:after="0" w:line="243" w:lineRule="exact"/>
        <w:rPr>
          <w:sz w:val="20"/>
          <w:szCs w:val="20"/>
          <w:color w:val="auto"/>
        </w:rPr>
      </w:pPr>
    </w:p>
    <w:p>
      <w:pPr>
        <w:ind w:right="360" w:firstLine="749"/>
        <w:spacing w:after="0" w:line="254" w:lineRule="auto"/>
        <w:rPr>
          <w:sz w:val="20"/>
          <w:szCs w:val="20"/>
          <w:color w:val="auto"/>
        </w:rPr>
      </w:pPr>
      <w:r>
        <w:rPr>
          <w:rFonts w:ascii="Arial" w:cs="Arial" w:eastAsia="Arial" w:hAnsi="Arial"/>
          <w:sz w:val="18"/>
          <w:szCs w:val="18"/>
          <w:color w:val="auto"/>
        </w:rPr>
        <w:t>The non-binding stockholder proposal, requesting that the Aptevo Board of Directors immediately commence a process to sell Aptevo to the highest bidder, was approved based on the following votes:</w:t>
      </w:r>
    </w:p>
    <w:tbl>
      <w:tblPr>
        <w:tblLayout w:type="fixed"/>
        <w:tblInd w:w="960" w:type="dxa"/>
        <w:tblCellMar>
          <w:top w:w="0" w:type="dxa"/>
          <w:left w:w="0" w:type="dxa"/>
          <w:bottom w:w="0" w:type="dxa"/>
          <w:right w:w="0" w:type="dxa"/>
        </w:tblCellMar>
      </w:tblPr>
      <w:tr>
        <w:trPr>
          <w:trHeight w:val="134"/>
        </w:trPr>
        <w:tc>
          <w:tcPr>
            <w:tcW w:w="1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1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rPr>
              <w:t>BROKER</w:t>
            </w:r>
          </w:p>
        </w:tc>
      </w:tr>
      <w:tr>
        <w:trPr>
          <w:trHeight w:val="185"/>
        </w:trPr>
        <w:tc>
          <w:tcPr>
            <w:tcW w:w="1760" w:type="dxa"/>
            <w:vAlign w:val="bottom"/>
          </w:tcPr>
          <w:p>
            <w:pPr>
              <w:jc w:val="center"/>
              <w:ind w:right="979"/>
              <w:spacing w:after="0"/>
              <w:rPr>
                <w:sz w:val="20"/>
                <w:szCs w:val="20"/>
                <w:color w:val="auto"/>
              </w:rPr>
            </w:pPr>
            <w:r>
              <w:rPr>
                <w:rFonts w:ascii="Arial" w:cs="Arial" w:eastAsia="Arial" w:hAnsi="Arial"/>
                <w:sz w:val="14"/>
                <w:szCs w:val="14"/>
                <w:b w:val="1"/>
                <w:bCs w:val="1"/>
                <w:color w:val="auto"/>
              </w:rPr>
              <w:t>FOR</w:t>
            </w:r>
          </w:p>
        </w:tc>
        <w:tc>
          <w:tcPr>
            <w:tcW w:w="2760" w:type="dxa"/>
            <w:vAlign w:val="bottom"/>
          </w:tcPr>
          <w:p>
            <w:pPr>
              <w:ind w:left="1040"/>
              <w:spacing w:after="0"/>
              <w:rPr>
                <w:sz w:val="20"/>
                <w:szCs w:val="20"/>
                <w:color w:val="auto"/>
              </w:rPr>
            </w:pPr>
            <w:r>
              <w:rPr>
                <w:rFonts w:ascii="Arial" w:cs="Arial" w:eastAsia="Arial" w:hAnsi="Arial"/>
                <w:sz w:val="14"/>
                <w:szCs w:val="14"/>
                <w:b w:val="1"/>
                <w:bCs w:val="1"/>
                <w:color w:val="auto"/>
              </w:rPr>
              <w:t>AGAINST*</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NON-VOTES</w:t>
            </w:r>
          </w:p>
        </w:tc>
      </w:tr>
      <w:tr>
        <w:trPr>
          <w:trHeight w:val="224"/>
        </w:trPr>
        <w:tc>
          <w:tcPr>
            <w:tcW w:w="1760" w:type="dxa"/>
            <w:vAlign w:val="bottom"/>
          </w:tcPr>
          <w:p>
            <w:pPr>
              <w:jc w:val="right"/>
              <w:ind w:right="959"/>
              <w:spacing w:after="0"/>
              <w:rPr>
                <w:sz w:val="20"/>
                <w:szCs w:val="20"/>
                <w:color w:val="auto"/>
              </w:rPr>
            </w:pPr>
            <w:r>
              <w:rPr>
                <w:rFonts w:ascii="Arial" w:cs="Arial" w:eastAsia="Arial" w:hAnsi="Arial"/>
                <w:sz w:val="18"/>
                <w:szCs w:val="18"/>
                <w:color w:val="auto"/>
                <w:w w:val="87"/>
              </w:rPr>
              <w:t>2,051,904</w:t>
            </w:r>
          </w:p>
        </w:tc>
        <w:tc>
          <w:tcPr>
            <w:tcW w:w="2760" w:type="dxa"/>
            <w:vAlign w:val="bottom"/>
          </w:tcPr>
          <w:p>
            <w:pPr>
              <w:ind w:left="1040"/>
              <w:spacing w:after="0"/>
              <w:rPr>
                <w:sz w:val="20"/>
                <w:szCs w:val="20"/>
                <w:color w:val="auto"/>
              </w:rPr>
            </w:pPr>
            <w:r>
              <w:rPr>
                <w:rFonts w:ascii="Arial" w:cs="Arial" w:eastAsia="Arial" w:hAnsi="Arial"/>
                <w:sz w:val="18"/>
                <w:szCs w:val="18"/>
                <w:color w:val="auto"/>
              </w:rPr>
              <w:t>1,160,232</w:t>
            </w:r>
          </w:p>
        </w:tc>
        <w:tc>
          <w:tcPr>
            <w:tcW w:w="2620" w:type="dxa"/>
            <w:vAlign w:val="bottom"/>
          </w:tcPr>
          <w:p>
            <w:pPr>
              <w:jc w:val="right"/>
              <w:ind w:right="999"/>
              <w:spacing w:after="0"/>
              <w:rPr>
                <w:sz w:val="20"/>
                <w:szCs w:val="20"/>
                <w:color w:val="auto"/>
              </w:rPr>
            </w:pPr>
            <w:r>
              <w:rPr>
                <w:rFonts w:ascii="Arial" w:cs="Arial" w:eastAsia="Arial" w:hAnsi="Arial"/>
                <w:sz w:val="18"/>
                <w:szCs w:val="18"/>
                <w:color w:val="auto"/>
              </w:rPr>
              <w:t>25,197</w:t>
            </w:r>
          </w:p>
        </w:tc>
        <w:tc>
          <w:tcPr>
            <w:tcW w:w="3140" w:type="dxa"/>
            <w:vAlign w:val="bottom"/>
          </w:tcPr>
          <w:p>
            <w:pPr>
              <w:jc w:val="center"/>
              <w:spacing w:after="0"/>
              <w:rPr>
                <w:sz w:val="20"/>
                <w:szCs w:val="20"/>
                <w:color w:val="auto"/>
              </w:rPr>
            </w:pPr>
            <w:r>
              <w:rPr>
                <w:rFonts w:ascii="Arial" w:cs="Arial" w:eastAsia="Arial" w:hAnsi="Arial"/>
                <w:sz w:val="18"/>
                <w:szCs w:val="18"/>
                <w:color w:val="auto"/>
                <w:w w:val="89"/>
              </w:rPr>
              <w:t>636,242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80" w:firstLine="757"/>
        <w:spacing w:after="0" w:line="263" w:lineRule="auto"/>
        <w:tabs>
          <w:tab w:leader="none" w:pos="8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proxy solicitor, Okapi Partners LLC, has informed the Company that a majority of the votes cast by the holders of all of the shares of common stock present or represented by proxy at the Annual Meeting and voting on such proposal, other than those cast by Tang Capital Management, LP and Aptevo’s Board and management, voted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5: Approve an amendment to the Company’s Amended and Restated Certificate of Incorporation</w:t>
      </w:r>
    </w:p>
    <w:p>
      <w:pPr>
        <w:spacing w:after="0" w:line="243"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 amendment to the Company’s Amended and Restated Certificate of Incorporation to declassify its Board of Directors was not approved based on the following votes: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26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FOR*</w:t>
            </w:r>
          </w:p>
        </w:tc>
        <w:tc>
          <w:tcPr>
            <w:tcW w:w="180" w:type="dxa"/>
            <w:vAlign w:val="bottom"/>
          </w:tcPr>
          <w:p>
            <w:pPr>
              <w:spacing w:after="0"/>
              <w:rPr>
                <w:sz w:val="14"/>
                <w:szCs w:val="14"/>
                <w:color w:val="auto"/>
              </w:rPr>
            </w:pPr>
          </w:p>
        </w:tc>
        <w:tc>
          <w:tcPr>
            <w:tcW w:w="24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AGAINST</w:t>
            </w:r>
          </w:p>
        </w:tc>
        <w:tc>
          <w:tcPr>
            <w:tcW w:w="180" w:type="dxa"/>
            <w:vAlign w:val="bottom"/>
          </w:tcPr>
          <w:p>
            <w:pPr>
              <w:spacing w:after="0"/>
              <w:rPr>
                <w:sz w:val="14"/>
                <w:szCs w:val="14"/>
                <w:color w:val="auto"/>
              </w:rPr>
            </w:pPr>
          </w:p>
        </w:tc>
        <w:tc>
          <w:tcPr>
            <w:tcW w:w="2360" w:type="dxa"/>
            <w:vAlign w:val="bottom"/>
          </w:tcPr>
          <w:p>
            <w:pPr>
              <w:ind w:left="860"/>
              <w:spacing w:after="0" w:line="151" w:lineRule="exact"/>
              <w:rPr>
                <w:sz w:val="20"/>
                <w:szCs w:val="20"/>
                <w:color w:val="auto"/>
              </w:rPr>
            </w:pPr>
            <w:r>
              <w:rPr>
                <w:rFonts w:ascii="Arial" w:cs="Arial" w:eastAsia="Arial" w:hAnsi="Arial"/>
                <w:sz w:val="14"/>
                <w:szCs w:val="14"/>
                <w:b w:val="1"/>
                <w:bCs w:val="1"/>
                <w:color w:val="auto"/>
              </w:rPr>
              <w:t>ABSTAIN</w:t>
            </w:r>
          </w:p>
        </w:tc>
        <w:tc>
          <w:tcPr>
            <w:tcW w:w="180" w:type="dxa"/>
            <w:vAlign w:val="bottom"/>
          </w:tcPr>
          <w:p>
            <w:pPr>
              <w:spacing w:after="0"/>
              <w:rPr>
                <w:sz w:val="14"/>
                <w:szCs w:val="14"/>
                <w:color w:val="auto"/>
              </w:rPr>
            </w:pPr>
          </w:p>
        </w:tc>
        <w:tc>
          <w:tcPr>
            <w:tcW w:w="32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40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636,242</w:t>
            </w:r>
          </w:p>
        </w:tc>
        <w:tc>
          <w:tcPr>
            <w:tcW w:w="0" w:type="dxa"/>
            <w:vAlign w:val="bottom"/>
          </w:tcPr>
          <w:p>
            <w:pPr>
              <w:spacing w:after="0" w:line="20" w:lineRule="exact"/>
              <w:rPr>
                <w:sz w:val="1"/>
                <w:szCs w:val="1"/>
                <w:color w:val="auto"/>
              </w:rPr>
            </w:pPr>
          </w:p>
        </w:tc>
      </w:tr>
      <w:tr>
        <w:trPr>
          <w:trHeight w:val="211"/>
        </w:trPr>
        <w:tc>
          <w:tcPr>
            <w:tcW w:w="2680" w:type="dxa"/>
            <w:vAlign w:val="bottom"/>
          </w:tcPr>
          <w:p>
            <w:pPr>
              <w:jc w:val="right"/>
              <w:ind w:right="899"/>
              <w:spacing w:after="0"/>
              <w:rPr>
                <w:sz w:val="20"/>
                <w:szCs w:val="20"/>
                <w:color w:val="auto"/>
              </w:rPr>
            </w:pPr>
            <w:r>
              <w:rPr>
                <w:rFonts w:ascii="Arial" w:cs="Arial" w:eastAsia="Arial" w:hAnsi="Arial"/>
                <w:sz w:val="18"/>
                <w:szCs w:val="18"/>
                <w:color w:val="auto"/>
              </w:rPr>
              <w:t>2,800,450</w:t>
            </w:r>
          </w:p>
        </w:tc>
        <w:tc>
          <w:tcPr>
            <w:tcW w:w="180" w:type="dxa"/>
            <w:vAlign w:val="bottom"/>
            <w:vMerge w:val="continue"/>
          </w:tcPr>
          <w:p>
            <w:pPr>
              <w:spacing w:after="0"/>
              <w:rPr>
                <w:sz w:val="18"/>
                <w:szCs w:val="18"/>
                <w:color w:val="auto"/>
              </w:rPr>
            </w:pPr>
          </w:p>
        </w:tc>
        <w:tc>
          <w:tcPr>
            <w:tcW w:w="2440" w:type="dxa"/>
            <w:vAlign w:val="bottom"/>
          </w:tcPr>
          <w:p>
            <w:pPr>
              <w:jc w:val="right"/>
              <w:ind w:right="839"/>
              <w:spacing w:after="0"/>
              <w:rPr>
                <w:sz w:val="20"/>
                <w:szCs w:val="20"/>
                <w:color w:val="auto"/>
              </w:rPr>
            </w:pPr>
            <w:r>
              <w:rPr>
                <w:rFonts w:ascii="Arial" w:cs="Arial" w:eastAsia="Arial" w:hAnsi="Arial"/>
                <w:sz w:val="18"/>
                <w:szCs w:val="18"/>
                <w:color w:val="auto"/>
              </w:rPr>
              <w:t>154,046</w:t>
            </w:r>
          </w:p>
        </w:tc>
        <w:tc>
          <w:tcPr>
            <w:tcW w:w="180" w:type="dxa"/>
            <w:vAlign w:val="bottom"/>
            <w:vMerge w:val="continue"/>
          </w:tcPr>
          <w:p>
            <w:pPr>
              <w:spacing w:after="0"/>
              <w:rPr>
                <w:sz w:val="18"/>
                <w:szCs w:val="18"/>
                <w:color w:val="auto"/>
              </w:rPr>
            </w:pPr>
          </w:p>
        </w:tc>
        <w:tc>
          <w:tcPr>
            <w:tcW w:w="2360" w:type="dxa"/>
            <w:vAlign w:val="bottom"/>
          </w:tcPr>
          <w:p>
            <w:pPr>
              <w:ind w:left="900"/>
              <w:spacing w:after="0"/>
              <w:rPr>
                <w:sz w:val="20"/>
                <w:szCs w:val="20"/>
                <w:color w:val="auto"/>
              </w:rPr>
            </w:pPr>
            <w:r>
              <w:rPr>
                <w:rFonts w:ascii="Arial" w:cs="Arial" w:eastAsia="Arial" w:hAnsi="Arial"/>
                <w:sz w:val="18"/>
                <w:szCs w:val="18"/>
                <w:color w:val="auto"/>
              </w:rPr>
              <w:t>282,837</w:t>
            </w:r>
          </w:p>
        </w:tc>
        <w:tc>
          <w:tcPr>
            <w:tcW w:w="3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420" w:firstLine="749"/>
        <w:spacing w:after="0" w:line="286" w:lineRule="auto"/>
        <w:rPr>
          <w:sz w:val="20"/>
          <w:szCs w:val="20"/>
          <w:color w:val="auto"/>
        </w:rPr>
      </w:pPr>
      <w:r>
        <w:rPr>
          <w:rFonts w:ascii="Arial" w:cs="Arial" w:eastAsia="Arial" w:hAnsi="Arial"/>
          <w:sz w:val="17"/>
          <w:szCs w:val="17"/>
          <w:color w:val="auto"/>
        </w:rPr>
        <w:t>*Because the Company’s Amended and Restated Certificate of Incorporation provides that for this proposal to pass it had to receive the affirmative vote of the holders of capital stock representing at least 75% of the votes which all the stockholders would be entitled to cast in any annual election of directors or class of directors and such proposal only received 62.9% of such votes, the proposal did not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APTEVO THERAPEUTICS INC.</w:t>
      </w:r>
    </w:p>
    <w:p>
      <w:pPr>
        <w:spacing w:after="0" w:line="252" w:lineRule="exact"/>
        <w:rPr>
          <w:sz w:val="20"/>
          <w:szCs w:val="20"/>
          <w:color w:val="auto"/>
        </w:rPr>
      </w:pPr>
    </w:p>
    <w:p>
      <w:pPr>
        <w:spacing w:after="0"/>
        <w:tabs>
          <w:tab w:leader="none" w:pos="5420" w:val="left"/>
          <w:tab w:leader="none" w:pos="5860" w:val="left"/>
        </w:tabs>
        <w:rPr>
          <w:sz w:val="20"/>
          <w:szCs w:val="20"/>
          <w:color w:val="auto"/>
        </w:rPr>
      </w:pPr>
      <w:r>
        <w:rPr>
          <w:rFonts w:ascii="Arial" w:cs="Arial" w:eastAsia="Arial" w:hAnsi="Arial"/>
          <w:sz w:val="18"/>
          <w:szCs w:val="18"/>
          <w:color w:val="auto"/>
        </w:rPr>
        <w:t>Date: June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L. White</w:t>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-130175</wp:posOffset>
            </wp:positionV>
            <wp:extent cx="2631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2021-06-28T16:17:12Z</dcterms:created>
  <dcterms:modified xsi:type="dcterms:W3CDTF">2021-06-28T16:17:12Z</dcterms:modified>
</cp:coreProperties>
</file>