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7"/>
          <w:szCs w:val="7"/>
          <w:color w:val="auto"/>
        </w:rPr>
        <w:t>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60960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00" w:right="20" w:hanging="492"/>
        <w:spacing w:after="0" w:line="23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-290195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00" w:hanging="492"/>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3" w:lineRule="exact"/>
        <w:rPr>
          <w:sz w:val="24"/>
          <w:szCs w:val="24"/>
          <w:color w:val="auto"/>
        </w:rPr>
      </w:pPr>
    </w:p>
    <w:tbl>
      <w:tblPr>
        <w:tblLayout w:type="fixed"/>
        <w:tblInd w:w="406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660" w:type="dxa"/>
            <w:vAlign w:val="bottom"/>
            <w:tcBorders>
              <w:bottom w:val="single" w:sz="8" w:color="auto"/>
            </w:tcBorders>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w w:val="82"/>
              </w:rPr>
              <w:t>to</w:t>
            </w:r>
          </w:p>
        </w:tc>
      </w:tr>
      <w:tr>
        <w:trPr>
          <w:trHeight w:val="318"/>
        </w:trPr>
        <w:tc>
          <w:tcPr>
            <w:tcW w:w="3140" w:type="dxa"/>
            <w:vAlign w:val="bottom"/>
            <w:gridSpan w:val="3"/>
          </w:tcPr>
          <w:p>
            <w:pPr>
              <w:ind w:left="140"/>
              <w:spacing w:after="0"/>
              <w:rPr>
                <w:sz w:val="20"/>
                <w:szCs w:val="20"/>
                <w:color w:val="auto"/>
              </w:rPr>
            </w:pPr>
            <w:r>
              <w:rPr>
                <w:rFonts w:ascii="Arial" w:cs="Arial" w:eastAsia="Arial" w:hAnsi="Arial"/>
                <w:sz w:val="18"/>
                <w:szCs w:val="18"/>
                <w:b w:val="1"/>
                <w:bCs w:val="1"/>
                <w:color w:val="auto"/>
                <w:w w:val="94"/>
              </w:rPr>
              <w:t>Commission File Number: 001-37746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59690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APTEVO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2" w:lineRule="exact"/>
        <w:rPr>
          <w:sz w:val="24"/>
          <w:szCs w:val="24"/>
          <w:color w:val="auto"/>
        </w:rPr>
      </w:pPr>
    </w:p>
    <w:tbl>
      <w:tblPr>
        <w:tblLayout w:type="fixed"/>
        <w:tblInd w:w="320" w:type="dxa"/>
        <w:tblCellMar>
          <w:top w:w="0" w:type="dxa"/>
          <w:left w:w="0" w:type="dxa"/>
          <w:bottom w:w="0" w:type="dxa"/>
          <w:right w:w="0" w:type="dxa"/>
        </w:tblCellMar>
      </w:tblPr>
      <w:tr>
        <w:trPr>
          <w:trHeight w:val="212"/>
        </w:trPr>
        <w:tc>
          <w:tcPr>
            <w:tcW w:w="4180" w:type="dxa"/>
            <w:vAlign w:val="bottom"/>
          </w:tcPr>
          <w:p>
            <w:pPr>
              <w:jc w:val="center"/>
              <w:ind w:left="737"/>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60" w:type="dxa"/>
            <w:vAlign w:val="bottom"/>
          </w:tcPr>
          <w:p>
            <w:pPr>
              <w:jc w:val="right"/>
              <w:ind w:right="1560"/>
              <w:spacing w:after="0"/>
              <w:rPr>
                <w:sz w:val="20"/>
                <w:szCs w:val="20"/>
                <w:color w:val="auto"/>
              </w:rPr>
            </w:pPr>
            <w:r>
              <w:rPr>
                <w:rFonts w:ascii="Arial" w:cs="Arial" w:eastAsia="Arial" w:hAnsi="Arial"/>
                <w:sz w:val="18"/>
                <w:szCs w:val="18"/>
                <w:b w:val="1"/>
                <w:bCs w:val="1"/>
                <w:color w:val="auto"/>
              </w:rPr>
              <w:t>81-1567056</w:t>
            </w:r>
          </w:p>
        </w:tc>
      </w:tr>
      <w:tr>
        <w:trPr>
          <w:trHeight w:val="148"/>
        </w:trPr>
        <w:tc>
          <w:tcPr>
            <w:tcW w:w="4180" w:type="dxa"/>
            <w:vAlign w:val="bottom"/>
          </w:tcPr>
          <w:p>
            <w:pPr>
              <w:jc w:val="center"/>
              <w:ind w:left="737"/>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60" w:type="dxa"/>
            <w:vAlign w:val="bottom"/>
          </w:tcPr>
          <w:p>
            <w:pPr>
              <w:jc w:val="center"/>
              <w:ind w:right="138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80" w:type="dxa"/>
            <w:vAlign w:val="bottom"/>
          </w:tcPr>
          <w:p>
            <w:pPr>
              <w:jc w:val="center"/>
              <w:ind w:left="737"/>
              <w:spacing w:after="0"/>
              <w:rPr>
                <w:sz w:val="20"/>
                <w:szCs w:val="20"/>
                <w:color w:val="auto"/>
              </w:rPr>
            </w:pPr>
            <w:r>
              <w:rPr>
                <w:rFonts w:ascii="Arial" w:cs="Arial" w:eastAsia="Arial" w:hAnsi="Arial"/>
                <w:sz w:val="14"/>
                <w:szCs w:val="14"/>
                <w:b w:val="1"/>
                <w:bCs w:val="1"/>
                <w:color w:val="auto"/>
                <w:w w:val="94"/>
              </w:rPr>
              <w:t>incorporation or organization)</w:t>
            </w:r>
          </w:p>
        </w:tc>
        <w:tc>
          <w:tcPr>
            <w:tcW w:w="2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60" w:type="dxa"/>
            <w:vAlign w:val="bottom"/>
          </w:tcPr>
          <w:p>
            <w:pPr>
              <w:jc w:val="center"/>
              <w:ind w:right="1400"/>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4180" w:type="dxa"/>
            <w:vAlign w:val="bottom"/>
          </w:tcPr>
          <w:p>
            <w:pPr>
              <w:jc w:val="center"/>
              <w:ind w:left="737"/>
              <w:spacing w:after="0"/>
              <w:rPr>
                <w:sz w:val="20"/>
                <w:szCs w:val="20"/>
                <w:color w:val="auto"/>
              </w:rPr>
            </w:pPr>
            <w:r>
              <w:rPr>
                <w:rFonts w:ascii="Arial" w:cs="Arial" w:eastAsia="Arial" w:hAnsi="Arial"/>
                <w:sz w:val="18"/>
                <w:szCs w:val="18"/>
                <w:b w:val="1"/>
                <w:bCs w:val="1"/>
                <w:color w:val="auto"/>
                <w:w w:val="88"/>
              </w:rPr>
              <w:t>2401 4</w:t>
            </w:r>
            <w:r>
              <w:rPr>
                <w:rFonts w:ascii="Arial" w:cs="Arial" w:eastAsia="Arial" w:hAnsi="Arial"/>
                <w:sz w:val="15"/>
                <w:szCs w:val="15"/>
                <w:b w:val="1"/>
                <w:bCs w:val="1"/>
                <w:color w:val="auto"/>
                <w:w w:val="88"/>
              </w:rPr>
              <w:t>th</w:t>
            </w:r>
            <w:r>
              <w:rPr>
                <w:rFonts w:ascii="Arial" w:cs="Arial" w:eastAsia="Arial" w:hAnsi="Arial"/>
                <w:sz w:val="18"/>
                <w:szCs w:val="18"/>
                <w:b w:val="1"/>
                <w:bCs w:val="1"/>
                <w:color w:val="auto"/>
                <w:w w:val="88"/>
              </w:rPr>
              <w:t xml:space="preserve"> Avenue, Suite 1050</w:t>
            </w:r>
          </w:p>
        </w:tc>
        <w:tc>
          <w:tcPr>
            <w:tcW w:w="2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60" w:type="dxa"/>
            <w:vAlign w:val="bottom"/>
          </w:tcPr>
          <w:p>
            <w:pPr>
              <w:spacing w:after="0"/>
              <w:rPr>
                <w:sz w:val="22"/>
                <w:szCs w:val="22"/>
                <w:color w:val="auto"/>
              </w:rPr>
            </w:pPr>
          </w:p>
        </w:tc>
      </w:tr>
      <w:tr>
        <w:trPr>
          <w:trHeight w:val="212"/>
        </w:trPr>
        <w:tc>
          <w:tcPr>
            <w:tcW w:w="4180" w:type="dxa"/>
            <w:vAlign w:val="bottom"/>
          </w:tcPr>
          <w:p>
            <w:pPr>
              <w:jc w:val="center"/>
              <w:ind w:left="737"/>
              <w:spacing w:after="0"/>
              <w:rPr>
                <w:sz w:val="20"/>
                <w:szCs w:val="20"/>
                <w:color w:val="auto"/>
              </w:rPr>
            </w:pPr>
            <w:r>
              <w:rPr>
                <w:rFonts w:ascii="Arial" w:cs="Arial" w:eastAsia="Arial" w:hAnsi="Arial"/>
                <w:sz w:val="18"/>
                <w:szCs w:val="18"/>
                <w:b w:val="1"/>
                <w:bCs w:val="1"/>
                <w:color w:val="auto"/>
                <w:w w:val="88"/>
              </w:rPr>
              <w:t>Seattle, Washington</w:t>
            </w:r>
          </w:p>
        </w:tc>
        <w:tc>
          <w:tcPr>
            <w:tcW w:w="2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60" w:type="dxa"/>
            <w:vAlign w:val="bottom"/>
          </w:tcPr>
          <w:p>
            <w:pPr>
              <w:jc w:val="right"/>
              <w:ind w:right="1760"/>
              <w:spacing w:after="0"/>
              <w:rPr>
                <w:sz w:val="20"/>
                <w:szCs w:val="20"/>
                <w:color w:val="auto"/>
              </w:rPr>
            </w:pPr>
            <w:r>
              <w:rPr>
                <w:rFonts w:ascii="Arial" w:cs="Arial" w:eastAsia="Arial" w:hAnsi="Arial"/>
                <w:sz w:val="18"/>
                <w:szCs w:val="18"/>
                <w:b w:val="1"/>
                <w:bCs w:val="1"/>
                <w:color w:val="auto"/>
              </w:rPr>
              <w:t>98121</w:t>
            </w:r>
          </w:p>
        </w:tc>
      </w:tr>
      <w:tr>
        <w:trPr>
          <w:trHeight w:val="186"/>
        </w:trPr>
        <w:tc>
          <w:tcPr>
            <w:tcW w:w="4180" w:type="dxa"/>
            <w:vAlign w:val="bottom"/>
          </w:tcPr>
          <w:p>
            <w:pPr>
              <w:jc w:val="center"/>
              <w:ind w:left="71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60" w:type="dxa"/>
            <w:vAlign w:val="bottom"/>
          </w:tcPr>
          <w:p>
            <w:pPr>
              <w:jc w:val="center"/>
              <w:ind w:right="1400"/>
              <w:spacing w:after="0"/>
              <w:rPr>
                <w:sz w:val="20"/>
                <w:szCs w:val="20"/>
                <w:color w:val="auto"/>
              </w:rPr>
            </w:pPr>
            <w:r>
              <w:rPr>
                <w:rFonts w:ascii="Arial" w:cs="Arial" w:eastAsia="Arial" w:hAnsi="Arial"/>
                <w:sz w:val="14"/>
                <w:szCs w:val="14"/>
                <w:b w:val="1"/>
                <w:bCs w:val="1"/>
                <w:color w:val="auto"/>
                <w:w w:val="95"/>
              </w:rPr>
              <w:t>(Zip Code)</w:t>
            </w:r>
          </w:p>
        </w:tc>
      </w:tr>
      <w:tr>
        <w:trPr>
          <w:trHeight w:val="282"/>
        </w:trPr>
        <w:tc>
          <w:tcPr>
            <w:tcW w:w="10180" w:type="dxa"/>
            <w:vAlign w:val="bottom"/>
            <w:gridSpan w:val="4"/>
          </w:tcPr>
          <w:p>
            <w:pPr>
              <w:jc w:val="center"/>
              <w:ind w:left="337"/>
              <w:spacing w:after="0"/>
              <w:rPr>
                <w:sz w:val="20"/>
                <w:szCs w:val="20"/>
                <w:color w:val="auto"/>
              </w:rPr>
            </w:pPr>
            <w:r>
              <w:rPr>
                <w:rFonts w:ascii="Arial" w:cs="Arial" w:eastAsia="Arial" w:hAnsi="Arial"/>
                <w:sz w:val="18"/>
                <w:szCs w:val="18"/>
                <w:b w:val="1"/>
                <w:bCs w:val="1"/>
                <w:color w:val="auto"/>
                <w:w w:val="89"/>
              </w:rPr>
              <w:t>Registrant’s telephone number, including area code: (206) 838-0500</w:t>
            </w:r>
          </w:p>
        </w:tc>
      </w:tr>
      <w:tr>
        <w:trPr>
          <w:trHeight w:val="94"/>
        </w:trPr>
        <w:tc>
          <w:tcPr>
            <w:tcW w:w="418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2660" w:type="dxa"/>
            <w:vAlign w:val="bottom"/>
          </w:tcPr>
          <w:p>
            <w:pPr>
              <w:spacing w:after="0"/>
              <w:rPr>
                <w:sz w:val="8"/>
                <w:szCs w:val="8"/>
                <w:color w:val="auto"/>
              </w:rPr>
            </w:pPr>
          </w:p>
        </w:tc>
      </w:tr>
      <w:tr>
        <w:trPr>
          <w:trHeight w:val="277"/>
        </w:trPr>
        <w:tc>
          <w:tcPr>
            <w:tcW w:w="7520" w:type="dxa"/>
            <w:vAlign w:val="bottom"/>
            <w:gridSpan w:val="3"/>
          </w:tcPr>
          <w:p>
            <w:pPr>
              <w:jc w:val="center"/>
              <w:ind w:left="2997"/>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2660" w:type="dxa"/>
            <w:vAlign w:val="bottom"/>
          </w:tcPr>
          <w:p>
            <w:pPr>
              <w:spacing w:after="0"/>
              <w:rPr>
                <w:sz w:val="24"/>
                <w:szCs w:val="24"/>
                <w:color w:val="auto"/>
              </w:rPr>
            </w:pPr>
          </w:p>
        </w:tc>
      </w:tr>
      <w:tr>
        <w:trPr>
          <w:trHeight w:val="211"/>
        </w:trPr>
        <w:tc>
          <w:tcPr>
            <w:tcW w:w="4180" w:type="dxa"/>
            <w:vAlign w:val="bottom"/>
          </w:tcPr>
          <w:p>
            <w:pPr>
              <w:jc w:val="center"/>
              <w:ind w:right="777"/>
              <w:spacing w:after="0"/>
              <w:rPr>
                <w:sz w:val="20"/>
                <w:szCs w:val="20"/>
                <w:color w:val="auto"/>
              </w:rPr>
            </w:pPr>
            <w:r>
              <w:rPr>
                <w:rFonts w:ascii="Arial" w:cs="Arial" w:eastAsia="Arial" w:hAnsi="Arial"/>
                <w:sz w:val="14"/>
                <w:szCs w:val="14"/>
                <w:b w:val="1"/>
                <w:bCs w:val="1"/>
                <w:color w:val="auto"/>
                <w:w w:val="93"/>
              </w:rPr>
              <w:t>Title of Each Class</w:t>
            </w:r>
          </w:p>
        </w:tc>
        <w:tc>
          <w:tcPr>
            <w:tcW w:w="334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1"/>
              </w:rPr>
              <w:t>Trading Symbols(s)</w:t>
            </w:r>
          </w:p>
        </w:tc>
        <w:tc>
          <w:tcPr>
            <w:tcW w:w="2660" w:type="dxa"/>
            <w:vAlign w:val="bottom"/>
          </w:tcPr>
          <w:p>
            <w:pPr>
              <w:ind w:left="200"/>
              <w:spacing w:after="0"/>
              <w:rPr>
                <w:sz w:val="20"/>
                <w:szCs w:val="20"/>
                <w:color w:val="auto"/>
              </w:rPr>
            </w:pPr>
            <w:r>
              <w:rPr>
                <w:rFonts w:ascii="Arial" w:cs="Arial" w:eastAsia="Arial" w:hAnsi="Arial"/>
                <w:sz w:val="14"/>
                <w:szCs w:val="14"/>
                <w:b w:val="1"/>
                <w:bCs w:val="1"/>
                <w:color w:val="auto"/>
                <w:w w:val="90"/>
              </w:rPr>
              <w:t>Name of Exchange on Which Registered</w:t>
            </w:r>
          </w:p>
        </w:tc>
      </w:tr>
      <w:tr>
        <w:trPr>
          <w:trHeight w:val="234"/>
        </w:trPr>
        <w:tc>
          <w:tcPr>
            <w:tcW w:w="4180" w:type="dxa"/>
            <w:vAlign w:val="bottom"/>
          </w:tcPr>
          <w:p>
            <w:pPr>
              <w:jc w:val="center"/>
              <w:ind w:right="777"/>
              <w:spacing w:after="0"/>
              <w:rPr>
                <w:sz w:val="20"/>
                <w:szCs w:val="20"/>
                <w:color w:val="auto"/>
              </w:rPr>
            </w:pPr>
            <w:r>
              <w:rPr>
                <w:rFonts w:ascii="Arial" w:cs="Arial" w:eastAsia="Arial" w:hAnsi="Arial"/>
                <w:sz w:val="18"/>
                <w:szCs w:val="18"/>
                <w:b w:val="1"/>
                <w:bCs w:val="1"/>
                <w:color w:val="auto"/>
                <w:w w:val="90"/>
              </w:rPr>
              <w:t>Common Stock, $0.001 par value per share</w:t>
            </w:r>
          </w:p>
        </w:tc>
        <w:tc>
          <w:tcPr>
            <w:tcW w:w="334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97"/>
              </w:rPr>
              <w:t>APVO</w:t>
            </w:r>
          </w:p>
        </w:tc>
        <w:tc>
          <w:tcPr>
            <w:tcW w:w="2660" w:type="dxa"/>
            <w:vAlign w:val="bottom"/>
          </w:tcPr>
          <w:p>
            <w:pPr>
              <w:ind w:left="220"/>
              <w:spacing w:after="0"/>
              <w:rPr>
                <w:sz w:val="20"/>
                <w:szCs w:val="20"/>
                <w:color w:val="auto"/>
              </w:rPr>
            </w:pPr>
            <w:r>
              <w:rPr>
                <w:rFonts w:ascii="Arial" w:cs="Arial" w:eastAsia="Arial" w:hAnsi="Arial"/>
                <w:sz w:val="18"/>
                <w:szCs w:val="18"/>
                <w:b w:val="1"/>
                <w:bCs w:val="1"/>
                <w:color w:val="auto"/>
                <w:w w:val="93"/>
              </w:rPr>
              <w:t>The Nasdaq Stock Market LLC</w:t>
            </w:r>
          </w:p>
        </w:tc>
      </w:tr>
    </w:tbl>
    <w:p>
      <w:pPr>
        <w:ind w:left="8120"/>
        <w:spacing w:after="0"/>
        <w:rPr>
          <w:sz w:val="20"/>
          <w:szCs w:val="20"/>
          <w:color w:val="auto"/>
        </w:rPr>
      </w:pPr>
      <w:r>
        <w:rPr>
          <w:rFonts w:ascii="Arial" w:cs="Arial" w:eastAsia="Arial" w:hAnsi="Arial"/>
          <w:sz w:val="18"/>
          <w:szCs w:val="18"/>
          <w:b w:val="1"/>
          <w:bCs w:val="1"/>
          <w:color w:val="auto"/>
        </w:rPr>
        <w:t>(The Nasdaq Capital Market)</w:t>
      </w:r>
    </w:p>
    <w:p>
      <w:pPr>
        <w:spacing w:after="0" w:line="76" w:lineRule="exact"/>
        <w:rPr>
          <w:sz w:val="24"/>
          <w:szCs w:val="24"/>
          <w:color w:val="auto"/>
        </w:rPr>
      </w:pPr>
    </w:p>
    <w:p>
      <w:pPr>
        <w:jc w:val="both"/>
        <w:ind w:firstLine="51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firstLine="51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firstLine="51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5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60"/>
              <w:spacing w:after="0"/>
              <w:rPr>
                <w:sz w:val="20"/>
                <w:szCs w:val="20"/>
                <w:color w:val="auto"/>
              </w:rPr>
            </w:pPr>
            <w:r>
              <w:rPr>
                <w:rFonts w:ascii="Arial" w:cs="Arial" w:eastAsia="Arial" w:hAnsi="Arial"/>
                <w:sz w:val="18"/>
                <w:szCs w:val="18"/>
                <w:color w:val="auto"/>
                <w:w w:val="99"/>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32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ind w:firstLine="51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220"/>
        <w:spacing w:after="0" w:line="28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November 10, 2020, the number of shares of the registrant’s common stock outstanding was 4,145,011.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1"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860" w:type="dxa"/>
            <w:vAlign w:val="bottom"/>
            <w:vMerge w:val="restart"/>
          </w:tcPr>
          <w:p>
            <w:pPr>
              <w:ind w:left="2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FINANCIAL INFORMATION</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940" w:type="dxa"/>
            <w:vAlign w:val="bottom"/>
            <w:vMerge w:val="continue"/>
          </w:tcPr>
          <w:p>
            <w:pPr>
              <w:spacing w:after="0"/>
              <w:rPr>
                <w:sz w:val="16"/>
                <w:szCs w:val="16"/>
                <w:color w:val="auto"/>
              </w:rPr>
            </w:pPr>
          </w:p>
        </w:tc>
        <w:tc>
          <w:tcPr>
            <w:tcW w:w="98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9860" w:type="dxa"/>
            <w:vAlign w:val="bottom"/>
          </w:tcPr>
          <w:p>
            <w:pPr>
              <w:ind w:left="2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 (Unaudited)</w:t>
              </w:r>
            </w:hyperlink>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9860" w:type="dxa"/>
            <w:vAlign w:val="bottom"/>
          </w:tcPr>
          <w:p>
            <w:pPr>
              <w:ind w:left="6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9860" w:type="dxa"/>
            <w:vAlign w:val="bottom"/>
          </w:tcPr>
          <w:p>
            <w:pPr>
              <w:ind w:left="6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Operations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9860" w:type="dxa"/>
            <w:vAlign w:val="bottom"/>
          </w:tcPr>
          <w:p>
            <w:pPr>
              <w:ind w:left="6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Cash Flows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9860" w:type="dxa"/>
            <w:vAlign w:val="bottom"/>
          </w:tcPr>
          <w:p>
            <w:pPr>
              <w:ind w:left="6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Changes in Stockholders’ Equity</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9860" w:type="dxa"/>
            <w:vAlign w:val="bottom"/>
          </w:tcPr>
          <w:p>
            <w:pPr>
              <w:ind w:left="6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9860" w:type="dxa"/>
            <w:vAlign w:val="bottom"/>
          </w:tcPr>
          <w:p>
            <w:pPr>
              <w:ind w:left="6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Management’s Discussion and Analysis of Financial Condition and Results of Operations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9860" w:type="dxa"/>
            <w:vAlign w:val="bottom"/>
          </w:tcPr>
          <w:p>
            <w:pPr>
              <w:ind w:left="24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Quantitative and Qualitative Disclosures About Market Risk</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9860" w:type="dxa"/>
            <w:vAlign w:val="bottom"/>
          </w:tcPr>
          <w:p>
            <w:pPr>
              <w:ind w:left="24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Controls and Procedures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2"/>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9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860" w:type="dxa"/>
            <w:vAlign w:val="bottom"/>
          </w:tcPr>
          <w:p>
            <w:pPr>
              <w:ind w:left="240"/>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OTHER INFORMATION</w:t>
              </w:r>
            </w:hyperlink>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9860" w:type="dxa"/>
            <w:vAlign w:val="bottom"/>
          </w:tcPr>
          <w:p>
            <w:pPr>
              <w:ind w:left="24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Legal Proceedings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Item 1A.</w:t>
            </w:r>
          </w:p>
        </w:tc>
        <w:tc>
          <w:tcPr>
            <w:tcW w:w="9860" w:type="dxa"/>
            <w:vAlign w:val="bottom"/>
          </w:tcPr>
          <w:p>
            <w:pPr>
              <w:ind w:left="24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Risk Factors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9860" w:type="dxa"/>
            <w:vAlign w:val="bottom"/>
          </w:tcPr>
          <w:p>
            <w:pPr>
              <w:ind w:left="24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Unregistered Sales of Equity Securities and Use of Proceeds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9860" w:type="dxa"/>
            <w:vAlign w:val="bottom"/>
          </w:tcPr>
          <w:p>
            <w:pPr>
              <w:ind w:left="24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Defaults Upon Senior Securities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9860" w:type="dxa"/>
            <w:vAlign w:val="bottom"/>
          </w:tcPr>
          <w:p>
            <w:pPr>
              <w:ind w:left="24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Mine Safety Disclosures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Item 5.</w:t>
            </w:r>
          </w:p>
        </w:tc>
        <w:tc>
          <w:tcPr>
            <w:tcW w:w="9860" w:type="dxa"/>
            <w:vAlign w:val="bottom"/>
          </w:tcPr>
          <w:p>
            <w:pPr>
              <w:ind w:left="24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Other Information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9860" w:type="dxa"/>
            <w:vAlign w:val="bottom"/>
          </w:tcPr>
          <w:p>
            <w:pPr>
              <w:ind w:left="24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Exhibits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9860" w:type="dxa"/>
            <w:vAlign w:val="bottom"/>
          </w:tcPr>
          <w:p>
            <w:pPr>
              <w:ind w:left="24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Signatures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Quarterly Report on Form 10-Q, “we,” “our,” “us,” “Aptevo,” and “the Company” refer to Aptevo Therapeutics Inc. and, where appropriate,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September 30, 2020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ind w:left="346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24,942</w:t>
            </w:r>
          </w:p>
        </w:tc>
        <w:tc>
          <w:tcPr>
            <w:tcW w:w="2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9"/>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Restricted cash - current</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2,555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Royalty receivable</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1,487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Held for sale assets - current</w:t>
            </w:r>
          </w:p>
        </w:tc>
        <w:tc>
          <w:tcPr>
            <w:tcW w:w="1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30,653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9"/>
                <w:szCs w:val="19"/>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Operating lease right-of-use asset</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2,990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Held for sale assets - non-current</w:t>
            </w:r>
          </w:p>
        </w:tc>
        <w:tc>
          <w:tcPr>
            <w:tcW w:w="1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37,420</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53,408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ind w:left="184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Accounts payable and other accrued liabilities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3,911</w:t>
            </w:r>
          </w:p>
        </w:tc>
        <w:tc>
          <w:tcPr>
            <w:tcW w:w="280" w:type="dxa"/>
            <w:vAlign w:val="bottom"/>
          </w:tcPr>
          <w:p>
            <w:pPr>
              <w:spacing w:after="0"/>
              <w:rPr>
                <w:sz w:val="19"/>
                <w:szCs w:val="19"/>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compensation</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Pr>
          <w:p>
            <w:pPr>
              <w:spacing w:after="0"/>
              <w:rPr>
                <w:sz w:val="19"/>
                <w:szCs w:val="19"/>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19,863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Held for sale liabilities - current</w:t>
            </w:r>
          </w:p>
        </w:tc>
        <w:tc>
          <w:tcPr>
            <w:tcW w:w="1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short-term liabilities</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Loan payable - long term</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25,199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liability</w:t>
            </w: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41,566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$0.001 par value; 15,000,000 shares authorized, zero shares</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issued or outstanding</w:t>
            </w:r>
          </w:p>
        </w:tc>
        <w:tc>
          <w:tcPr>
            <w:tcW w:w="12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60" w:type="dxa"/>
            <w:vAlign w:val="bottom"/>
          </w:tcPr>
          <w:p>
            <w:pPr>
              <w:spacing w:after="0"/>
              <w:rPr>
                <w:sz w:val="20"/>
                <w:szCs w:val="20"/>
                <w:color w:val="auto"/>
              </w:rPr>
            </w:pPr>
            <w:r>
              <w:rPr>
                <w:rFonts w:ascii="Arial" w:cs="Arial" w:eastAsia="Arial" w:hAnsi="Arial"/>
                <w:sz w:val="18"/>
                <w:szCs w:val="18"/>
                <w:color w:val="auto"/>
              </w:rPr>
              <w:t>Common stock: $0.001 par value; 500,000,000 shares authorized; 3,232,811</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140"/>
              <w:spacing w:after="0"/>
              <w:rPr>
                <w:sz w:val="20"/>
                <w:szCs w:val="20"/>
                <w:color w:val="auto"/>
              </w:rPr>
            </w:pPr>
            <w:r>
              <w:rPr>
                <w:rFonts w:ascii="Arial" w:cs="Arial" w:eastAsia="Arial" w:hAnsi="Arial"/>
                <w:sz w:val="18"/>
                <w:szCs w:val="18"/>
                <w:color w:val="auto"/>
              </w:rPr>
              <w:t>and 3,234,232 shares issued and outstanding at September 30, 2020 and</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140"/>
              <w:spacing w:after="0"/>
              <w:rPr>
                <w:sz w:val="20"/>
                <w:szCs w:val="20"/>
                <w:color w:val="auto"/>
              </w:rPr>
            </w:pPr>
            <w:r>
              <w:rPr>
                <w:rFonts w:ascii="Arial" w:cs="Arial" w:eastAsia="Arial" w:hAnsi="Arial"/>
                <w:sz w:val="18"/>
                <w:szCs w:val="18"/>
                <w:color w:val="auto"/>
              </w:rPr>
              <w:t>December 31, 2019, respectively</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180,710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(178,553)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(167,856)</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2,202</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11,842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37,420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4"/>
                <w:szCs w:val="14"/>
                <w:color w:val="auto"/>
              </w:rPr>
            </w:pPr>
          </w:p>
        </w:tc>
        <w:tc>
          <w:tcPr>
            <w:tcW w:w="24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For the Nine Months Ended</w:t>
            </w:r>
          </w:p>
        </w:tc>
      </w:tr>
      <w:tr>
        <w:trPr>
          <w:trHeight w:val="171"/>
        </w:trPr>
        <w:tc>
          <w:tcPr>
            <w:tcW w:w="5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8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Royalty revenue</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(4,494)</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(7,596)</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(12,940)</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(20,355)</w:t>
            </w: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(3,215)</w:t>
            </w: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(3,863)</w:t>
            </w:r>
          </w:p>
        </w:tc>
        <w:tc>
          <w:tcPr>
            <w:tcW w:w="2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(9,671)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(12,671)</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(6,246)</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(11,459)</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(20,675)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(33,026)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840" w:type="dxa"/>
            <w:vAlign w:val="bottom"/>
          </w:tcPr>
          <w:p>
            <w:pPr>
              <w:ind w:left="260"/>
              <w:spacing w:after="0"/>
              <w:rPr>
                <w:sz w:val="20"/>
                <w:szCs w:val="20"/>
                <w:color w:val="auto"/>
              </w:rPr>
            </w:pPr>
            <w:r>
              <w:rPr>
                <w:rFonts w:ascii="Arial" w:cs="Arial" w:eastAsia="Arial" w:hAnsi="Arial"/>
                <w:sz w:val="18"/>
                <w:szCs w:val="18"/>
                <w:color w:val="auto"/>
              </w:rPr>
              <w:t>Other expense from continuing operations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(702)</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extinguishment of debt</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(2,104)</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Loss before income tax</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(6,948)</w:t>
            </w:r>
          </w:p>
        </w:tc>
        <w:tc>
          <w:tcPr>
            <w:tcW w:w="2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(12,084)</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(23,752)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(34,665)</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Benefit from income tax</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from continuing operations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(6,948)</w:t>
            </w:r>
          </w:p>
        </w:tc>
        <w:tc>
          <w:tcPr>
            <w:tcW w:w="24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(11,085)</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(23,752)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(33,666)</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Discontinued operations: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Income from discontinued operations, before income taxes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5,160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13,055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2,391</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(999)</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(999)</w:t>
            </w:r>
          </w:p>
        </w:tc>
      </w:tr>
      <w:tr>
        <w:trPr>
          <w:trHeight w:val="22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4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4,161</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13,055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(6,791)</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(6,924)</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(10,697)</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(32,274)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loss from continuing operations per share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from discontinued operations per share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per basic share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(11.48)</w:t>
            </w:r>
          </w:p>
        </w:tc>
        <w:tc>
          <w:tcPr>
            <w:tcW w:w="100" w:type="dxa"/>
            <w:vAlign w:val="bottom"/>
            <w:shd w:val="clear" w:color="auto" w:fill="CFF0FC"/>
          </w:tcPr>
          <w:p>
            <w:pPr>
              <w:spacing w:after="0"/>
              <w:rPr>
                <w:sz w:val="19"/>
                <w:szCs w:val="19"/>
                <w:color w:val="auto"/>
              </w:rPr>
            </w:pPr>
          </w:p>
        </w:tc>
      </w:tr>
      <w:tr>
        <w:trPr>
          <w:trHeight w:val="209"/>
        </w:trPr>
        <w:tc>
          <w:tcPr>
            <w:tcW w:w="5840" w:type="dxa"/>
            <w:vAlign w:val="bottom"/>
          </w:tcPr>
          <w:p>
            <w:pPr>
              <w:spacing w:after="0"/>
              <w:rPr>
                <w:sz w:val="20"/>
                <w:szCs w:val="20"/>
                <w:color w:val="auto"/>
              </w:rPr>
            </w:pPr>
            <w:r>
              <w:rPr>
                <w:rFonts w:ascii="Arial" w:cs="Arial" w:eastAsia="Arial" w:hAnsi="Arial"/>
                <w:sz w:val="18"/>
                <w:szCs w:val="18"/>
                <w:color w:val="auto"/>
              </w:rPr>
              <w:t>Weighted-average shares used to compute per share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calculations</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3,232,811</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3,226,419</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3,233,257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2,810,141</w:t>
            </w:r>
          </w:p>
        </w:tc>
        <w:tc>
          <w:tcPr>
            <w:tcW w:w="100" w:type="dxa"/>
            <w:vAlign w:val="bottom"/>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5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55"/>
        </w:trPr>
        <w:tc>
          <w:tcPr>
            <w:tcW w:w="772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(10,697)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(32,274)</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1,329</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(Gain)/loss on disposal</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(14,338)</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(4,250)</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extinguishment of debt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Non-cash interest expense and other</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80"/>
              <w:spacing w:after="0"/>
              <w:rPr>
                <w:sz w:val="20"/>
                <w:szCs w:val="20"/>
                <w:color w:val="auto"/>
              </w:rPr>
            </w:pPr>
            <w:r>
              <w:rPr>
                <w:rFonts w:ascii="Arial" w:cs="Arial" w:eastAsia="Arial" w:hAnsi="Arial"/>
                <w:sz w:val="18"/>
                <w:szCs w:val="18"/>
                <w:color w:val="auto"/>
              </w:rPr>
              <w:t>Royalty receivable</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(1,463)</w:t>
            </w: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(2,698)</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(5,697)</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assets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(455)</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Operating lease right of use asset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 accrued compensation and other liabilities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(2,824)</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(162)</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Long-term operating lease liability</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(725)</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(819)</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assets and liabilities held for sale</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Sales rebates and discounts</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(377)</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(23,195)</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(37,283)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received from sale of Hyperimmune Business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Cash received from sale of Aptevo BioTherapeutics, net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28,120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(153)</w:t>
            </w: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investing activities</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28,120</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4,097</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Proceeds from other long-term obligations, net of issuance costs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24,730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Payment of long-term debt, including exit and other fees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(22,104)</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Proceeds from issuance of common stock, warrants, and pre-funded warrants, net</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20,321</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the exercise of pre-funded warrants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Payment of tax liability for vested equity awards</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2,626</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20,284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Increase (decrease) in cash, cash equivalents, and restricted cash</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7,551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(12,902)</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19,946</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38,083</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27,497</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25,181</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 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2720" w:type="dxa"/>
            <w:vAlign w:val="bottom"/>
            <w:tcBorders>
              <w:bottom w:val="single" w:sz="8" w:color="auto"/>
            </w:tcBorders>
            <w:gridSpan w:val="3"/>
          </w:tcPr>
          <w:p>
            <w:pPr>
              <w:jc w:val="right"/>
              <w:ind w:right="665"/>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6"/>
        </w:trPr>
        <w:tc>
          <w:tcPr>
            <w:tcW w:w="3120" w:type="dxa"/>
            <w:vAlign w:val="bottom"/>
            <w:tcBorders>
              <w:bottom w:val="single" w:sz="8" w:color="CFF0FC"/>
            </w:tcBorders>
          </w:tcPr>
          <w:p>
            <w:pPr>
              <w:spacing w:after="0"/>
              <w:rPr>
                <w:sz w:val="13"/>
                <w:szCs w:val="13"/>
                <w:color w:val="auto"/>
              </w:rPr>
            </w:pPr>
          </w:p>
        </w:tc>
        <w:tc>
          <w:tcPr>
            <w:tcW w:w="1380" w:type="dxa"/>
            <w:vAlign w:val="bottom"/>
            <w:tcBorders>
              <w:bottom w:val="single" w:sz="8" w:color="auto"/>
            </w:tcBorders>
          </w:tcPr>
          <w:p>
            <w:pPr>
              <w:jc w:val="right"/>
              <w:ind w:right="421"/>
              <w:spacing w:after="0" w:line="155" w:lineRule="exact"/>
              <w:rPr>
                <w:sz w:val="20"/>
                <w:szCs w:val="20"/>
                <w:color w:val="auto"/>
              </w:rPr>
            </w:pPr>
            <w:r>
              <w:rPr>
                <w:rFonts w:ascii="Arial" w:cs="Arial" w:eastAsia="Arial" w:hAnsi="Arial"/>
                <w:sz w:val="14"/>
                <w:szCs w:val="14"/>
                <w:b w:val="1"/>
                <w:bCs w:val="1"/>
                <w:color w:val="auto"/>
              </w:rPr>
              <w:t>Shares</w:t>
            </w:r>
          </w:p>
        </w:tc>
        <w:tc>
          <w:tcPr>
            <w:tcW w:w="26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65"/>
              <w:spacing w:after="0" w:line="155" w:lineRule="exact"/>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62"/>
              <w:spacing w:after="0" w:line="155" w:lineRule="exact"/>
              <w:rPr>
                <w:sz w:val="20"/>
                <w:szCs w:val="20"/>
                <w:color w:val="auto"/>
              </w:rPr>
            </w:pPr>
            <w:r>
              <w:rPr>
                <w:rFonts w:ascii="Arial" w:cs="Arial" w:eastAsia="Arial" w:hAnsi="Arial"/>
                <w:sz w:val="14"/>
                <w:szCs w:val="14"/>
                <w:b w:val="1"/>
                <w:bCs w:val="1"/>
                <w:color w:val="auto"/>
                <w:w w:val="98"/>
              </w:rPr>
              <w:t>Capital</w:t>
            </w:r>
          </w:p>
        </w:tc>
        <w:tc>
          <w:tcPr>
            <w:tcW w:w="2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121"/>
              <w:spacing w:after="0" w:line="155" w:lineRule="exact"/>
              <w:rPr>
                <w:sz w:val="20"/>
                <w:szCs w:val="20"/>
                <w:color w:val="auto"/>
              </w:rPr>
            </w:pPr>
            <w:r>
              <w:rPr>
                <w:rFonts w:ascii="Arial" w:cs="Arial" w:eastAsia="Arial" w:hAnsi="Arial"/>
                <w:sz w:val="14"/>
                <w:szCs w:val="14"/>
                <w:b w:val="1"/>
                <w:bCs w:val="1"/>
                <w:color w:val="auto"/>
                <w:w w:val="98"/>
              </w:rPr>
              <w:t>Deficit</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42"/>
              <w:spacing w:after="0" w:line="155"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June 30, 2020</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3,232,811</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180,367</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(171,762)</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12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343</w:t>
            </w: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120" w:type="dxa"/>
            <w:vAlign w:val="bottom"/>
            <w:shd w:val="clear" w:color="auto" w:fill="CFF0FC"/>
          </w:tcPr>
          <w:p>
            <w:pPr>
              <w:spacing w:after="0"/>
              <w:rPr>
                <w:sz w:val="20"/>
                <w:szCs w:val="20"/>
                <w:color w:val="auto"/>
              </w:rPr>
            </w:pPr>
            <w:r>
              <w:rPr>
                <w:rFonts w:ascii="Arial" w:cs="Arial" w:eastAsia="Arial" w:hAnsi="Arial"/>
                <w:sz w:val="16"/>
                <w:szCs w:val="16"/>
                <w:color w:val="auto"/>
              </w:rPr>
              <w:t>Net loss for the period</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(6,791)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(6,791)</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6"/>
                <w:szCs w:val="16"/>
                <w:b w:val="1"/>
                <w:bCs w:val="1"/>
                <w:color w:val="auto"/>
              </w:rPr>
              <w:t>Balance at September 30, 2020</w:t>
            </w:r>
          </w:p>
        </w:tc>
        <w:tc>
          <w:tcPr>
            <w:tcW w:w="1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120" w:type="dxa"/>
            <w:vAlign w:val="bottom"/>
            <w:vMerge w:val="continue"/>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3,232,811</w:t>
            </w:r>
          </w:p>
        </w:tc>
        <w:tc>
          <w:tcPr>
            <w:tcW w:w="260" w:type="dxa"/>
            <w:vAlign w:val="bottom"/>
          </w:tcPr>
          <w:p>
            <w:pPr>
              <w:spacing w:after="0"/>
              <w:rPr>
                <w:sz w:val="17"/>
                <w:szCs w:val="17"/>
                <w:color w:val="auto"/>
              </w:rPr>
            </w:pPr>
          </w:p>
        </w:tc>
        <w:tc>
          <w:tcPr>
            <w:tcW w:w="1080" w:type="dxa"/>
            <w:vAlign w:val="bottom"/>
          </w:tcPr>
          <w:p>
            <w:pPr>
              <w:jc w:val="right"/>
              <w:ind w:right="925"/>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45</w:t>
            </w:r>
          </w:p>
        </w:tc>
        <w:tc>
          <w:tcPr>
            <w:tcW w:w="24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180,710</w:t>
            </w:r>
          </w:p>
        </w:tc>
        <w:tc>
          <w:tcPr>
            <w:tcW w:w="26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(178,553)</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2,202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ind w:right="162"/>
              <w:spacing w:after="0" w:line="137" w:lineRule="exact"/>
              <w:rPr>
                <w:sz w:val="20"/>
                <w:szCs w:val="20"/>
                <w:color w:val="auto"/>
              </w:rPr>
            </w:pPr>
            <w:r>
              <w:rPr>
                <w:rFonts w:ascii="Arial" w:cs="Arial" w:eastAsia="Arial" w:hAnsi="Arial"/>
                <w:sz w:val="14"/>
                <w:szCs w:val="14"/>
                <w:b w:val="1"/>
                <w:bCs w:val="1"/>
                <w:color w:val="auto"/>
                <w:w w:val="96"/>
              </w:rPr>
              <w:t>Additional</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center"/>
              <w:ind w:right="122"/>
              <w:spacing w:after="0" w:line="137"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2720" w:type="dxa"/>
            <w:vAlign w:val="bottom"/>
            <w:tcBorders>
              <w:bottom w:val="single" w:sz="8" w:color="auto"/>
            </w:tcBorders>
            <w:gridSpan w:val="3"/>
          </w:tcPr>
          <w:p>
            <w:pPr>
              <w:jc w:val="right"/>
              <w:ind w:right="665"/>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6"/>
        </w:trPr>
        <w:tc>
          <w:tcPr>
            <w:tcW w:w="3120" w:type="dxa"/>
            <w:vAlign w:val="bottom"/>
            <w:tcBorders>
              <w:bottom w:val="single" w:sz="8" w:color="CFF0FC"/>
            </w:tcBorders>
          </w:tcPr>
          <w:p>
            <w:pPr>
              <w:spacing w:after="0"/>
              <w:rPr>
                <w:sz w:val="13"/>
                <w:szCs w:val="13"/>
                <w:color w:val="auto"/>
              </w:rPr>
            </w:pPr>
          </w:p>
        </w:tc>
        <w:tc>
          <w:tcPr>
            <w:tcW w:w="1380" w:type="dxa"/>
            <w:vAlign w:val="bottom"/>
            <w:tcBorders>
              <w:bottom w:val="single" w:sz="8" w:color="auto"/>
            </w:tcBorders>
          </w:tcPr>
          <w:p>
            <w:pPr>
              <w:jc w:val="right"/>
              <w:ind w:right="421"/>
              <w:spacing w:after="0" w:line="155" w:lineRule="exact"/>
              <w:rPr>
                <w:sz w:val="20"/>
                <w:szCs w:val="20"/>
                <w:color w:val="auto"/>
              </w:rPr>
            </w:pPr>
            <w:r>
              <w:rPr>
                <w:rFonts w:ascii="Arial" w:cs="Arial" w:eastAsia="Arial" w:hAnsi="Arial"/>
                <w:sz w:val="14"/>
                <w:szCs w:val="14"/>
                <w:b w:val="1"/>
                <w:bCs w:val="1"/>
                <w:color w:val="auto"/>
              </w:rPr>
              <w:t>Shares</w:t>
            </w:r>
          </w:p>
        </w:tc>
        <w:tc>
          <w:tcPr>
            <w:tcW w:w="26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65"/>
              <w:spacing w:after="0" w:line="155" w:lineRule="exact"/>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62"/>
              <w:spacing w:after="0" w:line="155" w:lineRule="exact"/>
              <w:rPr>
                <w:sz w:val="20"/>
                <w:szCs w:val="20"/>
                <w:color w:val="auto"/>
              </w:rPr>
            </w:pPr>
            <w:r>
              <w:rPr>
                <w:rFonts w:ascii="Arial" w:cs="Arial" w:eastAsia="Arial" w:hAnsi="Arial"/>
                <w:sz w:val="14"/>
                <w:szCs w:val="14"/>
                <w:b w:val="1"/>
                <w:bCs w:val="1"/>
                <w:color w:val="auto"/>
                <w:w w:val="98"/>
              </w:rPr>
              <w:t>Capital</w:t>
            </w:r>
          </w:p>
        </w:tc>
        <w:tc>
          <w:tcPr>
            <w:tcW w:w="2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121"/>
              <w:spacing w:after="0" w:line="155" w:lineRule="exact"/>
              <w:rPr>
                <w:sz w:val="20"/>
                <w:szCs w:val="20"/>
                <w:color w:val="auto"/>
              </w:rPr>
            </w:pPr>
            <w:r>
              <w:rPr>
                <w:rFonts w:ascii="Arial" w:cs="Arial" w:eastAsia="Arial" w:hAnsi="Arial"/>
                <w:sz w:val="14"/>
                <w:szCs w:val="14"/>
                <w:b w:val="1"/>
                <w:bCs w:val="1"/>
                <w:color w:val="auto"/>
                <w:w w:val="98"/>
              </w:rPr>
              <w:t>Deficit</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42"/>
              <w:spacing w:after="0" w:line="155"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June 30, 2019</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3,221,345</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178,912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(152,758)</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120" w:type="dxa"/>
            <w:vAlign w:val="bottom"/>
          </w:tcPr>
          <w:p>
            <w:pPr>
              <w:spacing w:after="0"/>
              <w:rPr>
                <w:sz w:val="20"/>
                <w:szCs w:val="20"/>
                <w:color w:val="auto"/>
              </w:rPr>
            </w:pPr>
            <w:r>
              <w:rPr>
                <w:rFonts w:ascii="Arial" w:cs="Arial" w:eastAsia="Arial" w:hAnsi="Arial"/>
                <w:sz w:val="16"/>
                <w:szCs w:val="16"/>
                <w:color w:val="auto"/>
              </w:rPr>
              <w:t>Issuance of common stock, net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12,887</w:t>
            </w:r>
          </w:p>
        </w:tc>
        <w:tc>
          <w:tcPr>
            <w:tcW w:w="26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12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6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20" w:type="dxa"/>
            <w:vAlign w:val="bottom"/>
          </w:tcPr>
          <w:p>
            <w:pPr>
              <w:spacing w:after="0"/>
              <w:rPr>
                <w:sz w:val="20"/>
                <w:szCs w:val="20"/>
                <w:color w:val="auto"/>
              </w:rPr>
            </w:pPr>
            <w:r>
              <w:rPr>
                <w:rFonts w:ascii="Arial" w:cs="Arial" w:eastAsia="Arial" w:hAnsi="Arial"/>
                <w:sz w:val="16"/>
                <w:szCs w:val="16"/>
                <w:color w:val="auto"/>
              </w:rPr>
              <w:t>Net loss for the period</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(6,924)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(6,924)</w:t>
            </w:r>
          </w:p>
        </w:tc>
        <w:tc>
          <w:tcPr>
            <w:tcW w:w="0" w:type="dxa"/>
            <w:vAlign w:val="bottom"/>
          </w:tcPr>
          <w:p>
            <w:pPr>
              <w:spacing w:after="0"/>
              <w:rPr>
                <w:sz w:val="1"/>
                <w:szCs w:val="1"/>
                <w:color w:val="auto"/>
              </w:rPr>
            </w:pPr>
          </w:p>
        </w:tc>
      </w:tr>
      <w:tr>
        <w:trPr>
          <w:trHeight w:val="20"/>
        </w:trPr>
        <w:tc>
          <w:tcPr>
            <w:tcW w:w="312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Balance at September 30, 2019</w:t>
            </w:r>
          </w:p>
        </w:tc>
        <w:tc>
          <w:tcPr>
            <w:tcW w:w="13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20" w:type="dxa"/>
            <w:vAlign w:val="bottom"/>
            <w:vMerge w:val="continue"/>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3,234,232</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179,382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(159,682)</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ind w:right="162"/>
              <w:spacing w:after="0" w:line="137" w:lineRule="exact"/>
              <w:rPr>
                <w:sz w:val="20"/>
                <w:szCs w:val="20"/>
                <w:color w:val="auto"/>
              </w:rPr>
            </w:pPr>
            <w:r>
              <w:rPr>
                <w:rFonts w:ascii="Arial" w:cs="Arial" w:eastAsia="Arial" w:hAnsi="Arial"/>
                <w:sz w:val="14"/>
                <w:szCs w:val="14"/>
                <w:b w:val="1"/>
                <w:bCs w:val="1"/>
                <w:color w:val="auto"/>
                <w:w w:val="96"/>
              </w:rPr>
              <w:t>Additional</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center"/>
              <w:ind w:right="122"/>
              <w:spacing w:after="0" w:line="137"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2720" w:type="dxa"/>
            <w:vAlign w:val="bottom"/>
            <w:tcBorders>
              <w:bottom w:val="single" w:sz="8" w:color="auto"/>
            </w:tcBorders>
            <w:gridSpan w:val="3"/>
          </w:tcPr>
          <w:p>
            <w:pPr>
              <w:jc w:val="right"/>
              <w:ind w:right="665"/>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5"/>
        </w:trPr>
        <w:tc>
          <w:tcPr>
            <w:tcW w:w="3120" w:type="dxa"/>
            <w:vAlign w:val="bottom"/>
            <w:tcBorders>
              <w:bottom w:val="single" w:sz="8" w:color="CFF0FC"/>
            </w:tcBorders>
          </w:tcPr>
          <w:p>
            <w:pPr>
              <w:spacing w:after="0"/>
              <w:rPr>
                <w:sz w:val="13"/>
                <w:szCs w:val="13"/>
                <w:color w:val="auto"/>
              </w:rPr>
            </w:pPr>
          </w:p>
        </w:tc>
        <w:tc>
          <w:tcPr>
            <w:tcW w:w="1380" w:type="dxa"/>
            <w:vAlign w:val="bottom"/>
            <w:tcBorders>
              <w:bottom w:val="single" w:sz="8" w:color="auto"/>
            </w:tcBorders>
          </w:tcPr>
          <w:p>
            <w:pPr>
              <w:jc w:val="right"/>
              <w:ind w:right="421"/>
              <w:spacing w:after="0" w:line="155" w:lineRule="exact"/>
              <w:rPr>
                <w:sz w:val="20"/>
                <w:szCs w:val="20"/>
                <w:color w:val="auto"/>
              </w:rPr>
            </w:pPr>
            <w:r>
              <w:rPr>
                <w:rFonts w:ascii="Arial" w:cs="Arial" w:eastAsia="Arial" w:hAnsi="Arial"/>
                <w:sz w:val="14"/>
                <w:szCs w:val="14"/>
                <w:b w:val="1"/>
                <w:bCs w:val="1"/>
                <w:color w:val="auto"/>
              </w:rPr>
              <w:t>Shares</w:t>
            </w:r>
          </w:p>
        </w:tc>
        <w:tc>
          <w:tcPr>
            <w:tcW w:w="26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65"/>
              <w:spacing w:after="0" w:line="155" w:lineRule="exact"/>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62"/>
              <w:spacing w:after="0" w:line="155" w:lineRule="exact"/>
              <w:rPr>
                <w:sz w:val="20"/>
                <w:szCs w:val="20"/>
                <w:color w:val="auto"/>
              </w:rPr>
            </w:pPr>
            <w:r>
              <w:rPr>
                <w:rFonts w:ascii="Arial" w:cs="Arial" w:eastAsia="Arial" w:hAnsi="Arial"/>
                <w:sz w:val="14"/>
                <w:szCs w:val="14"/>
                <w:b w:val="1"/>
                <w:bCs w:val="1"/>
                <w:color w:val="auto"/>
                <w:w w:val="98"/>
              </w:rPr>
              <w:t>Capital</w:t>
            </w:r>
          </w:p>
        </w:tc>
        <w:tc>
          <w:tcPr>
            <w:tcW w:w="2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121"/>
              <w:spacing w:after="0" w:line="155" w:lineRule="exact"/>
              <w:rPr>
                <w:sz w:val="20"/>
                <w:szCs w:val="20"/>
                <w:color w:val="auto"/>
              </w:rPr>
            </w:pPr>
            <w:r>
              <w:rPr>
                <w:rFonts w:ascii="Arial" w:cs="Arial" w:eastAsia="Arial" w:hAnsi="Arial"/>
                <w:sz w:val="14"/>
                <w:szCs w:val="14"/>
                <w:b w:val="1"/>
                <w:bCs w:val="1"/>
                <w:color w:val="auto"/>
                <w:w w:val="98"/>
              </w:rPr>
              <w:t>Deficit</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42"/>
              <w:spacing w:after="0" w:line="155"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December 31, 2019</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3,234,232</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179,653</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(167,856)</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120" w:type="dxa"/>
            <w:vAlign w:val="bottom"/>
          </w:tcPr>
          <w:p>
            <w:pPr>
              <w:spacing w:after="0"/>
              <w:rPr>
                <w:sz w:val="20"/>
                <w:szCs w:val="20"/>
                <w:color w:val="auto"/>
              </w:rPr>
            </w:pPr>
            <w:r>
              <w:rPr>
                <w:rFonts w:ascii="Arial" w:cs="Arial" w:eastAsia="Arial" w:hAnsi="Arial"/>
                <w:sz w:val="16"/>
                <w:szCs w:val="16"/>
                <w:color w:val="auto"/>
              </w:rPr>
              <w:t>Cancellation of fractional shares</w:t>
            </w:r>
          </w:p>
        </w:tc>
        <w:tc>
          <w:tcPr>
            <w:tcW w:w="13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20" w:type="dxa"/>
            <w:vAlign w:val="bottom"/>
          </w:tcPr>
          <w:p>
            <w:pPr>
              <w:ind w:left="120"/>
              <w:spacing w:after="0"/>
              <w:rPr>
                <w:sz w:val="20"/>
                <w:szCs w:val="20"/>
                <w:color w:val="auto"/>
              </w:rPr>
            </w:pPr>
            <w:r>
              <w:rPr>
                <w:rFonts w:ascii="Arial" w:cs="Arial" w:eastAsia="Arial" w:hAnsi="Arial"/>
                <w:sz w:val="16"/>
                <w:szCs w:val="16"/>
                <w:color w:val="auto"/>
              </w:rPr>
              <w:t>arising from reverse stock split</w:t>
            </w:r>
          </w:p>
        </w:tc>
        <w:tc>
          <w:tcPr>
            <w:tcW w:w="1640" w:type="dxa"/>
            <w:vAlign w:val="bottom"/>
            <w:gridSpan w:val="2"/>
          </w:tcPr>
          <w:p>
            <w:pPr>
              <w:jc w:val="right"/>
              <w:ind w:right="200"/>
              <w:spacing w:after="0"/>
              <w:rPr>
                <w:sz w:val="20"/>
                <w:szCs w:val="20"/>
                <w:color w:val="auto"/>
              </w:rPr>
            </w:pPr>
            <w:r>
              <w:rPr>
                <w:rFonts w:ascii="Arial" w:cs="Arial" w:eastAsia="Arial" w:hAnsi="Arial"/>
                <w:sz w:val="16"/>
                <w:szCs w:val="16"/>
                <w:color w:val="auto"/>
              </w:rPr>
              <w:t>(1,421)</w:t>
            </w:r>
          </w:p>
        </w:tc>
        <w:tc>
          <w:tcPr>
            <w:tcW w:w="108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12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6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20" w:type="dxa"/>
            <w:vAlign w:val="bottom"/>
          </w:tcPr>
          <w:p>
            <w:pPr>
              <w:spacing w:after="0"/>
              <w:rPr>
                <w:sz w:val="20"/>
                <w:szCs w:val="20"/>
                <w:color w:val="auto"/>
              </w:rPr>
            </w:pPr>
            <w:r>
              <w:rPr>
                <w:rFonts w:ascii="Arial" w:cs="Arial" w:eastAsia="Arial" w:hAnsi="Arial"/>
                <w:sz w:val="16"/>
                <w:szCs w:val="16"/>
                <w:color w:val="auto"/>
              </w:rPr>
              <w:t>Net loss for the period</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(10,697)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(10,697)</w:t>
            </w:r>
          </w:p>
        </w:tc>
        <w:tc>
          <w:tcPr>
            <w:tcW w:w="0" w:type="dxa"/>
            <w:vAlign w:val="bottom"/>
          </w:tcPr>
          <w:p>
            <w:pPr>
              <w:spacing w:after="0"/>
              <w:rPr>
                <w:sz w:val="1"/>
                <w:szCs w:val="1"/>
                <w:color w:val="auto"/>
              </w:rPr>
            </w:pPr>
          </w:p>
        </w:tc>
      </w:tr>
      <w:tr>
        <w:trPr>
          <w:trHeight w:val="20"/>
        </w:trPr>
        <w:tc>
          <w:tcPr>
            <w:tcW w:w="312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Balance at September 30, 2020</w:t>
            </w:r>
          </w:p>
        </w:tc>
        <w:tc>
          <w:tcPr>
            <w:tcW w:w="13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20" w:type="dxa"/>
            <w:vAlign w:val="bottom"/>
            <w:vMerge w:val="continue"/>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3,232,811</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180,710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(178,553)</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ind w:right="162"/>
              <w:spacing w:after="0" w:line="137" w:lineRule="exact"/>
              <w:rPr>
                <w:sz w:val="20"/>
                <w:szCs w:val="20"/>
                <w:color w:val="auto"/>
              </w:rPr>
            </w:pPr>
            <w:r>
              <w:rPr>
                <w:rFonts w:ascii="Arial" w:cs="Arial" w:eastAsia="Arial" w:hAnsi="Arial"/>
                <w:sz w:val="14"/>
                <w:szCs w:val="14"/>
                <w:b w:val="1"/>
                <w:bCs w:val="1"/>
                <w:color w:val="auto"/>
                <w:w w:val="96"/>
              </w:rPr>
              <w:t>Additional</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center"/>
              <w:ind w:right="122"/>
              <w:spacing w:after="0" w:line="137"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2720" w:type="dxa"/>
            <w:vAlign w:val="bottom"/>
            <w:tcBorders>
              <w:bottom w:val="single" w:sz="8" w:color="auto"/>
            </w:tcBorders>
            <w:gridSpan w:val="3"/>
          </w:tcPr>
          <w:p>
            <w:pPr>
              <w:jc w:val="right"/>
              <w:ind w:right="665"/>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6"/>
        </w:trPr>
        <w:tc>
          <w:tcPr>
            <w:tcW w:w="3120" w:type="dxa"/>
            <w:vAlign w:val="bottom"/>
            <w:tcBorders>
              <w:bottom w:val="single" w:sz="8" w:color="CFF0FC"/>
            </w:tcBorders>
          </w:tcPr>
          <w:p>
            <w:pPr>
              <w:spacing w:after="0"/>
              <w:rPr>
                <w:sz w:val="13"/>
                <w:szCs w:val="13"/>
                <w:color w:val="auto"/>
              </w:rPr>
            </w:pPr>
          </w:p>
        </w:tc>
        <w:tc>
          <w:tcPr>
            <w:tcW w:w="1380" w:type="dxa"/>
            <w:vAlign w:val="bottom"/>
            <w:tcBorders>
              <w:bottom w:val="single" w:sz="8" w:color="auto"/>
            </w:tcBorders>
          </w:tcPr>
          <w:p>
            <w:pPr>
              <w:jc w:val="right"/>
              <w:ind w:right="421"/>
              <w:spacing w:after="0" w:line="155" w:lineRule="exact"/>
              <w:rPr>
                <w:sz w:val="20"/>
                <w:szCs w:val="20"/>
                <w:color w:val="auto"/>
              </w:rPr>
            </w:pPr>
            <w:r>
              <w:rPr>
                <w:rFonts w:ascii="Arial" w:cs="Arial" w:eastAsia="Arial" w:hAnsi="Arial"/>
                <w:sz w:val="14"/>
                <w:szCs w:val="14"/>
                <w:b w:val="1"/>
                <w:bCs w:val="1"/>
                <w:color w:val="auto"/>
              </w:rPr>
              <w:t>Shares</w:t>
            </w:r>
          </w:p>
        </w:tc>
        <w:tc>
          <w:tcPr>
            <w:tcW w:w="26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65"/>
              <w:spacing w:after="0" w:line="155" w:lineRule="exact"/>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62"/>
              <w:spacing w:after="0" w:line="155" w:lineRule="exact"/>
              <w:rPr>
                <w:sz w:val="20"/>
                <w:szCs w:val="20"/>
                <w:color w:val="auto"/>
              </w:rPr>
            </w:pPr>
            <w:r>
              <w:rPr>
                <w:rFonts w:ascii="Arial" w:cs="Arial" w:eastAsia="Arial" w:hAnsi="Arial"/>
                <w:sz w:val="14"/>
                <w:szCs w:val="14"/>
                <w:b w:val="1"/>
                <w:bCs w:val="1"/>
                <w:color w:val="auto"/>
                <w:w w:val="98"/>
              </w:rPr>
              <w:t>Capital</w:t>
            </w:r>
          </w:p>
        </w:tc>
        <w:tc>
          <w:tcPr>
            <w:tcW w:w="2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121"/>
              <w:spacing w:after="0" w:line="155" w:lineRule="exact"/>
              <w:rPr>
                <w:sz w:val="20"/>
                <w:szCs w:val="20"/>
                <w:color w:val="auto"/>
              </w:rPr>
            </w:pPr>
            <w:r>
              <w:rPr>
                <w:rFonts w:ascii="Arial" w:cs="Arial" w:eastAsia="Arial" w:hAnsi="Arial"/>
                <w:sz w:val="14"/>
                <w:szCs w:val="14"/>
                <w:b w:val="1"/>
                <w:bCs w:val="1"/>
                <w:color w:val="auto"/>
                <w:w w:val="98"/>
              </w:rPr>
              <w:t>Deficit</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42"/>
              <w:spacing w:after="0" w:line="155"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December 31, 2018</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1,629,173</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157,791</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(127,408)</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120" w:type="dxa"/>
            <w:vAlign w:val="bottom"/>
          </w:tcPr>
          <w:p>
            <w:pPr>
              <w:spacing w:after="0"/>
              <w:rPr>
                <w:sz w:val="20"/>
                <w:szCs w:val="20"/>
                <w:color w:val="auto"/>
              </w:rPr>
            </w:pPr>
            <w:r>
              <w:rPr>
                <w:rFonts w:ascii="Arial" w:cs="Arial" w:eastAsia="Arial" w:hAnsi="Arial"/>
                <w:sz w:val="16"/>
                <w:szCs w:val="16"/>
                <w:color w:val="auto"/>
              </w:rPr>
              <w:t>Issuance of common stock, pre-</w:t>
            </w:r>
          </w:p>
        </w:tc>
        <w:tc>
          <w:tcPr>
            <w:tcW w:w="13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120"/>
              <w:spacing w:after="0"/>
              <w:rPr>
                <w:sz w:val="20"/>
                <w:szCs w:val="20"/>
                <w:color w:val="auto"/>
              </w:rPr>
            </w:pPr>
            <w:r>
              <w:rPr>
                <w:rFonts w:ascii="Arial" w:cs="Arial" w:eastAsia="Arial" w:hAnsi="Arial"/>
                <w:sz w:val="16"/>
                <w:szCs w:val="16"/>
                <w:color w:val="auto"/>
              </w:rPr>
              <w:t>funded warrants and warrants,</w:t>
            </w: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20" w:type="dxa"/>
            <w:vAlign w:val="bottom"/>
          </w:tcPr>
          <w:p>
            <w:pPr>
              <w:ind w:left="120"/>
              <w:spacing w:after="0"/>
              <w:rPr>
                <w:sz w:val="20"/>
                <w:szCs w:val="20"/>
                <w:color w:val="auto"/>
              </w:rPr>
            </w:pPr>
            <w:r>
              <w:rPr>
                <w:rFonts w:ascii="Arial" w:cs="Arial" w:eastAsia="Arial" w:hAnsi="Arial"/>
                <w:sz w:val="16"/>
                <w:szCs w:val="16"/>
                <w:color w:val="auto"/>
              </w:rPr>
              <w:t>net</w:t>
            </w:r>
          </w:p>
        </w:tc>
        <w:tc>
          <w:tcPr>
            <w:tcW w:w="1380" w:type="dxa"/>
            <w:vAlign w:val="bottom"/>
          </w:tcPr>
          <w:p>
            <w:pPr>
              <w:jc w:val="right"/>
              <w:spacing w:after="0"/>
              <w:rPr>
                <w:sz w:val="20"/>
                <w:szCs w:val="20"/>
                <w:color w:val="auto"/>
              </w:rPr>
            </w:pPr>
            <w:r>
              <w:rPr>
                <w:rFonts w:ascii="Arial" w:cs="Arial" w:eastAsia="Arial" w:hAnsi="Arial"/>
                <w:sz w:val="16"/>
                <w:szCs w:val="16"/>
                <w:color w:val="auto"/>
              </w:rPr>
              <w:t>1,584,316</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20,320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commitment shares</w:t>
            </w: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of common stock, non-cash</w:t>
            </w:r>
          </w:p>
        </w:tc>
        <w:tc>
          <w:tcPr>
            <w:tcW w:w="1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transaction</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13,991</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120" w:type="dxa"/>
            <w:vAlign w:val="bottom"/>
          </w:tcPr>
          <w:p>
            <w:pPr>
              <w:spacing w:after="0"/>
              <w:rPr>
                <w:sz w:val="20"/>
                <w:szCs w:val="20"/>
                <w:color w:val="auto"/>
              </w:rPr>
            </w:pPr>
            <w:r>
              <w:rPr>
                <w:rFonts w:ascii="Arial" w:cs="Arial" w:eastAsia="Arial" w:hAnsi="Arial"/>
                <w:sz w:val="16"/>
                <w:szCs w:val="16"/>
                <w:color w:val="auto"/>
              </w:rPr>
              <w:t>Common stock issued upon</w:t>
            </w: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120"/>
              <w:spacing w:after="0"/>
              <w:rPr>
                <w:sz w:val="20"/>
                <w:szCs w:val="20"/>
                <w:color w:val="auto"/>
              </w:rPr>
            </w:pPr>
            <w:r>
              <w:rPr>
                <w:rFonts w:ascii="Arial" w:cs="Arial" w:eastAsia="Arial" w:hAnsi="Arial"/>
                <w:sz w:val="16"/>
                <w:szCs w:val="16"/>
                <w:color w:val="auto"/>
              </w:rPr>
              <w:t>vesting of restricted stock units</w:t>
            </w: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120"/>
              <w:spacing w:after="0"/>
              <w:rPr>
                <w:sz w:val="20"/>
                <w:szCs w:val="20"/>
                <w:color w:val="auto"/>
              </w:rPr>
            </w:pPr>
            <w:r>
              <w:rPr>
                <w:rFonts w:ascii="Arial" w:cs="Arial" w:eastAsia="Arial" w:hAnsi="Arial"/>
                <w:sz w:val="16"/>
                <w:szCs w:val="16"/>
                <w:color w:val="auto"/>
              </w:rPr>
              <w:t>(net shares withheld for payment</w:t>
            </w: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20" w:type="dxa"/>
            <w:vAlign w:val="bottom"/>
          </w:tcPr>
          <w:p>
            <w:pPr>
              <w:ind w:left="180"/>
              <w:spacing w:after="0"/>
              <w:rPr>
                <w:sz w:val="20"/>
                <w:szCs w:val="20"/>
                <w:color w:val="auto"/>
              </w:rPr>
            </w:pPr>
            <w:r>
              <w:rPr>
                <w:rFonts w:ascii="Arial" w:cs="Arial" w:eastAsia="Arial" w:hAnsi="Arial"/>
                <w:sz w:val="16"/>
                <w:szCs w:val="16"/>
                <w:color w:val="auto"/>
              </w:rPr>
              <w:t>of tax liability)</w:t>
            </w:r>
          </w:p>
        </w:tc>
        <w:tc>
          <w:tcPr>
            <w:tcW w:w="1380" w:type="dxa"/>
            <w:vAlign w:val="bottom"/>
          </w:tcPr>
          <w:p>
            <w:pPr>
              <w:jc w:val="right"/>
              <w:spacing w:after="0"/>
              <w:rPr>
                <w:sz w:val="20"/>
                <w:szCs w:val="20"/>
                <w:color w:val="auto"/>
              </w:rPr>
            </w:pPr>
            <w:r>
              <w:rPr>
                <w:rFonts w:ascii="Arial" w:cs="Arial" w:eastAsia="Arial" w:hAnsi="Arial"/>
                <w:sz w:val="16"/>
                <w:szCs w:val="16"/>
                <w:color w:val="auto"/>
              </w:rPr>
              <w:t>6,752</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(58)</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9"/>
        </w:trPr>
        <w:tc>
          <w:tcPr>
            <w:tcW w:w="312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6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20" w:type="dxa"/>
            <w:vAlign w:val="bottom"/>
          </w:tcPr>
          <w:p>
            <w:pPr>
              <w:spacing w:after="0"/>
              <w:rPr>
                <w:sz w:val="20"/>
                <w:szCs w:val="20"/>
                <w:color w:val="auto"/>
              </w:rPr>
            </w:pPr>
            <w:r>
              <w:rPr>
                <w:rFonts w:ascii="Arial" w:cs="Arial" w:eastAsia="Arial" w:hAnsi="Arial"/>
                <w:sz w:val="16"/>
                <w:szCs w:val="16"/>
                <w:color w:val="auto"/>
              </w:rPr>
              <w:t>Net loss for the period</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(32,274)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(32,274)</w:t>
            </w:r>
          </w:p>
        </w:tc>
        <w:tc>
          <w:tcPr>
            <w:tcW w:w="0" w:type="dxa"/>
            <w:vAlign w:val="bottom"/>
          </w:tcPr>
          <w:p>
            <w:pPr>
              <w:spacing w:after="0"/>
              <w:rPr>
                <w:sz w:val="1"/>
                <w:szCs w:val="1"/>
                <w:color w:val="auto"/>
              </w:rPr>
            </w:pPr>
          </w:p>
        </w:tc>
      </w:tr>
      <w:tr>
        <w:trPr>
          <w:trHeight w:val="20"/>
        </w:trPr>
        <w:tc>
          <w:tcPr>
            <w:tcW w:w="312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Balance at September 30, 2019</w:t>
            </w:r>
          </w:p>
        </w:tc>
        <w:tc>
          <w:tcPr>
            <w:tcW w:w="13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vMerge w:val="continue"/>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3,234,232</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179,382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(159,682)</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1. Nature of Business and Significant Accounting Policies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Organization</w:t>
      </w:r>
    </w:p>
    <w:p>
      <w:pPr>
        <w:spacing w:after="0" w:line="121"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Aptevo Therapeutics Inc. (Aptevo, we, us, or the Company) is a clinical stage, research and development biotechnology company focused on developing novel immunotherapies for the treatment of cancer. Our lead clinical candidate, APVO436, and preclinical candidates, ALG.APV-527 and APVO603 were developed based on the Company’s versatile and robust ADAPTIR™ modular protein technology platform. The ADAPTIR platform is capable of generating highly differentiated bispecific antibodies with unique mechanisms of action for the treatment of different types of cancer.</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Aptevo Therapeutics shares are listed on the Nasdaq Capital Market under the symbol “APVO.”</w:t>
      </w:r>
    </w:p>
    <w:p>
      <w:pPr>
        <w:spacing w:after="0" w:line="225"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On February 28, 2020, we entered into an LLC Purchase Agreement with Medexus Pharma Inc. (“Medexus”), pursuant to which we sold all of the issued and outstanding limited liability company interests of Aptevo BioTherapeutics LLC (“Aptevo BioTherapeutics”), a wholly owned subsidiary of Aptevo. As a result of the transaction, Medexus obtained all right, title and interest to the IXINITY</w:t>
      </w:r>
      <w:r>
        <w:rPr>
          <w:rFonts w:ascii="Arial" w:cs="Arial" w:eastAsia="Arial" w:hAnsi="Arial"/>
          <w:sz w:val="14"/>
          <w:szCs w:val="14"/>
          <w:color w:val="auto"/>
        </w:rPr>
        <w:t>®</w:t>
      </w:r>
      <w:r>
        <w:rPr>
          <w:rFonts w:ascii="Arial" w:cs="Arial" w:eastAsia="Arial" w:hAnsi="Arial"/>
          <w:sz w:val="17"/>
          <w:szCs w:val="17"/>
          <w:color w:val="auto"/>
        </w:rPr>
        <w:t xml:space="preserve"> product and the related Hemophilia B business and intellectual property. In addition, Aptevo BioTherapeutics personnel responsible for the sale and marketing of IXINITY also transitioned to Medexus as part of the transaction. Aptevo BioTherapeutics met all the conditions to be classified as a discontinued operation, since the sale of Aptevo BioTherapeutics represented a strategic shift that will have a major effect on the Company’s operations and financial results. Aptevo will not have further significant involvement in the operations of the discontinued Aptevo BioTherapeutics business. The operating results of Aptevo BioTherapeutics are reported as income (loss) from discontinued operations, in the condensed consolidated statements of operations for all periods presented. The gain recognized on the sale of Aptevo BioTherapeutics is presented in income (loss) from discontinued operations in the condensed consolidated statement of operations. In addition, on the consolidated balance sheet as of December 31, 2019, the assets and liabilities held for sale have been presented separately. See Note 2 - Sale of Aptevo BioTherapeutics for additional information.</w:t>
      </w:r>
    </w:p>
    <w:p>
      <w:pPr>
        <w:spacing w:after="0" w:line="182"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The accompanying financial statements have been prepared on a basis that assumes we will continue as a going concern and which contemplates the realization of assets, satisfaction of liabilities, and commitments in the normal course of business. We have suffered recurring losses from operations and negative cash flows from operating activities. We believe that our existing cash resources, the cash to be generated from future royalty and deferred payments, the cash generated from warrant exercises, access to cash under the Purchase Agreement with Lincoln Park, release of restricted cash from letters of credit, and the Credit Agreement of $25 million with Midcap Financial Trust, will be sufficient to meet our projected operating requirements and debt service for at least twelve months from the date of issuance of these financial statements. We expect to raise additional funds to support our operating and capital needs in 2021.</w:t>
      </w:r>
    </w:p>
    <w:p>
      <w:pPr>
        <w:spacing w:after="0" w:line="195"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We continue to face significant challenges and uncertainties and, as a result, our available capital resources may be consumed more rapidly than currently expected due to: (a) changes we may make to the business that affect ongoing operating expenses; (b) changes we may make in our business strategy; (c) changes we may make in our research and development spending plans; (d) potential decreases in our expected milestone and deferred payments from Medexus with respect to IXINITY; (e) potential decreases in our expected royalty payments from Pfizer with respect to RUXIENCE</w:t>
      </w:r>
      <w:r>
        <w:rPr>
          <w:rFonts w:ascii="Arial" w:cs="Arial" w:eastAsia="Arial" w:hAnsi="Arial"/>
          <w:sz w:val="13"/>
          <w:szCs w:val="13"/>
          <w:color w:val="auto"/>
        </w:rPr>
        <w:t>®</w:t>
      </w:r>
      <w:r>
        <w:rPr>
          <w:rFonts w:ascii="Arial" w:cs="Arial" w:eastAsia="Arial" w:hAnsi="Arial"/>
          <w:sz w:val="16"/>
          <w:szCs w:val="16"/>
          <w:color w:val="auto"/>
        </w:rPr>
        <w:t>; and</w:t>
      </w:r>
    </w:p>
    <w:p>
      <w:pPr>
        <w:spacing w:after="0" w:line="1" w:lineRule="exact"/>
        <w:rPr>
          <w:sz w:val="20"/>
          <w:szCs w:val="20"/>
          <w:color w:val="auto"/>
        </w:rPr>
      </w:pPr>
    </w:p>
    <w:p>
      <w:pPr>
        <w:jc w:val="both"/>
        <w:ind w:firstLine="8"/>
        <w:spacing w:after="0" w:line="267" w:lineRule="auto"/>
        <w:tabs>
          <w:tab w:leader="none" w:pos="234" w:val="left"/>
        </w:tabs>
        <w:numPr>
          <w:ilvl w:val="0"/>
          <w:numId w:val="3"/>
        </w:numPr>
        <w:rPr>
          <w:rFonts w:ascii="Arial" w:cs="Arial" w:eastAsia="Arial" w:hAnsi="Arial"/>
          <w:sz w:val="17"/>
          <w:szCs w:val="17"/>
          <w:color w:val="auto"/>
        </w:rPr>
      </w:pPr>
      <w:r>
        <w:rPr>
          <w:rFonts w:ascii="Arial" w:cs="Arial" w:eastAsia="Arial" w:hAnsi="Arial"/>
          <w:sz w:val="17"/>
          <w:szCs w:val="17"/>
          <w:color w:val="auto"/>
        </w:rPr>
        <w:t>other items affecting our forecasted level of expenditures and use of cash resources. We may attempt to obtain additional funding through our existing equity sales agreement with Lincoln Park Financial LLC or our Equity Distribution Agreement with Piper Sandler &amp; Co (Piper Sandler), or other public or private financing, collaborative arrangements with strategic partners, or through credit lines or other debt financing sources to increase the funds available to fund operations. However, we may not be able to secure such funding in a timely manner or on favorable terms, if at all. Furthermore, if we issue equity or debt securities to raise additional funds, our existing stockholders may experience dilution, and the new equity or debt securities may have rights, preferences and privileges senior to those of our existing stockholders. If we raise additional funds through collaboration, licensing or other similar arrangements, it may be necessary to relinquish valuable rights to our potential products or proprietary technologies, or grant licenses on terms that are not favorable to us. Without additional funds, we may be forced to delay, scale back, or eliminate some of our research and development activities or other operations and potentially delay product development in an effort to provide sufficient funds to continue our operations. If any of these events occurs, our ability to achieve our development and commercialization goals may be adversely affected. Given the global economic climate and additional or unforeseen effects from the COVID-19 pandemic, we may experience delays or difficulties to the financing environment and raising capital due to economic uncertainty.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ind w:left="520"/>
        <w:spacing w:after="0"/>
        <w:rPr>
          <w:sz w:val="20"/>
          <w:szCs w:val="20"/>
          <w:color w:val="auto"/>
        </w:rPr>
      </w:pPr>
      <w:r>
        <w:rPr>
          <w:rFonts w:ascii="Arial" w:cs="Arial" w:eastAsia="Arial" w:hAnsi="Arial"/>
          <w:sz w:val="18"/>
          <w:szCs w:val="18"/>
          <w:b w:val="1"/>
          <w:bCs w:val="1"/>
          <w:color w:val="auto"/>
        </w:rPr>
        <w:t>Basis of Presentation</w:t>
      </w:r>
    </w:p>
    <w:p>
      <w:pPr>
        <w:spacing w:after="0" w:line="13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U.S. generally accepted accounting principles (GAAP). These condensed consolidated financial statements include all adjustments, which include normal recurring adjustments, necessary for the fair presentation of the Company’s financial position.</w:t>
      </w:r>
    </w:p>
    <w:p>
      <w:pPr>
        <w:spacing w:after="0" w:line="18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Actual results could differ from these estimates.</w:t>
      </w:r>
    </w:p>
    <w:p>
      <w:pPr>
        <w:spacing w:after="0" w:line="18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Aptevo Research and Development LLC and Aptevo BioTherapeutics LLC (for the period prior to the sale to Medexus). All intercompany balances and transactions have been eliminated.</w:t>
      </w:r>
    </w:p>
    <w:p>
      <w:pPr>
        <w:spacing w:after="0" w:line="184" w:lineRule="exact"/>
        <w:rPr>
          <w:sz w:val="20"/>
          <w:szCs w:val="20"/>
          <w:color w:val="auto"/>
        </w:rPr>
      </w:pPr>
    </w:p>
    <w:p>
      <w:pPr>
        <w:jc w:val="both"/>
        <w:ind w:firstLine="510"/>
        <w:spacing w:after="0" w:line="284" w:lineRule="auto"/>
        <w:rPr>
          <w:sz w:val="20"/>
          <w:szCs w:val="20"/>
          <w:color w:val="auto"/>
        </w:rPr>
      </w:pPr>
      <w:r>
        <w:rPr>
          <w:rFonts w:ascii="Arial" w:cs="Arial" w:eastAsia="Arial" w:hAnsi="Arial"/>
          <w:sz w:val="17"/>
          <w:szCs w:val="17"/>
          <w:color w:val="auto"/>
        </w:rPr>
        <w:t>In March 2020, we effected a 1-for-14 reverse stock split (the “Reverse Split”) of our common stock pursuant to which every 14 shares of our common stock issued and outstanding as of March 26, 2020 were automatically combined into one issued and outstanding share of common stock. No fractional shares were issued as a result of the reverse stock split. Stockholders of record who would otherwise have been entitled to receive a fractional share received a cash payment in lieu thereof. All share and per share information with respect to our common stock have been restated to reflect the effect of the Reverse Split for all periods presented. Refer to Note 8 for additional information.</w:t>
      </w:r>
    </w:p>
    <w:p>
      <w:pPr>
        <w:spacing w:after="0" w:line="31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 Recognition - Royalties, Deferred Payments and Milestones</w:t>
      </w:r>
    </w:p>
    <w:p>
      <w:pPr>
        <w:spacing w:after="0" w:line="117"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We are entitled to receive royalty revenue from Pfizer related to sales of a rituximab biosimilar product, RUXIENCE. The payment from Pfizer relates to an agreement acquired by Aptevo as part of its spin-off from Emergent BioSolutions in 2016, which applies a fixed royalty rate of 2.5% on net sales in the United States, European Union, and Japan. The agreement was originally executed by Trubion Pharmaceuticals (which was subsequently acquired by Emergent BioSolutions Inc.) and Wyeth (a wholly-owned subsidiary of Pfizer). The royalty term runs until the seventh anniversary of the first commercial sale of the CD20 biosimilar. CD20 biosimilar product (royalty) payments to Aptevo are due within 60 days after the end of each quarter. We do not have future performance obligations under this agreement. We apply the royalty recognition constraint required under the guidance for sales-based royalties, which requires a sales-based royalty to be recorded no sooner than the underlying sale. Therefore, royalties on sales of products commercialized by Pfizer are recognized in the quarter the product is sold. Pfizer generally reports sales information to us within 60 days of quarter end. Unless we receive finalized sales information for the respective quarter, we estimate the expected royalty proceeds based on an analysis of historical experience, analyst expectations, interim data provided by Pfizer, including their publicly announced sales, and other publicly available information. Differences between actual and estimated royalty revenues are adjusted for in the period in which they become known, typically the following quarter.</w:t>
      </w:r>
    </w:p>
    <w:p>
      <w:pPr>
        <w:spacing w:after="0" w:line="172"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We are entitled to receive future deferred payments and future milestone payments from Medexus. The payments from Medexus constitute contingent consideration related to our sale of IXINITY in 2020, which is treated as a discontinued operation in the accompanying statement of operations. We treat contingent consideration arising from discontinued operations as gain contingencies in accordance with ASC 450-30 – Gain Contingencies, whereby such gain contingencies usually are not recognized in the financial statements until the period in which all contingencies are resolved and the gain is realized or realizable. As Medexus communicates payment amounts and sales details subsequent to quarter-end, and there is uncertainty as to the amount of the payment before quarter-end, we record deferred payments in the quarter the payment is received.</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estimates and assumptions that affect the reported amounts of assets and liabilities, revenues and expenses, and related disclosures of contingent liabilities in the consolidated financial statements and accompanying notes. Estimates are used for, but not limited to, useful lives of equipment, commitments and contingencies, stock-based compensation, and collectability of receivables. Given the global economic climate and additional or unforeseen effects from the COVID-19 pandemic, these estimates are becoming more challenging, and actual results could differ materially from those estimates.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ind w:left="520"/>
        <w:spacing w:after="0"/>
        <w:rPr>
          <w:sz w:val="20"/>
          <w:szCs w:val="20"/>
          <w:color w:val="auto"/>
        </w:rPr>
      </w:pPr>
      <w:r>
        <w:rPr>
          <w:rFonts w:ascii="Arial" w:cs="Arial" w:eastAsia="Arial" w:hAnsi="Arial"/>
          <w:sz w:val="18"/>
          <w:szCs w:val="18"/>
          <w:color w:val="auto"/>
        </w:rPr>
        <w:t>O</w:t>
      </w:r>
      <w:r>
        <w:rPr>
          <w:rFonts w:ascii="Arial" w:cs="Arial" w:eastAsia="Arial" w:hAnsi="Arial"/>
          <w:sz w:val="18"/>
          <w:szCs w:val="18"/>
          <w:b w:val="1"/>
          <w:bCs w:val="1"/>
          <w:color w:val="auto"/>
        </w:rPr>
        <w:t>ther Significant Accounting Policies</w:t>
      </w:r>
    </w:p>
    <w:p>
      <w:pPr>
        <w:spacing w:after="0" w:line="121" w:lineRule="exact"/>
        <w:rPr>
          <w:sz w:val="20"/>
          <w:szCs w:val="20"/>
          <w:color w:val="auto"/>
        </w:rPr>
      </w:pPr>
    </w:p>
    <w:p>
      <w:pPr>
        <w:jc w:val="both"/>
        <w:ind w:right="20" w:firstLine="510"/>
        <w:spacing w:after="0" w:line="308" w:lineRule="auto"/>
        <w:rPr>
          <w:sz w:val="20"/>
          <w:szCs w:val="20"/>
          <w:color w:val="auto"/>
        </w:rPr>
      </w:pPr>
      <w:r>
        <w:rPr>
          <w:rFonts w:ascii="Arial" w:cs="Arial" w:eastAsia="Arial" w:hAnsi="Arial"/>
          <w:sz w:val="17"/>
          <w:szCs w:val="17"/>
          <w:color w:val="auto"/>
        </w:rPr>
        <w:t>Our other significant accounting policies were reported in our Annual Report on Form 10-K for the year ended December 31, 2019 that was filed with the SEC on March 25, 2020. Our other significant accounting policies have not changed materially from the policies previously reported.</w:t>
      </w:r>
    </w:p>
    <w:p>
      <w:pPr>
        <w:spacing w:after="0" w:line="25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On December 18, 2019, we adopted ASU No. 2019-12, Income Taxes (Topic 740), which amended the existing standards for income tax accounting, eliminating the legacy exception on how to allocate income tax expense or benefit for the year to continuing operations, discontinued operations, other comprehensive income, and other charges or credits recorded directly to shareholder’s equity. We did not adjust comparative periods in our financial statements prior to that period.</w:t>
      </w:r>
    </w:p>
    <w:p>
      <w:pPr>
        <w:spacing w:after="0" w:line="18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Adoption of the new standard resulted in determining the tax effect of income or loss from continuing operations using a computation that does not consider the tax effects of items that are not included in continuing operations. As such, we did not record a tax expense or benefit in 2020. Refer to Note 2 for additional information.</w:t>
      </w:r>
    </w:p>
    <w:p>
      <w:pPr>
        <w:spacing w:after="0" w:line="32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2. Sale of Aptevo BioTherapeutics</w:t>
      </w:r>
    </w:p>
    <w:p>
      <w:pPr>
        <w:spacing w:after="0" w:line="121"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On February 28, 2020, we entered into an LLC Purchase Agreement with Medexus, pursuant to which Aptevo sold all of the issued and outstanding limited liability company interests of Aptevo BioTherapeutics, a wholly owned subsidiary of Aptevo. As a result of the transaction, Medexus obtained all right, title and interest to the IXINITY product and the related Hemophilia B business and intellectual property.</w:t>
      </w:r>
    </w:p>
    <w:p>
      <w:pPr>
        <w:spacing w:after="0" w:line="165"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From the $30 million payment at closing, Medexus withheld $0.8 million, which we collected in full on June 29, 2020, from the escrow account for working capital adjustments. In addition to the payment received at closing, Aptevo may also earn milestone and deferred payments from Medexus in the future. We used $22.1 million of the $30 million in proceeds to repay in full our term debt facility with MidCap Financial Trust, including $20 million of principal and $2.1 million in an end of facility fee, accrued interest, legal fees and prepayment fees. We recorded a $2.1 million loss on extinguishment of debt in the first quarter of 2020.</w:t>
      </w:r>
    </w:p>
    <w:p>
      <w:pPr>
        <w:spacing w:after="0" w:line="188"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net gain on sale of Aptevo BioTherapeutics, totaling $14.3 million, was calculated as the difference between the fair value of the consideration received for Aptevo BioTherapeutics, less the net carrying value of the assets transferred to Medexus, less the transaction costs incurred and a working capital adjustment.</w:t>
      </w:r>
    </w:p>
    <w:p>
      <w:pPr>
        <w:spacing w:after="0" w:line="184"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The following table summarizes the gain on sale (in thousands):</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Cash payment received</w:t>
            </w:r>
          </w:p>
        </w:tc>
        <w:tc>
          <w:tcPr>
            <w:tcW w:w="640" w:type="dxa"/>
            <w:vAlign w:val="bottom"/>
            <w:gridSpan w:val="2"/>
            <w:shd w:val="clear" w:color="auto" w:fill="CFF0FC"/>
          </w:tcPr>
          <w:p>
            <w:pPr>
              <w:jc w:val="right"/>
              <w:ind w:right="509"/>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29,250</w:t>
            </w:r>
          </w:p>
        </w:tc>
        <w:tc>
          <w:tcPr>
            <w:tcW w:w="100" w:type="dxa"/>
            <w:vAlign w:val="bottom"/>
            <w:shd w:val="clear" w:color="auto" w:fill="CFF0FC"/>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Escrow receivable</w:t>
            </w:r>
          </w:p>
        </w:tc>
        <w:tc>
          <w:tcPr>
            <w:tcW w:w="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FF0FC"/>
            </w:tcBorders>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Total consideration</w:t>
            </w:r>
          </w:p>
        </w:tc>
        <w:tc>
          <w:tcPr>
            <w:tcW w:w="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FF0FC"/>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Less:</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Net carrying value of assets transferred to Medexus</w:t>
            </w: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13,376</w:t>
            </w:r>
          </w:p>
        </w:tc>
        <w:tc>
          <w:tcPr>
            <w:tcW w:w="100" w:type="dxa"/>
            <w:vAlign w:val="bottom"/>
            <w:shd w:val="clear" w:color="auto" w:fill="CFF0FC"/>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Transaction costs</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Minimum Transition Services Agreement ("TSA") fund</w:t>
            </w:r>
          </w:p>
        </w:tc>
        <w:tc>
          <w:tcPr>
            <w:tcW w:w="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FF0FC"/>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Net gain on sale of business</w:t>
            </w: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09"/>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14,338</w:t>
            </w:r>
          </w:p>
        </w:tc>
        <w:tc>
          <w:tcPr>
            <w:tcW w:w="100" w:type="dxa"/>
            <w:vAlign w:val="bottom"/>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purchase agreement included a target net working capital of $9.5 million compared to preliminary net working capital sold of $9.1 million. The difference between the target net working capital and the preliminary working capital was due to Medexus. The parties agreed to defer payment of this amount for a period of six months, during which time, the amount was reduced by the cost of certain transition services performed by Aptevo during the transition service period, as agreed to by both parties (the “Minimum TSA Fund”). At September 30, 2020, we no longer have a future obligation to Medexus related to working capital or the Minimum TSA Fund.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jc w:val="both"/>
        <w:ind w:firstLine="510"/>
        <w:spacing w:after="0" w:line="277" w:lineRule="auto"/>
        <w:rPr>
          <w:sz w:val="20"/>
          <w:szCs w:val="20"/>
          <w:color w:val="auto"/>
        </w:rPr>
      </w:pPr>
      <w:r>
        <w:rPr>
          <w:rFonts w:ascii="Arial" w:cs="Arial" w:eastAsia="Arial" w:hAnsi="Arial"/>
          <w:sz w:val="18"/>
          <w:szCs w:val="18"/>
          <w:color w:val="auto"/>
        </w:rPr>
        <w:t>The following table presents a reconciliation of the carrying amounts of assets and liabilities of Aptevo BioTherapeutics held for sale, net in the unaudited condensed consolidated balance sheet (in thousands):</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8260" w:type="dxa"/>
            <w:vAlign w:val="bottom"/>
          </w:tcPr>
          <w:p>
            <w:pPr>
              <w:ind w:left="378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0"/>
                <w:szCs w:val="20"/>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82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26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6,140</w:t>
            </w:r>
          </w:p>
        </w:tc>
        <w:tc>
          <w:tcPr>
            <w:tcW w:w="120" w:type="dxa"/>
            <w:vAlign w:val="bottom"/>
          </w:tcPr>
          <w:p>
            <w:pPr>
              <w:spacing w:after="0"/>
              <w:rPr>
                <w:sz w:val="19"/>
                <w:szCs w:val="19"/>
                <w:color w:val="auto"/>
              </w:rPr>
            </w:pPr>
          </w:p>
        </w:tc>
      </w:tr>
      <w:tr>
        <w:trPr>
          <w:trHeight w:val="229"/>
        </w:trPr>
        <w:tc>
          <w:tcPr>
            <w:tcW w:w="8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w:t>
            </w: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3,147</w:t>
            </w:r>
          </w:p>
        </w:tc>
        <w:tc>
          <w:tcPr>
            <w:tcW w:w="120" w:type="dxa"/>
            <w:vAlign w:val="bottom"/>
            <w:shd w:val="clear" w:color="auto" w:fill="CFF0FC"/>
          </w:tcPr>
          <w:p>
            <w:pPr>
              <w:spacing w:after="0"/>
              <w:rPr>
                <w:sz w:val="19"/>
                <w:szCs w:val="19"/>
                <w:color w:val="auto"/>
              </w:rPr>
            </w:pPr>
          </w:p>
        </w:tc>
      </w:tr>
      <w:tr>
        <w:trPr>
          <w:trHeight w:val="223"/>
        </w:trPr>
        <w:tc>
          <w:tcPr>
            <w:tcW w:w="82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current assets, held for sale</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16,309</w:t>
            </w:r>
          </w:p>
        </w:tc>
        <w:tc>
          <w:tcPr>
            <w:tcW w:w="120" w:type="dxa"/>
            <w:vAlign w:val="bottom"/>
            <w:tcBorders>
              <w:bottom w:val="single" w:sz="8" w:color="CFF0FC"/>
            </w:tcBorders>
          </w:tcPr>
          <w:p>
            <w:pPr>
              <w:spacing w:after="0"/>
              <w:rPr>
                <w:sz w:val="19"/>
                <w:szCs w:val="19"/>
                <w:color w:val="auto"/>
              </w:rPr>
            </w:pPr>
          </w:p>
        </w:tc>
      </w:tr>
      <w:tr>
        <w:trPr>
          <w:trHeight w:val="223"/>
        </w:trPr>
        <w:tc>
          <w:tcPr>
            <w:tcW w:w="8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260" w:type="dxa"/>
            <w:vAlign w:val="bottom"/>
          </w:tcPr>
          <w:p>
            <w:pPr>
              <w:ind w:left="24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4,420</w:t>
            </w:r>
          </w:p>
        </w:tc>
        <w:tc>
          <w:tcPr>
            <w:tcW w:w="120" w:type="dxa"/>
            <w:vAlign w:val="bottom"/>
          </w:tcPr>
          <w:p>
            <w:pPr>
              <w:spacing w:after="0"/>
              <w:rPr>
                <w:sz w:val="19"/>
                <w:szCs w:val="19"/>
                <w:color w:val="auto"/>
              </w:rPr>
            </w:pPr>
          </w:p>
        </w:tc>
      </w:tr>
      <w:tr>
        <w:trPr>
          <w:trHeight w:val="229"/>
        </w:trPr>
        <w:tc>
          <w:tcPr>
            <w:tcW w:w="8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VAT receivable and deposit</w:t>
            </w: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3,045</w:t>
            </w:r>
          </w:p>
        </w:tc>
        <w:tc>
          <w:tcPr>
            <w:tcW w:w="120" w:type="dxa"/>
            <w:vAlign w:val="bottom"/>
            <w:shd w:val="clear" w:color="auto" w:fill="CFF0FC"/>
          </w:tcPr>
          <w:p>
            <w:pPr>
              <w:spacing w:after="0"/>
              <w:rPr>
                <w:sz w:val="19"/>
                <w:szCs w:val="19"/>
                <w:color w:val="auto"/>
              </w:rPr>
            </w:pPr>
          </w:p>
        </w:tc>
      </w:tr>
      <w:tr>
        <w:trPr>
          <w:trHeight w:val="263"/>
        </w:trPr>
        <w:tc>
          <w:tcPr>
            <w:tcW w:w="82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assets held for sale</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23,774</w:t>
            </w:r>
          </w:p>
        </w:tc>
        <w:tc>
          <w:tcPr>
            <w:tcW w:w="120" w:type="dxa"/>
            <w:vAlign w:val="bottom"/>
            <w:tcBorders>
              <w:bottom w:val="single" w:sz="8" w:color="CFF0FC"/>
            </w:tcBorders>
          </w:tcPr>
          <w:p>
            <w:pPr>
              <w:spacing w:after="0"/>
              <w:rPr>
                <w:sz w:val="22"/>
                <w:szCs w:val="22"/>
                <w:color w:val="auto"/>
              </w:rPr>
            </w:pPr>
          </w:p>
        </w:tc>
      </w:tr>
      <w:tr>
        <w:trPr>
          <w:trHeight w:val="210"/>
        </w:trPr>
        <w:tc>
          <w:tcPr>
            <w:tcW w:w="8260" w:type="dxa"/>
            <w:vAlign w:val="bottom"/>
            <w:shd w:val="clear" w:color="auto" w:fill="CFF0FC"/>
          </w:tcPr>
          <w:p>
            <w:pPr>
              <w:ind w:left="3560"/>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8260" w:type="dxa"/>
            <w:vAlign w:val="bottom"/>
          </w:tcPr>
          <w:p>
            <w:pPr>
              <w:ind w:left="240"/>
              <w:spacing w:after="0"/>
              <w:rPr>
                <w:sz w:val="20"/>
                <w:szCs w:val="20"/>
                <w:color w:val="auto"/>
              </w:rPr>
            </w:pPr>
            <w:r>
              <w:rPr>
                <w:rFonts w:ascii="Arial" w:cs="Arial" w:eastAsia="Arial" w:hAnsi="Arial"/>
                <w:sz w:val="18"/>
                <w:szCs w:val="18"/>
                <w:color w:val="auto"/>
              </w:rPr>
              <w:t>Accounts payable and other accrued liabilities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5,043</w:t>
            </w:r>
          </w:p>
        </w:tc>
        <w:tc>
          <w:tcPr>
            <w:tcW w:w="120" w:type="dxa"/>
            <w:vAlign w:val="bottom"/>
          </w:tcPr>
          <w:p>
            <w:pPr>
              <w:spacing w:after="0"/>
              <w:rPr>
                <w:sz w:val="19"/>
                <w:szCs w:val="19"/>
                <w:color w:val="auto"/>
              </w:rPr>
            </w:pPr>
          </w:p>
        </w:tc>
      </w:tr>
      <w:tr>
        <w:trPr>
          <w:trHeight w:val="229"/>
        </w:trPr>
        <w:tc>
          <w:tcPr>
            <w:tcW w:w="8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Royalties payable</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FF0FC"/>
          </w:tcPr>
          <w:p>
            <w:pPr>
              <w:spacing w:after="0"/>
              <w:rPr>
                <w:sz w:val="19"/>
                <w:szCs w:val="19"/>
                <w:color w:val="auto"/>
              </w:rPr>
            </w:pPr>
          </w:p>
        </w:tc>
      </w:tr>
      <w:tr>
        <w:trPr>
          <w:trHeight w:val="230"/>
        </w:trPr>
        <w:tc>
          <w:tcPr>
            <w:tcW w:w="8260" w:type="dxa"/>
            <w:vAlign w:val="bottom"/>
          </w:tcPr>
          <w:p>
            <w:pPr>
              <w:ind w:left="240"/>
              <w:spacing w:after="0"/>
              <w:rPr>
                <w:sz w:val="20"/>
                <w:szCs w:val="20"/>
                <w:color w:val="auto"/>
              </w:rPr>
            </w:pPr>
            <w:r>
              <w:rPr>
                <w:rFonts w:ascii="Arial" w:cs="Arial" w:eastAsia="Arial" w:hAnsi="Arial"/>
                <w:sz w:val="18"/>
                <w:szCs w:val="18"/>
                <w:color w:val="auto"/>
              </w:rPr>
              <w:t>Accrued payroll</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19"/>
                <w:szCs w:val="19"/>
                <w:color w:val="auto"/>
              </w:rPr>
            </w:pPr>
          </w:p>
        </w:tc>
      </w:tr>
      <w:tr>
        <w:trPr>
          <w:trHeight w:val="229"/>
        </w:trPr>
        <w:tc>
          <w:tcPr>
            <w:tcW w:w="8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FF0FC"/>
          </w:tcPr>
          <w:p>
            <w:pPr>
              <w:spacing w:after="0"/>
              <w:rPr>
                <w:sz w:val="19"/>
                <w:szCs w:val="19"/>
                <w:color w:val="auto"/>
              </w:rPr>
            </w:pPr>
          </w:p>
        </w:tc>
      </w:tr>
      <w:tr>
        <w:trPr>
          <w:trHeight w:val="223"/>
        </w:trPr>
        <w:tc>
          <w:tcPr>
            <w:tcW w:w="826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8,135</w:t>
            </w:r>
          </w:p>
        </w:tc>
        <w:tc>
          <w:tcPr>
            <w:tcW w:w="120" w:type="dxa"/>
            <w:vAlign w:val="bottom"/>
          </w:tcPr>
          <w:p>
            <w:pPr>
              <w:spacing w:after="0"/>
              <w:rPr>
                <w:sz w:val="19"/>
                <w:szCs w:val="19"/>
                <w:color w:val="auto"/>
              </w:rPr>
            </w:pPr>
          </w:p>
        </w:tc>
      </w:tr>
      <w:tr>
        <w:trPr>
          <w:trHeight w:val="20"/>
        </w:trPr>
        <w:tc>
          <w:tcPr>
            <w:tcW w:w="8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following table represents the components attributable to Aptevo BioTherapeutics presented as income (loss) from discontinued operations in the unaudited condensed consolidated statements of operations (in thousands):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380" w:type="dxa"/>
            <w:vAlign w:val="bottom"/>
            <w:gridSpan w:val="5"/>
          </w:tcPr>
          <w:p>
            <w:pPr>
              <w:jc w:val="right"/>
              <w:ind w:right="214"/>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6"/>
          </w:tcPr>
          <w:p>
            <w:pPr>
              <w:ind w:left="140"/>
              <w:spacing w:after="0"/>
              <w:rPr>
                <w:sz w:val="20"/>
                <w:szCs w:val="20"/>
                <w:color w:val="auto"/>
              </w:rPr>
            </w:pPr>
            <w:r>
              <w:rPr>
                <w:rFonts w:ascii="Arial" w:cs="Arial" w:eastAsia="Arial" w:hAnsi="Arial"/>
                <w:sz w:val="14"/>
                <w:szCs w:val="14"/>
                <w:b w:val="1"/>
                <w:bCs w:val="1"/>
                <w:color w:val="auto"/>
              </w:rPr>
              <w:t>For the Nine Months Ended</w:t>
            </w:r>
          </w:p>
        </w:tc>
      </w:tr>
      <w:tr>
        <w:trPr>
          <w:trHeight w:val="171"/>
        </w:trPr>
        <w:tc>
          <w:tcPr>
            <w:tcW w:w="50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September 30,</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02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8"/>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Gain (loss) from operations</w:t>
            </w: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4,161</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22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1,392</w:t>
            </w:r>
          </w:p>
        </w:tc>
        <w:tc>
          <w:tcPr>
            <w:tcW w:w="100" w:type="dxa"/>
            <w:vAlign w:val="bottom"/>
            <w:shd w:val="clear" w:color="auto" w:fill="CFF0FC"/>
          </w:tcPr>
          <w:p>
            <w:pPr>
              <w:spacing w:after="0"/>
              <w:rPr>
                <w:sz w:val="19"/>
                <w:szCs w:val="19"/>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Gain on sale of Aptevo BioTherapeutics</w:t>
            </w:r>
          </w:p>
        </w:tc>
        <w:tc>
          <w:tcPr>
            <w:tcW w:w="7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14,338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Deferred payment from Medexus</w:t>
            </w:r>
          </w:p>
        </w:tc>
        <w:tc>
          <w:tcPr>
            <w:tcW w:w="7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700" w:type="dxa"/>
            <w:vAlign w:val="bottom"/>
            <w:tcBorders>
              <w:top w:val="single" w:sz="8" w:color="auto"/>
              <w:bottom w:val="single" w:sz="8" w:color="auto"/>
            </w:tcBorders>
          </w:tcPr>
          <w:p>
            <w:pPr>
              <w:jc w:val="right"/>
              <w:ind w:right="54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4,161</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13,055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Medexus reported their second quarter 2020 net IXINITY sales to Aptevo in July and made a deferred payment to Aptevo of $0.2 million in August. As such, we recorded the deferred payment amount related to Medexus’ second quarter sales of IXINITY as a gain when collected. Additionally, Medexus communicated their third quarter 2020 net IXINITY sales to Aptevo in October and expects to make a deferred payment, within 45 days after quarter-end per the LLC Purchase Agreement, to Aptevo of approximately $0.1 million. We will record the deferred payment amount related to Medexus’ third quarter sales of IXINITY as a gain when collected in the fourth quarter of 2020.</w:t>
      </w:r>
    </w:p>
    <w:p>
      <w:pPr>
        <w:spacing w:after="0" w:line="33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3. Collaboration Agreements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Alligator</w:t>
      </w:r>
    </w:p>
    <w:p>
      <w:pPr>
        <w:spacing w:after="0" w:line="11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On July 20, 2017, our wholly owned subsidiary Aptevo Research and Development LLC (Aptevo R&amp;D), entered into a collaboration and option agreement (Collaboration Agreement) with Alligator Bioscience AB (Alligator), pursuant to which Aptevo and Alligator will collaboratively develop ALG.APV-527, a lead bispecific antibody candidate simultaneously targeting 4-1BB (CD137), a member of the TNFR superfamily of a costimulatory receptor found on activated T-cells, and 5T4, a tumor antigen widely overexpressed in a number of different types of cancer.</w:t>
      </w:r>
    </w:p>
    <w:p>
      <w:pPr>
        <w:spacing w:after="0" w:line="198"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Alligator and Aptevo have initiated discussions with potential partners for the clinical development and commercialization of ALG.APV-527. The parties, Alligator and Aptevo, have delayed moving ALG.APV-527 into the clinic to focus on partnering efforts.</w:t>
      </w:r>
    </w:p>
    <w:p>
      <w:pPr>
        <w:spacing w:after="0" w:line="170"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We assessed the arrangement in accordance with ASC 606 and concluded that the contract counterparty, Alligator, is not a customer. As such the arrangement is not in the scope of ASC 606 and is instead treated as a collaborative agreement under ASC 808. ASC 808 requires that if the counterparty in a collaborative arrangement is a customer for goods and services that is a distinct unit, the transaction should be considered as revenues from customers. We concluded that because the Collaboration Agreement with Alligator is a cost sharing agreement, there is no revenue.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jc w:val="both"/>
        <w:ind w:firstLine="510"/>
        <w:spacing w:after="0" w:line="263" w:lineRule="auto"/>
        <w:rPr>
          <w:sz w:val="20"/>
          <w:szCs w:val="20"/>
          <w:color w:val="auto"/>
        </w:rPr>
      </w:pPr>
      <w:r>
        <w:rPr>
          <w:rFonts w:ascii="Arial" w:cs="Arial" w:eastAsia="Arial" w:hAnsi="Arial"/>
          <w:sz w:val="18"/>
          <w:szCs w:val="18"/>
          <w:color w:val="auto"/>
        </w:rPr>
        <w:t>For the three and nine months ended September 30, 2020, we recorded an immaterial amount in research and development expense, compared to a research and development expense of $1.0 million and $1.6 million, respectively, related to the collaboration arrangement for the three and nine months ended September 30, 2019.</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4. Fair Value Measurements</w:t>
      </w:r>
    </w:p>
    <w:p>
      <w:pPr>
        <w:spacing w:after="0" w:line="121"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The Company’s estimates of fair value for financial assets and financial liabilities are based on the framework established in the fair value accounting guidance. The framework is based on the inputs used in valuation, gives the highest priority to quoted prices in active markets and requires that observable inputs be used in the valuations when available. The disclosure of fair value estimates in the fair value accounting guidance hierarchy is based on whether the significant inputs into the valuation are observable. In determining the level of the hierarchy in which the estimate is disclosed, the highest priority is given to unadjusted quoted prices in active markets and the lowest priority to unobservable inputs that reflect the Company’s significant market assumptions. The level in the fair value hierarchy within which the fair value measurement is reported is based on the lowest level input that is significant to the measurement in its entirety. The three levels of the hierarchy are as follows:</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Quoted prices in active markets for identical assets and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Inputs other than quoted prices in active markets, that are either directly or indirectly observable; and,</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Level 3— Unobservable inputs that are supported by little or no market activity, and that are significant to the fair value of the assets or liabilities.</w:t>
      </w:r>
    </w:p>
    <w:p>
      <w:pPr>
        <w:spacing w:after="0" w:line="28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At September 30, 2020 and December 31, 2019, we had $23.4 million and $12.5 million in money market funds, respectively. Money market funds are level one balances as they are valued at fair value, which is the closing price reported by the fund sponsor from an actively traded exchange. At September 30, 2020 and December 31, 2019, we did not have any level two or level three assets or liabilities.</w:t>
      </w:r>
    </w:p>
    <w:p>
      <w:pPr>
        <w:spacing w:after="0" w:line="3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5. Cash, Cash Equivalents, and Restricted Cash</w:t>
      </w:r>
    </w:p>
    <w:p>
      <w:pPr>
        <w:spacing w:after="0" w:line="13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Company’s cash equivalents are highly liquid investments with a maturity of 90 days or less at the date of purchase and include time deposits and investments in money market funds. Restricted cash, current includes $2.6 million securing letters of credit.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our cash, cash equivalents and restricted cash as of September 30, 2020 and December 31, 2019:</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4,954</w:t>
            </w:r>
          </w:p>
        </w:tc>
        <w:tc>
          <w:tcPr>
            <w:tcW w:w="120" w:type="dxa"/>
            <w:vAlign w:val="bottom"/>
            <w:shd w:val="clear" w:color="auto" w:fill="CFF0FC"/>
          </w:tcPr>
          <w:p>
            <w:pPr>
              <w:spacing w:after="0"/>
              <w:rPr>
                <w:sz w:val="19"/>
                <w:szCs w:val="19"/>
                <w:color w:val="auto"/>
              </w:rPr>
            </w:pP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Cash equivalents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23,377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7,494</w:t>
            </w:r>
          </w:p>
        </w:tc>
        <w:tc>
          <w:tcPr>
            <w:tcW w:w="120" w:type="dxa"/>
            <w:vAlign w:val="bottom"/>
          </w:tcPr>
          <w:p>
            <w:pPr>
              <w:spacing w:after="0"/>
              <w:rPr>
                <w:sz w:val="19"/>
                <w:szCs w:val="19"/>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current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Restricted cash, long-term</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7,498</w:t>
            </w:r>
          </w:p>
        </w:tc>
        <w:tc>
          <w:tcPr>
            <w:tcW w:w="120" w:type="dxa"/>
            <w:vAlign w:val="bottom"/>
          </w:tcPr>
          <w:p>
            <w:pPr>
              <w:spacing w:after="0"/>
              <w:rPr>
                <w:sz w:val="19"/>
                <w:szCs w:val="19"/>
                <w:color w:val="auto"/>
              </w:rPr>
            </w:pPr>
          </w:p>
        </w:tc>
      </w:tr>
      <w:tr>
        <w:trPr>
          <w:trHeight w:val="223"/>
        </w:trPr>
        <w:tc>
          <w:tcPr>
            <w:tcW w:w="6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cash equivalents, and restricted cash</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27,497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19,946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8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6. Debt</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Credit Agreement</w:t>
      </w:r>
    </w:p>
    <w:p>
      <w:pPr>
        <w:spacing w:after="0" w:line="135"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On August 4, 2016, we entered into a Credit and Security Agreement (Credit Agreement), with MidCap Financial Trust. On February 28, 2020, we repaid the entire amount outstanding under the Credit and Security Agreement with MidCap Financial Trust from the proceeds of the sale of Aptevo BioTherapeutics to Medexus. In addition to the outstanding principal of $20 million, we paid $2.1 million in an end of facility fee, accrued interest, legal fees and prepayment fees. We recorded an adjustment of $0.1 million related to unamortized loan initiation fees and a $2.1 million loss on extinguishment of debt in the first quarter of 2020.</w:t>
      </w:r>
    </w:p>
    <w:p>
      <w:pPr>
        <w:spacing w:after="0" w:line="188"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On August 5, 2020, we entered into a new Credit and Security Agreement (Credit Agreement), with MidCap Financial Trust. The Credit Agreement provided us with up to $25 million of available borrowing capacity. The full $25 million was drawn on the closing date of the Credit Agreement. The MidCap loan has a 48 month term, is interest-only for the first 18 months, with straight-line amortization for the remaining 30 months and bears interest at a rate of one month LIBOR plus 6.25% per annum, subject to a 1.50% LIBOR floor and a 2.50% LIBOR cap. The loan includes additional repayment provisions should either or both of the royalties or milestones related to IXINITY or royalties related to RUXIENCE be sold during the term of the loan.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jc w:val="both"/>
        <w:ind w:firstLine="510"/>
        <w:spacing w:after="0" w:line="270" w:lineRule="auto"/>
        <w:rPr>
          <w:sz w:val="20"/>
          <w:szCs w:val="20"/>
          <w:color w:val="auto"/>
        </w:rPr>
      </w:pPr>
      <w:r>
        <w:rPr>
          <w:rFonts w:ascii="Arial" w:cs="Arial" w:eastAsia="Arial" w:hAnsi="Arial"/>
          <w:sz w:val="17"/>
          <w:szCs w:val="17"/>
          <w:color w:val="auto"/>
        </w:rPr>
        <w:t>On November 6, 2020, Tang Capital Partners LP, Tang Capital Management, LLC and Kevin Tang (collectively, “Tang”) jointly filed a statement on Schedule 13D to report that Tang had purchased 1,760,000 shares of the Company’s common stock, representing approximately 54% of the Company’s issued and outstanding shares of Common Stock. This acquisition of voting stock triggered a change in control, resulting in an Event of Default under Section 10.1(a)(ii) of the Credit Agreement. On November 10, 2020, the Company obtained a waiver from MidCap Financial Trust pursuant to which, among other things, MidCap Financial Trust waived the event of default arising from the acquisition of voting stock by Tang and MidCap Financial Trust and the Company agreed that an immediate event of default under the Credit Agreement will be deemed to have occurred in the event that (a) a majority of the seats on the Company’s board of directors are occupied by persons who were neither (i) nominated by the Company’s board of directors nor (ii) appointed by the directors so nominated, and (b) Tang has appointed the majority of the Company’s board of directors. No other events of default have occurred with respect to the Company’s credit agreement. See Note 12 – Subsequent Events.</w:t>
      </w:r>
    </w:p>
    <w:p>
      <w:pPr>
        <w:spacing w:after="0" w:line="18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Additionally, this facility is subject to a subjective acceleration clause that could be invoked by the lender upon the occurrence of any event the lender deems to have a material adverse effect on our ability to repay the lender.</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7. Leases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Office Space Lease – Operating</w:t>
      </w:r>
    </w:p>
    <w:p>
      <w:pPr>
        <w:spacing w:after="0" w:line="131"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We have an operating lease related to our office and laboratory space in Seattle, Washington. This lease was amended and extended in March 2019. The term of the amended lease is through April 2030 and we have two options to extend the lease term, each by five years, as well as a one-time option to terminate the lease in April 2023. The lease was further amended, effective August 2019, to reduce the square footage of our rented area.</w:t>
      </w:r>
    </w:p>
    <w:p>
      <w:pPr>
        <w:spacing w:after="0" w:line="176"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We recorded a right-of-use asset for this lease on January 1, 2019, of $1.2 million which reflects the amount of the remaining lease liability, less the balance of accrued and deferred rent, and net of the unamortized balance of tenant incentives. We also recorded a lease liability of $1.9 million which reflects the present value of the remaining lease payments, discounted using our incremental borrowing rate of 16.95% for the remaining term of the lease.</w:t>
      </w:r>
    </w:p>
    <w:p>
      <w:pPr>
        <w:spacing w:after="0" w:line="176"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In March 2019, we recorded an increase to our right-of-use asset for this lease amendment of $3.2 million, which reflects the amount of the remaining lease liability through April 30, 2023, less the balance of accrued and deferred rent, and net of the unamortized balance of tenant incentives. In March 2019, we also recorded an increase to our lease liability for this lease amendment of $3.2 million which reflects the present value of the remaining lease payments through April 30, 2023, discounted using our incremental borrowing rate of 14.45% for the remaining term of the lease on the date of amendment.</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the three and nine months ended September 30, 2020, we recorded $0.2 million and $0.5 million, respectively, related to variable expenses.</w:t>
      </w:r>
    </w:p>
    <w:p>
      <w:pPr>
        <w:spacing w:after="0" w:line="3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Equipment Leases – Operating</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As of September 30, 2020, we have operating leases for one piece of lab equipment and four copiers in our Seattle, Washington headquarters. The future expense for these leases will be straight-line and will include any variable expenses that arise.</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Equipment Lease – Financing</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As of September 30, 2020, we had one equipment lease classified as a financing lease as the lease transfers ownership of the underlying asset to us at the end of the lease term. The lease has no remaining expense obligation. There were no financing lease payments in the three months or nine months ended September 30,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color w:val="auto"/>
        </w:rPr>
        <w:t>Components of lease expense:</w:t>
      </w:r>
    </w:p>
    <w:p>
      <w:pPr>
        <w:spacing w:after="0" w:line="21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For the Three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47"/>
              <w:spacing w:after="0"/>
              <w:rPr>
                <w:sz w:val="20"/>
                <w:szCs w:val="20"/>
                <w:color w:val="auto"/>
              </w:rPr>
            </w:pPr>
            <w:r>
              <w:rPr>
                <w:rFonts w:ascii="Arial" w:cs="Arial" w:eastAsia="Arial" w:hAnsi="Arial"/>
                <w:sz w:val="14"/>
                <w:szCs w:val="14"/>
                <w:b w:val="1"/>
                <w:bCs w:val="1"/>
                <w:color w:val="auto"/>
                <w:w w:val="95"/>
              </w:rPr>
              <w:t>For the Nine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6"/>
              </w:rPr>
              <w:t>For the Three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For the Nine</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47"/>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tcPr>
          <w:p>
            <w:pPr>
              <w:jc w:val="center"/>
              <w:ind w:right="27"/>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8"/>
                <w:szCs w:val="18"/>
                <w:color w:val="auto"/>
              </w:rPr>
            </w:pPr>
          </w:p>
        </w:tc>
        <w:tc>
          <w:tcPr>
            <w:tcW w:w="102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center"/>
              <w:ind w:right="47"/>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center"/>
              <w:ind w:left="180"/>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1,185</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Finance lease cost:</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9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Amortization of right-of-use assets</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900" w:type="dxa"/>
            <w:vAlign w:val="bottom"/>
            <w:tcBorders>
              <w:bottom w:val="single" w:sz="8" w:color="CFF0FC"/>
            </w:tcBorders>
            <w:gridSpan w:val="2"/>
          </w:tcPr>
          <w:p>
            <w:pPr>
              <w:ind w:left="120"/>
              <w:spacing w:after="0"/>
              <w:rPr>
                <w:sz w:val="20"/>
                <w:szCs w:val="20"/>
                <w:color w:val="auto"/>
              </w:rPr>
            </w:pPr>
            <w:r>
              <w:rPr>
                <w:rFonts w:ascii="Arial" w:cs="Arial" w:eastAsia="Arial" w:hAnsi="Arial"/>
                <w:sz w:val="18"/>
                <w:szCs w:val="18"/>
                <w:color w:val="auto"/>
              </w:rPr>
              <w:t>Interest on lease liabilities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9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1,191</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spacing w:after="0"/>
              <w:rPr>
                <w:sz w:val="20"/>
                <w:szCs w:val="20"/>
                <w:color w:val="auto"/>
              </w:rPr>
            </w:pPr>
            <w:r>
              <w:rPr>
                <w:rFonts w:ascii="Arial" w:cs="Arial" w:eastAsia="Arial" w:hAnsi="Arial"/>
                <w:sz w:val="18"/>
                <w:szCs w:val="18"/>
                <w:color w:val="auto"/>
              </w:rPr>
              <w:t>Right of use assets acquired under operating leases:</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9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5"/>
          </w:tcPr>
          <w:p>
            <w:pPr>
              <w:ind w:left="140"/>
              <w:spacing w:after="0"/>
              <w:rPr>
                <w:sz w:val="20"/>
                <w:szCs w:val="20"/>
                <w:color w:val="auto"/>
              </w:rPr>
            </w:pPr>
            <w:r>
              <w:rPr>
                <w:rFonts w:ascii="Arial" w:cs="Arial" w:eastAsia="Arial" w:hAnsi="Arial"/>
                <w:sz w:val="14"/>
                <w:szCs w:val="14"/>
                <w:b w:val="1"/>
                <w:bCs w:val="1"/>
                <w:color w:val="auto"/>
              </w:rPr>
              <w:t>As of September 30,</w:t>
            </w:r>
          </w:p>
        </w:tc>
        <w:tc>
          <w:tcPr>
            <w:tcW w:w="140" w:type="dxa"/>
            <w:vAlign w:val="bottom"/>
          </w:tcPr>
          <w:p>
            <w:pPr>
              <w:spacing w:after="0"/>
              <w:rPr>
                <w:sz w:val="24"/>
                <w:szCs w:val="24"/>
                <w:color w:val="auto"/>
              </w:rPr>
            </w:pPr>
          </w:p>
        </w:tc>
        <w:tc>
          <w:tcPr>
            <w:tcW w:w="1660" w:type="dxa"/>
            <w:vAlign w:val="bottom"/>
            <w:gridSpan w:val="5"/>
          </w:tcPr>
          <w:p>
            <w:pPr>
              <w:ind w:left="14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5"/>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55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9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Operating leases, excluding Seattle office lease</w:t>
            </w: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0"/>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9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Seattle office lease, including amendment</w:t>
            </w:r>
          </w:p>
        </w:tc>
        <w:tc>
          <w:tcPr>
            <w:tcW w:w="10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9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operating leases</w:t>
            </w:r>
          </w:p>
        </w:tc>
        <w:tc>
          <w:tcPr>
            <w:tcW w:w="1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3,129</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long term portion of the lease liabilities included in the amounts above is $2.6 million, and the remainder of our lease liabilities are included in other current liabilities on our condensed consolidated balance sheets.</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 payments: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center"/>
              <w:ind w:right="4"/>
              <w:spacing w:after="0"/>
              <w:rPr>
                <w:sz w:val="20"/>
                <w:szCs w:val="20"/>
                <w:color w:val="auto"/>
              </w:rPr>
            </w:pPr>
            <w:r>
              <w:rPr>
                <w:rFonts w:ascii="Arial" w:cs="Arial" w:eastAsia="Arial" w:hAnsi="Arial"/>
                <w:sz w:val="14"/>
                <w:szCs w:val="14"/>
                <w:b w:val="1"/>
                <w:bCs w:val="1"/>
                <w:color w:val="auto"/>
                <w:w w:val="94"/>
              </w:rPr>
              <w:t>For the Nine Months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For the Nine Months</w:t>
            </w:r>
          </w:p>
        </w:tc>
      </w:tr>
      <w:tr>
        <w:trPr>
          <w:trHeight w:val="186"/>
        </w:trPr>
        <w:tc>
          <w:tcPr>
            <w:tcW w:w="6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center"/>
              <w:ind w:right="24"/>
              <w:spacing w:after="0"/>
              <w:rPr>
                <w:sz w:val="20"/>
                <w:szCs w:val="20"/>
                <w:color w:val="auto"/>
              </w:rPr>
            </w:pPr>
            <w:r>
              <w:rPr>
                <w:rFonts w:ascii="Arial" w:cs="Arial" w:eastAsia="Arial" w:hAnsi="Arial"/>
                <w:sz w:val="14"/>
                <w:szCs w:val="14"/>
                <w:b w:val="1"/>
                <w:bCs w:val="1"/>
                <w:color w:val="auto"/>
                <w:w w:val="91"/>
              </w:rPr>
              <w:t>Ended September 30,</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Ended September 30,</w:t>
            </w:r>
          </w:p>
        </w:tc>
      </w:tr>
      <w:tr>
        <w:trPr>
          <w:trHeight w:val="215"/>
        </w:trPr>
        <w:tc>
          <w:tcPr>
            <w:tcW w:w="6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FF0FC"/>
            </w:tcBorders>
          </w:tcPr>
          <w:p>
            <w:pPr>
              <w:spacing w:after="0"/>
              <w:rPr>
                <w:sz w:val="18"/>
                <w:szCs w:val="18"/>
                <w:color w:val="auto"/>
              </w:rPr>
            </w:pPr>
          </w:p>
        </w:tc>
      </w:tr>
      <w:tr>
        <w:trPr>
          <w:trHeight w:val="223"/>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For operating leases</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w:t>
            </w:r>
          </w:p>
        </w:tc>
        <w:tc>
          <w:tcPr>
            <w:tcW w:w="12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September 30, 2020, the weighted average remaining lease term and weighted discount rate for operating leases was 2.5 years and 14.53%.</w:t>
      </w:r>
    </w:p>
    <w:p>
      <w:pPr>
        <w:spacing w:after="0" w:line="35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8. Reverse Stock Split</w:t>
      </w:r>
    </w:p>
    <w:p>
      <w:pPr>
        <w:spacing w:after="0" w:line="135"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On March 11, 2020, we held a Special Meeting of Stockholders at which our stockholders approved a series of alternate amendments to the Amended and Restated Certificate of Incorporation to effect, at the option of our Board of Directors, a reverse split of Aptevo’s common stock at a ratio ranging from 1-for-2 to 1-for-20, inclusive, with the effectiveness of one of such amendments and the abandonment of the other amendments, or the abandonment of all amendments, to be determined by the Board in its sole discretion following the Special Meeting. The specific 1-for-14 reverse split ratio was subsequently approved by the Board on March 23, 2020. On March 26, 2020, the Company filed a Certificate of Amendment of Amended and Restated Certificate of Incorporation (the “Amendment”) with the Secretary of State of the State of Delaware to effect a 1-for-14 reverse stock split of the Company’s outstanding common stock.</w:t>
      </w:r>
    </w:p>
    <w:p>
      <w:pPr>
        <w:spacing w:after="0" w:line="23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No fractional shares were issued as a result of the reverse stock split. Stockholders of record who would otherwise be entitled to receive a fractional share received a cash payment in lieu thereof.</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adjusted all common stock and stock equivalent figures retroactively in this Form 10-Q for all periods presented to reflect the reverse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split.</w:t>
      </w:r>
    </w:p>
    <w:p>
      <w:pPr>
        <w:spacing w:after="0" w:line="31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9. Net Income (Loss) per Share</w:t>
      </w:r>
    </w:p>
    <w:p>
      <w:pPr>
        <w:spacing w:after="0" w:line="12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Basic net loss per share is calculated by dividing the net loss by the weighted average number of common shares outstanding for the period. Diluted net loss per share is computed by dividing the net loss by the weighted average number of common share equivalents outstanding for the period using the as-if converted method. For the purpose of this calculation, warrants, stock options and restricted stock units (RSUs) are only included in the calculation of diluted net income per share when their effect is dilutive.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 w:name="page14"/>
    <w:bookmarkEnd w:id="13"/>
    <w:p>
      <w:pPr>
        <w:jc w:val="both"/>
        <w:ind w:firstLine="510"/>
        <w:spacing w:after="0" w:line="257" w:lineRule="auto"/>
        <w:rPr>
          <w:sz w:val="20"/>
          <w:szCs w:val="20"/>
          <w:color w:val="auto"/>
        </w:rPr>
      </w:pPr>
      <w:r>
        <w:rPr>
          <w:rFonts w:ascii="Arial" w:cs="Arial" w:eastAsia="Arial" w:hAnsi="Arial"/>
          <w:sz w:val="18"/>
          <w:szCs w:val="18"/>
          <w:color w:val="auto"/>
        </w:rPr>
        <w:t>We utilize the control number concept in the computation of diluted earnings per share to determine whether potential common stock instruments are dilutive. The control number used is loss from continuing operations or income from discontinued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 Therefore, no dilutive effect has been recognized in the calculation of income from discontinued operations per share.</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Common stock equivalents include warrants, stock options and unvested RSUs.</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presents the computation of basic and diluted net loss per share (in thousands, except share and per share amounts):</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For the Three Months Ended</w:t>
            </w:r>
          </w:p>
        </w:tc>
        <w:tc>
          <w:tcPr>
            <w:tcW w:w="180" w:type="dxa"/>
            <w:vAlign w:val="bottom"/>
          </w:tcPr>
          <w:p>
            <w:pPr>
              <w:spacing w:after="0"/>
              <w:rPr>
                <w:sz w:val="14"/>
                <w:szCs w:val="14"/>
                <w:color w:val="auto"/>
              </w:rPr>
            </w:pPr>
          </w:p>
        </w:tc>
        <w:tc>
          <w:tcPr>
            <w:tcW w:w="22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For the Nine Months Ended</w:t>
            </w:r>
          </w:p>
        </w:tc>
      </w:tr>
      <w:tr>
        <w:trPr>
          <w:trHeight w:val="171"/>
        </w:trPr>
        <w:tc>
          <w:tcPr>
            <w:tcW w:w="5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r>
      <w:tr>
        <w:trPr>
          <w:trHeight w:val="156"/>
        </w:trPr>
        <w:tc>
          <w:tcPr>
            <w:tcW w:w="52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loss from continuing operations</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(23,752)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(34,665)</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from discontinued operations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5,160</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13,055</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w:t>
            </w:r>
          </w:p>
        </w:tc>
        <w:tc>
          <w:tcPr>
            <w:tcW w:w="100" w:type="dxa"/>
            <w:vAlign w:val="bottom"/>
            <w:tcBorders>
              <w:bottom w:val="single" w:sz="8" w:color="CFF0FC"/>
            </w:tcBorders>
          </w:tcPr>
          <w:p>
            <w:pPr>
              <w:spacing w:after="0"/>
              <w:rPr>
                <w:sz w:val="19"/>
                <w:szCs w:val="19"/>
                <w:color w:val="auto"/>
              </w:rPr>
            </w:pP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(6,791)</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(6,924)</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(10,697)</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(32,274)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income (loss) per share:</w:t>
            </w: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from continuing operations</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Borders>
              <w:bottom w:val="single" w:sz="8" w:color="CFF0FC"/>
            </w:tcBorders>
          </w:tcPr>
          <w:p>
            <w:pPr>
              <w:spacing w:after="0"/>
              <w:rPr>
                <w:sz w:val="19"/>
                <w:szCs w:val="19"/>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income from discontinued operations</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FF0FC"/>
          </w:tcPr>
          <w:p>
            <w:pPr>
              <w:spacing w:after="0"/>
              <w:rPr>
                <w:sz w:val="19"/>
                <w:szCs w:val="19"/>
                <w:color w:val="auto"/>
              </w:rPr>
            </w:pPr>
          </w:p>
        </w:tc>
      </w:tr>
      <w:tr>
        <w:trPr>
          <w:trHeight w:val="263"/>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Basic and diluted net loss per basic share</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Borders>
              <w:bottom w:val="single" w:sz="8" w:color="CFF0FC"/>
            </w:tcBorders>
          </w:tcPr>
          <w:p>
            <w:pPr>
              <w:spacing w:after="0"/>
              <w:rPr>
                <w:sz w:val="22"/>
                <w:szCs w:val="22"/>
                <w:color w:val="auto"/>
              </w:rPr>
            </w:pPr>
          </w:p>
        </w:tc>
      </w:tr>
      <w:tr>
        <w:trPr>
          <w:trHeight w:val="196"/>
        </w:trPr>
        <w:tc>
          <w:tcPr>
            <w:tcW w:w="52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Weighted-average shares used to compute per</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52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share calculations</w:t>
            </w:r>
          </w:p>
        </w:tc>
        <w:tc>
          <w:tcPr>
            <w:tcW w:w="1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3,232,811</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3,226,419</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3,233,257</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2,810,141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following table represents all potentially dilutive shares, which were all anti-dilutive, and therefore excluded from the calculation of diluted net loss per share:</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1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95"/>
              </w:rPr>
              <w:t>As of September 30,</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940" w:type="dxa"/>
            <w:vAlign w:val="bottom"/>
            <w:gridSpan w:val="2"/>
            <w:vMerge w:val="continue"/>
          </w:tcPr>
          <w:p>
            <w:pPr>
              <w:spacing w:after="0"/>
              <w:rPr>
                <w:sz w:val="13"/>
                <w:szCs w:val="13"/>
                <w:color w:val="auto"/>
              </w:rPr>
            </w:pPr>
          </w:p>
        </w:tc>
        <w:tc>
          <w:tcPr>
            <w:tcW w:w="1400" w:type="dxa"/>
            <w:vAlign w:val="bottom"/>
          </w:tcPr>
          <w:p>
            <w:pPr>
              <w:jc w:val="right"/>
              <w:ind w:right="477"/>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jc w:val="right"/>
              <w:ind w:right="475"/>
              <w:spacing w:after="0" w:line="155"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Warrants</w:t>
            </w:r>
          </w:p>
        </w:tc>
        <w:tc>
          <w:tcPr>
            <w:tcW w:w="1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1,571</w:t>
            </w:r>
          </w:p>
        </w:tc>
        <w:tc>
          <w:tcPr>
            <w:tcW w:w="26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gridSpan w:val="2"/>
          </w:tcPr>
          <w:p>
            <w:pPr>
              <w:spacing w:after="0"/>
              <w:rPr>
                <w:sz w:val="20"/>
                <w:szCs w:val="20"/>
                <w:color w:val="auto"/>
              </w:rPr>
            </w:pPr>
            <w:r>
              <w:rPr>
                <w:rFonts w:ascii="Arial" w:cs="Arial" w:eastAsia="Arial" w:hAnsi="Arial"/>
                <w:sz w:val="18"/>
                <w:szCs w:val="18"/>
                <w:color w:val="auto"/>
              </w:rPr>
              <w:t>Outstanding options to purchase common stock</w:t>
            </w:r>
          </w:p>
        </w:tc>
        <w:tc>
          <w:tcPr>
            <w:tcW w:w="1400" w:type="dxa"/>
            <w:vAlign w:val="bottom"/>
          </w:tcPr>
          <w:p>
            <w:pPr>
              <w:jc w:val="right"/>
              <w:spacing w:after="0"/>
              <w:rPr>
                <w:sz w:val="20"/>
                <w:szCs w:val="20"/>
                <w:color w:val="auto"/>
              </w:rPr>
            </w:pPr>
            <w:r>
              <w:rPr>
                <w:rFonts w:ascii="Arial" w:cs="Arial" w:eastAsia="Arial" w:hAnsi="Arial"/>
                <w:sz w:val="18"/>
                <w:szCs w:val="18"/>
                <w:color w:val="auto"/>
              </w:rPr>
              <w:t>230</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Unvested RSUs</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10. Equity</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C</w:t>
      </w:r>
      <w:r>
        <w:rPr>
          <w:rFonts w:ascii="Arial" w:cs="Arial" w:eastAsia="Arial" w:hAnsi="Arial"/>
          <w:sz w:val="18"/>
          <w:szCs w:val="18"/>
          <w:i w:val="1"/>
          <w:iCs w:val="1"/>
          <w:u w:val="single" w:color="auto"/>
          <w:color w:val="auto"/>
        </w:rPr>
        <w:t>ommon Stock</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March 11, 2019, we completed a public offering of common stock and warrants, as follows:</w:t>
      </w:r>
    </w:p>
    <w:p>
      <w:pPr>
        <w:spacing w:after="0" w:line="117" w:lineRule="exact"/>
        <w:rPr>
          <w:sz w:val="20"/>
          <w:szCs w:val="20"/>
          <w:color w:val="auto"/>
        </w:rPr>
      </w:pPr>
    </w:p>
    <w:p>
      <w:pPr>
        <w:ind w:left="1000" w:hanging="493"/>
        <w:spacing w:after="0" w:line="308"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for a combined public offering price of $14.00 per share of common stock and related warrants, 1,417,857 shares of common stock and related warrants with a 5-year life to purchase up to 1,417,857 shares of common stock at an exercise price of $18.20 per share,</w:t>
      </w:r>
    </w:p>
    <w:p>
      <w:pPr>
        <w:spacing w:after="0" w:line="51" w:lineRule="exact"/>
        <w:rPr>
          <w:rFonts w:ascii="Arial" w:cs="Arial" w:eastAsia="Arial" w:hAnsi="Arial"/>
          <w:sz w:val="17"/>
          <w:szCs w:val="17"/>
          <w:color w:val="auto"/>
        </w:rPr>
      </w:pPr>
    </w:p>
    <w:p>
      <w:pPr>
        <w:jc w:val="both"/>
        <w:ind w:left="1000" w:hanging="493"/>
        <w:spacing w:after="0" w:line="311"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a combined public offering price of $13.86 per pre-funded warrant and related warrant, pre-funded warrants with a 10-year life to purchase up to 153,571 shares of common stock at an exercise price of $0.14 per share and related warrants with a 5-year life to purchase up to 153,571 shares of common stock at an exercise price of $18.20 per share. These pre-funded warrants were exercised on March 21, 2019.</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received net proceeds of $20.2 million, net of transaction costs, as a result of this offering.</w:t>
      </w:r>
    </w:p>
    <w:p>
      <w:pPr>
        <w:spacing w:after="0" w:line="25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For the three months ended March 31, 2019, we issued 6,138 shares of common stock due to the vesting of RSUs. In addition, pursuant to our purchase agreement with Lincoln Park, we issued 13,991 of commitment shares in a non-cash transaction during the three months ended March 31, 2019. There have been no RSUs granted or vested in the nine months ended September 30, 2020.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i w:val="1"/>
          <w:iCs w:val="1"/>
          <w:u w:val="single" w:color="auto"/>
          <w:color w:val="auto"/>
        </w:rPr>
        <w:t>Equity Distribution Agreement</w:t>
      </w:r>
    </w:p>
    <w:p>
      <w:pPr>
        <w:spacing w:after="0" w:line="131"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On November 9, 2017, we entered into an Equity Distribution Agreement (“the Equity Distribution Agreement”) with Piper Sandler. The Equity Distribution Agreement provides that, upon the terms and subject to the conditions set forth therein, we may issue and sell through Piper Sandler, acting as sales agent, shares of our common stock, $0.001 par value per share having an aggregate offering price of up to $17.5 million. We have no obligation to sell any such shares under the Equity Distribution Agreement. The sale of such shares of common stock by Piper Sandler will be effected pursuant to a Registration Statement on Form S-3 which we filed on November 9, 2017. We have issued no shares under the Equity Distribution Agreement in 2020.</w:t>
      </w:r>
    </w:p>
    <w:p>
      <w:pPr>
        <w:spacing w:after="0" w:line="350"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C</w:t>
      </w:r>
      <w:r>
        <w:rPr>
          <w:rFonts w:ascii="Arial" w:cs="Arial" w:eastAsia="Arial" w:hAnsi="Arial"/>
          <w:sz w:val="18"/>
          <w:szCs w:val="18"/>
          <w:i w:val="1"/>
          <w:iCs w:val="1"/>
          <w:u w:val="single" w:color="auto"/>
          <w:color w:val="auto"/>
        </w:rPr>
        <w:t>onverted Equity Awards Incentive Plan</w:t>
      </w:r>
    </w:p>
    <w:p>
      <w:pPr>
        <w:spacing w:after="0" w:line="117"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In connection with the spin-off from Emergent BioSolutions Inc. (Emergent) in August 2016, we adopted the Converted Equity Awards Incentive Plan (“Converted Plan”). Under the Converted Plan, outstanding equity awards of Emergent held by Aptevo employees were converted into or replaced with equity awards of Aptevo (“Conversion Awards”) and were adjusted to maintain the economic value before and after the distribution date, using the relative fair market value of the Emergent and Aptevo common stock based on the closing prices as of August 1, 2016. A total of 0.1 million shares of Aptevo common stock have been authorized for issuance under the Converted Plan. Options issued as Conversion Awards were priced according to the Converted Plan. RSUs issued as part of the Converted Plan provide for the issuance of a share of Aptevo’s stock at no cost to the holder.</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2016 Stock Incentive Plan</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On August 1, 2016, the Company adopted the 2016 Stock Incentive Plan (“2016 SIP”). A total of 0.2 million shares of Aptevo common stock have been authorized for issuance under the 2016 SIP in the form of equity stock options.</w:t>
      </w:r>
    </w:p>
    <w:p>
      <w:pPr>
        <w:spacing w:after="0" w:line="19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Stock options under the 2016 SIP generally vest pro rata over a three-year period and terminate ten years from the grant date, though the specific terms of each grant are determined individually. The Company’s executive officers and certain other employees may be awarded options with different vesting criteria, and options granted to non-employee directors also vest over a three-year period. Option exercise prices for new options granted by the Company equal the closing price of the Company’s common stock on the Nasdaq Capital Market on the date of grant.</w:t>
      </w:r>
    </w:p>
    <w:p>
      <w:pPr>
        <w:spacing w:after="0" w:line="17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RSUs issued under the 2016 SIP provide for the issuance of a share of the Company’s common stock at no cost to the holder. RSUs granted to employees under the 2016 SIP generally provide for time-based vesting over a twelve-month to three-year period, although certain employees may be awarded RSUs with different time-based vesting criteria. Prior to vesting, RSUs granted under the 2016 SIP do not have dividend equivalent rights, do not have voting rights and the shares underlying the RSUs are not considered issued or outstanding.</w:t>
      </w:r>
    </w:p>
    <w:p>
      <w:pPr>
        <w:spacing w:after="0" w:line="18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equity compensation awards granted by the Company generally vest only if the employee is employed by the Company (or in the case of directors, the director continues to serve on the Board) on the vesting date.</w:t>
      </w:r>
    </w:p>
    <w:p>
      <w:pPr>
        <w:spacing w:after="0" w:line="21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On May 31, 2017, at the 2017 Annual Meeting of Stockholders (“Annual Meeting”), the Company’s stockholders approved the amendment and restatement of the Company’s 2016 SIP (“Restated 2016 Plan”) to, among other things, increase the number of authorized shares issuable by 0.1 million shares of Aptevo common stock. The Restated 2016 Plan was previously approved, subject to stockholder approval, by the Board of Directors of the Company.</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2018 Stock Incentive Plan</w:t>
      </w:r>
    </w:p>
    <w:p>
      <w:pPr>
        <w:spacing w:after="0" w:line="131"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On June 1, 2018, at the 2018 Annual Meeting, the Company’s stockholders approved a new 2018 Stock Incentive Plan (“2018 SIP”), which replaced the Restated 2016 Plan on a go-forward basis. All stock options, RSUs or other equity awards granted subsequent to June 1, 2018, will be issued out of the 2018 SIP, which has 0.3 million shares of Aptevo common stock authorized for issuance. The 2018 Plan became effective immediately upon stockholder approval at the Annual Meeting. Any shares subject to outstanding stock awards granted under the 2016 SIP that (a) expire or terminate for any reason prior to exercise or settlement; (b) are forfeited because of the failure to meet a contingency or condition required to vest such shares or otherwise return to the Company; or (c) otherwise would have returned to the 2016 SIP for future grant pursuant to the terms of the 2016 Plan (such shares, the “Returning Shares”) will immediately be added to the share reserve under the 2018 SIP as and when such shares become Returning Shares, up to a maximum of 0.3 million shares. The 2018 SIP was previously approved, subject to stockholder approval, by the Board of Directors of the Company. As of September 30, 2020, there are 0.1 million shares available to be granted under the 2018 SIP.</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5" w:name="page16"/>
    <w:bookmarkEnd w:id="15"/>
    <w:p>
      <w:pPr>
        <w:jc w:val="both"/>
        <w:ind w:firstLine="510"/>
        <w:spacing w:after="0" w:line="279" w:lineRule="auto"/>
        <w:rPr>
          <w:sz w:val="20"/>
          <w:szCs w:val="20"/>
          <w:color w:val="auto"/>
        </w:rPr>
      </w:pPr>
      <w:r>
        <w:rPr>
          <w:rFonts w:ascii="Arial" w:cs="Arial" w:eastAsia="Arial" w:hAnsi="Arial"/>
          <w:sz w:val="17"/>
          <w:szCs w:val="17"/>
          <w:color w:val="auto"/>
        </w:rPr>
        <w:t>Stock options under the 2018 SIP generally vest pro rata over a three-year period and terminate ten years from the grant date, though the specific terms of each grant are determined individually. The Company’s executive officers and certain other employees may be awarded options with different vesting criteria, and options granted to non-employee directors also vest over a three-year period. Option exercise prices for new options granted by the Company equal the closing price of the Company’s common stock on the Nasdaq Capital Market on the date of grant.</w:t>
      </w:r>
    </w:p>
    <w:p>
      <w:pPr>
        <w:spacing w:after="0" w:line="30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Stock-based compensation expense includes amortization of stock options and RSUs granted to employees and non-employees and has been reported in our Condensed Consolidated Statements of Operations as follows: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5"/>
          </w:tcPr>
          <w:p>
            <w:pPr>
              <w:ind w:left="6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4"/>
                <w:szCs w:val="14"/>
                <w:color w:val="auto"/>
              </w:rPr>
            </w:pPr>
          </w:p>
        </w:tc>
        <w:tc>
          <w:tcPr>
            <w:tcW w:w="220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1"/>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299"/>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ind w:right="295"/>
              <w:spacing w:after="0" w:line="155"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ind w:right="299"/>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jc w:val="right"/>
              <w:ind w:right="295"/>
              <w:spacing w:after="0" w:line="155"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firstLine="510"/>
        <w:spacing w:after="0" w:line="308" w:lineRule="auto"/>
        <w:rPr>
          <w:sz w:val="20"/>
          <w:szCs w:val="20"/>
          <w:color w:val="auto"/>
        </w:rPr>
      </w:pPr>
      <w:r>
        <w:rPr>
          <w:rFonts w:ascii="Arial" w:cs="Arial" w:eastAsia="Arial" w:hAnsi="Arial"/>
          <w:sz w:val="17"/>
          <w:szCs w:val="17"/>
          <w:color w:val="auto"/>
        </w:rPr>
        <w:t>The Company accounts for stock- based compensation by measuring the cost of employee services received in exchange for all equity awards granted based on the fair value of the award of the grant date. The Company recognized the compensation expense over the vesting period.</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13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Aptevo utilizes the Black-Scholes valuation model for estimating the fair value of all stock options granted. Set forth below are the assumptions used in valuing the stock options granted:</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480" w:type="dxa"/>
            <w:vAlign w:val="bottom"/>
            <w:gridSpan w:val="4"/>
          </w:tcPr>
          <w:p>
            <w:pPr>
              <w:ind w:left="220"/>
              <w:spacing w:after="0"/>
              <w:rPr>
                <w:sz w:val="20"/>
                <w:szCs w:val="20"/>
                <w:color w:val="auto"/>
              </w:rPr>
            </w:pPr>
            <w:r>
              <w:rPr>
                <w:rFonts w:ascii="Arial" w:cs="Arial" w:eastAsia="Arial" w:hAnsi="Arial"/>
                <w:sz w:val="14"/>
                <w:szCs w:val="14"/>
                <w:b w:val="1"/>
                <w:bCs w:val="1"/>
                <w:color w:val="auto"/>
              </w:rPr>
              <w:t>For the Three Months Ended</w:t>
            </w:r>
          </w:p>
        </w:tc>
        <w:tc>
          <w:tcPr>
            <w:tcW w:w="2400" w:type="dxa"/>
            <w:vAlign w:val="bottom"/>
            <w:gridSpan w:val="4"/>
          </w:tcPr>
          <w:p>
            <w:pPr>
              <w:ind w:left="280"/>
              <w:spacing w:after="0"/>
              <w:rPr>
                <w:sz w:val="20"/>
                <w:szCs w:val="20"/>
                <w:color w:val="auto"/>
              </w:rPr>
            </w:pPr>
            <w:r>
              <w:rPr>
                <w:rFonts w:ascii="Arial" w:cs="Arial" w:eastAsia="Arial" w:hAnsi="Arial"/>
                <w:sz w:val="14"/>
                <w:szCs w:val="14"/>
                <w:b w:val="1"/>
                <w:bCs w:val="1"/>
                <w:color w:val="auto"/>
              </w:rPr>
              <w:t>For the Nine Months Ended</w:t>
            </w:r>
          </w:p>
        </w:tc>
      </w:tr>
      <w:tr>
        <w:trPr>
          <w:trHeight w:val="171"/>
        </w:trPr>
        <w:tc>
          <w:tcPr>
            <w:tcW w:w="5220" w:type="dxa"/>
            <w:vAlign w:val="bottom"/>
          </w:tcPr>
          <w:p>
            <w:pPr>
              <w:spacing w:after="0"/>
              <w:rPr>
                <w:sz w:val="14"/>
                <w:szCs w:val="14"/>
                <w:color w:val="auto"/>
              </w:rPr>
            </w:pPr>
          </w:p>
        </w:tc>
        <w:tc>
          <w:tcPr>
            <w:tcW w:w="2480" w:type="dxa"/>
            <w:vAlign w:val="bottom"/>
            <w:gridSpan w:val="4"/>
          </w:tcPr>
          <w:p>
            <w:pPr>
              <w:ind w:left="680"/>
              <w:spacing w:after="0"/>
              <w:rPr>
                <w:sz w:val="20"/>
                <w:szCs w:val="20"/>
                <w:color w:val="auto"/>
              </w:rPr>
            </w:pPr>
            <w:r>
              <w:rPr>
                <w:rFonts w:ascii="Arial" w:cs="Arial" w:eastAsia="Arial" w:hAnsi="Arial"/>
                <w:sz w:val="14"/>
                <w:szCs w:val="14"/>
                <w:b w:val="1"/>
                <w:bCs w:val="1"/>
                <w:color w:val="auto"/>
              </w:rPr>
              <w:t>September 30,</w:t>
            </w:r>
          </w:p>
        </w:tc>
        <w:tc>
          <w:tcPr>
            <w:tcW w:w="2400" w:type="dxa"/>
            <w:vAlign w:val="bottom"/>
            <w:gridSpan w:val="4"/>
          </w:tcPr>
          <w:p>
            <w:pPr>
              <w:ind w:left="700"/>
              <w:spacing w:after="0"/>
              <w:rPr>
                <w:sz w:val="20"/>
                <w:szCs w:val="20"/>
                <w:color w:val="auto"/>
              </w:rPr>
            </w:pPr>
            <w:r>
              <w:rPr>
                <w:rFonts w:ascii="Arial" w:cs="Arial" w:eastAsia="Arial" w:hAnsi="Arial"/>
                <w:sz w:val="14"/>
                <w:szCs w:val="14"/>
                <w:b w:val="1"/>
                <w:bCs w:val="1"/>
                <w:color w:val="auto"/>
              </w:rPr>
              <w:t>September 30,</w:t>
            </w:r>
          </w:p>
        </w:tc>
      </w:tr>
      <w:tr>
        <w:trPr>
          <w:trHeight w:val="155"/>
        </w:trPr>
        <w:tc>
          <w:tcPr>
            <w:tcW w:w="5220" w:type="dxa"/>
            <w:vAlign w:val="bottom"/>
            <w:tcBorders>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2020</w:t>
            </w:r>
          </w:p>
        </w:tc>
        <w:tc>
          <w:tcPr>
            <w:tcW w:w="220" w:type="dxa"/>
            <w:vAlign w:val="bottom"/>
            <w:tcBorders>
              <w:top w:val="single" w:sz="8" w:color="auto"/>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2020</w:t>
            </w:r>
          </w:p>
        </w:tc>
        <w:tc>
          <w:tcPr>
            <w:tcW w:w="220" w:type="dxa"/>
            <w:vAlign w:val="bottom"/>
            <w:tcBorders>
              <w:top w:val="single" w:sz="8" w:color="auto"/>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0.00%</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0.00%</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0.00%</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0.00%</w:t>
            </w:r>
          </w:p>
        </w:tc>
        <w:tc>
          <w:tcPr>
            <w:tcW w:w="12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Expected volatility</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91.44%</w:t>
            </w:r>
          </w:p>
        </w:tc>
        <w:tc>
          <w:tcPr>
            <w:tcW w:w="2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75.00%</w:t>
            </w:r>
          </w:p>
        </w:tc>
        <w:tc>
          <w:tcPr>
            <w:tcW w:w="2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87.77%</w:t>
            </w:r>
          </w:p>
        </w:tc>
        <w:tc>
          <w:tcPr>
            <w:tcW w:w="2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75.00%</w:t>
            </w:r>
          </w:p>
        </w:tc>
        <w:tc>
          <w:tcPr>
            <w:tcW w:w="12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2.46%</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1.78%</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1.97%</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2.42%</w:t>
            </w:r>
          </w:p>
        </w:tc>
        <w:tc>
          <w:tcPr>
            <w:tcW w:w="12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Expected average life of options</w:t>
            </w:r>
          </w:p>
        </w:tc>
        <w:tc>
          <w:tcPr>
            <w:tcW w:w="1240" w:type="dxa"/>
            <w:vAlign w:val="bottom"/>
            <w:gridSpan w:val="2"/>
          </w:tcPr>
          <w:p>
            <w:pPr>
              <w:ind w:left="240"/>
              <w:spacing w:after="0"/>
              <w:rPr>
                <w:sz w:val="20"/>
                <w:szCs w:val="20"/>
                <w:color w:val="auto"/>
              </w:rPr>
            </w:pPr>
            <w:r>
              <w:rPr>
                <w:rFonts w:ascii="Arial" w:cs="Arial" w:eastAsia="Arial" w:hAnsi="Arial"/>
                <w:sz w:val="18"/>
                <w:szCs w:val="18"/>
                <w:color w:val="auto"/>
              </w:rPr>
              <w:t>8 years</w:t>
            </w:r>
          </w:p>
        </w:tc>
        <w:tc>
          <w:tcPr>
            <w:tcW w:w="1240" w:type="dxa"/>
            <w:vAlign w:val="bottom"/>
            <w:gridSpan w:val="2"/>
          </w:tcPr>
          <w:p>
            <w:pPr>
              <w:ind w:left="260"/>
              <w:spacing w:after="0"/>
              <w:rPr>
                <w:sz w:val="20"/>
                <w:szCs w:val="20"/>
                <w:color w:val="auto"/>
              </w:rPr>
            </w:pPr>
            <w:r>
              <w:rPr>
                <w:rFonts w:ascii="Arial" w:cs="Arial" w:eastAsia="Arial" w:hAnsi="Arial"/>
                <w:sz w:val="18"/>
                <w:szCs w:val="18"/>
                <w:color w:val="auto"/>
              </w:rPr>
              <w:t>6 years</w:t>
            </w:r>
          </w:p>
        </w:tc>
        <w:tc>
          <w:tcPr>
            <w:tcW w:w="1240" w:type="dxa"/>
            <w:vAlign w:val="bottom"/>
            <w:gridSpan w:val="2"/>
          </w:tcPr>
          <w:p>
            <w:pPr>
              <w:ind w:left="260"/>
              <w:spacing w:after="0"/>
              <w:rPr>
                <w:sz w:val="20"/>
                <w:szCs w:val="20"/>
                <w:color w:val="auto"/>
              </w:rPr>
            </w:pPr>
            <w:r>
              <w:rPr>
                <w:rFonts w:ascii="Arial" w:cs="Arial" w:eastAsia="Arial" w:hAnsi="Arial"/>
                <w:sz w:val="18"/>
                <w:szCs w:val="18"/>
                <w:color w:val="auto"/>
              </w:rPr>
              <w:t>8 years</w:t>
            </w: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6 years</w:t>
            </w:r>
          </w:p>
        </w:tc>
      </w:tr>
    </w:tbl>
    <w:p>
      <w:pPr>
        <w:spacing w:after="0" w:line="24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Management has applied an estimated forfeiture rate of 18% and 13% for the three and nine months ended September 30, 2020 and 10% for the three and nine months ended September 30, 2019. The increase in expected average life of options is due to the impact of the option exchange program, which concluded on July 27, 2020, as new options were issued with an expiration of July 26, 2030. Refer to Note 11 – Stock Option Exchange for further details.</w:t>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option activity for the nine months ended September 30, 2020:</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55"/>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Exercise Price</w:t>
            </w: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Remaining Term</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334,938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29.89</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201,220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7.88</w:t>
            </w:r>
          </w:p>
        </w:tc>
        <w:tc>
          <w:tcPr>
            <w:tcW w:w="2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 and expired</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(306,754)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32.53</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at September 30, 2020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229,404</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220" w:type="dxa"/>
            <w:vAlign w:val="bottom"/>
            <w:tcBorders>
              <w:bottom w:val="single" w:sz="8" w:color="CFF0FC"/>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41,757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at September 30, 2020</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23,917</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12.86</w:t>
            </w:r>
          </w:p>
        </w:tc>
        <w:tc>
          <w:tcPr>
            <w:tcW w:w="2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As of September 30, 2020, we had $1.4 million of unrecognized compensation expense related to options expected to vest over a weighted average period of 1.4 years. The weighted average remaining contractual life of outstanding and exercisable options is 8.3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6" w:name="page17"/>
    <w:bookmarkEnd w:id="16"/>
    <w:p>
      <w:pPr>
        <w:jc w:val="both"/>
        <w:ind w:firstLine="510"/>
        <w:spacing w:after="0" w:line="286" w:lineRule="auto"/>
        <w:rPr>
          <w:sz w:val="20"/>
          <w:szCs w:val="20"/>
          <w:color w:val="auto"/>
        </w:rPr>
      </w:pPr>
      <w:r>
        <w:rPr>
          <w:rFonts w:ascii="Arial" w:cs="Arial" w:eastAsia="Arial" w:hAnsi="Arial"/>
          <w:sz w:val="17"/>
          <w:szCs w:val="17"/>
          <w:color w:val="auto"/>
        </w:rPr>
        <w:t>The aggregate intrinsic value in the table above represents the total pretax intrinsic value (the difference between the closing stock price of Aptevo’s common stock on the last trading day of September 2020 and the exercise price, multiplied by the number of in the money options) that would have been received by the option holders had all the option holders exercised their options on the last trading day of the quarter.</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RSU activity for the nine months ended September 30, 2020:</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4"/>
                <w:szCs w:val="14"/>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9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Value per Unit</w:t>
            </w:r>
          </w:p>
        </w:tc>
        <w:tc>
          <w:tcPr>
            <w:tcW w:w="18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17,458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Forfeited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6,643</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2020</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10,815</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64,775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Expected to Vest</w:t>
            </w: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10,815</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2020, there was $0.06 million unrecognized stock-based compensation expense related to unvested RSUs.</w:t>
      </w:r>
    </w:p>
    <w:p>
      <w:pPr>
        <w:spacing w:after="0" w:line="225"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The fair value of each RSU has been determined to be the closing trading price of the Company’s common stock on the date of grant as quoted on the Nasdaq Capital Market.</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Warrants</w:t>
      </w:r>
    </w:p>
    <w:p>
      <w:pPr>
        <w:spacing w:after="0" w:line="117"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In March 2019, as part of a public offering, we issued warrants to purchase up to 1,725,000 shares of our common stock, 1,571,429 of which have an exercise price of $18.20 per share and have a five-year life, and 153,571 of pre-funded warrants with an exercise price of $0.014 per share. The pre-funded warrants had a ten-year life and would have expired on March 11, 2029; however, the pre-funded warrants were exercised in March 2019. We determined the warrants do not meet liability classification pursuant to ASC 480 – Distinguishing Liabilities from Equity. They are therefore included within equity on our consolidated balance sheet. As of September 30, 2020, there were 1,571,429 warrants outstanding.</w:t>
      </w:r>
    </w:p>
    <w:p>
      <w:pPr>
        <w:spacing w:after="0" w:line="30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11. Stock Option Exchange</w:t>
      </w:r>
    </w:p>
    <w:p>
      <w:pPr>
        <w:spacing w:after="0" w:line="121"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On June 29, 2020, Aptevo commenced a voluntary employee and directors stock option exchange program (the “Exchange Program”) to permit the Company’s eligible employees, directors and certain consultants to exchange some or all of their eligible outstanding options (“Original Options”) to purchase the Company’s common stock with an exercise price greater than or equal to $21.00 per share, whether vested or unvested, for a lesser number of new stock options (“New Options”). In accordance with the terms and conditions of the Exchange Program, we closed the exchange program and accepted all exchanged outstanding options on July 27, 2020. The stock option exchange program was approved at the Company’s 2020 Annual Shareholder Meeting on May 27, 2020.</w:t>
      </w:r>
    </w:p>
    <w:p>
      <w:pPr>
        <w:spacing w:after="0" w:line="233"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Pursuant to the Exchange Offer, 52 Eligible Holders elected to exchange Eligible Options, and the Company accepted for cancellation Eligible Options to purchase an aggregate of 200,016 shares of the Company’s common stock, representing approximately 96% of the total shares of Common Stock underlying the Eligible Options. On July 27, 2020, immediately following the expiration of the Exchange Offer, the Company granted New Options to purchase 84,900 shares of Common Stock, pursuant to the terms of the Exchange Offer and the 2018 SIP (Stock Incentive Plan). We recorded an immaterial additional compensation cost related to the exchange, as the estimated fair value of the new options slightly exceed the fair value of the exchanged stock options calculated immediately prior to the exchange. We recognized $0.04 million for the remaining unamortized compensation cost related to the exchanged options in the third quarter of 2020</w:t>
      </w:r>
    </w:p>
    <w:p>
      <w:pPr>
        <w:spacing w:after="0" w:line="29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12. Subsequent Events</w:t>
      </w:r>
    </w:p>
    <w:p>
      <w:pPr>
        <w:spacing w:after="0" w:line="121"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On November 6, 2020, Tang jointly filed a statement on Schedule 13D to report that Tang had purchased 1,760,000 shares of the Company’s common stock, representing approximately 54% of the Company’s issued and outstanding shares of Common Stock.</w:t>
      </w:r>
    </w:p>
    <w:p>
      <w:pPr>
        <w:spacing w:after="0" w:line="211"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On November 8, 2020, the Board of Directors (the “Board”) of the Company approved and adopted a Rights Agreement, dated as of November 8, 2020, by and between the Company and Broadridge Corporate Issuer Solutions, Inc., as rights agent, pursuant to which the Board declared a dividend of one preferred share purchase right (each, a “Right”) for each outstanding share of the Company’s common stock held by stockholders as of the close of business on November 23, 2020. When exercisable, each right initially would represent the right to purchase from the Company one one-thousandth of a share of a newly-designated series of preferred stock, Series A Junior Participating Preferred Stock, par value $0.001 per share, of the Company, at an exercise price of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jc w:val="both"/>
        <w:spacing w:after="0" w:line="263" w:lineRule="auto"/>
        <w:rPr>
          <w:sz w:val="20"/>
          <w:szCs w:val="20"/>
          <w:color w:val="auto"/>
        </w:rPr>
      </w:pPr>
      <w:r>
        <w:rPr>
          <w:rFonts w:ascii="Arial" w:cs="Arial" w:eastAsia="Arial" w:hAnsi="Arial"/>
          <w:sz w:val="18"/>
          <w:szCs w:val="18"/>
          <w:color w:val="auto"/>
        </w:rPr>
        <w:t>$400.00 per one one-thousandth of a Series A Junior Participating Preferred Share, subject to adjustment. Subject to various exceptions, the Rights become exercisable in the event any person (excluding certain exempted or grandfathered persons) becomes the beneficial owner of ten percent (10%) or more of the Company’s common stock without the approval of the Board.</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Tang’s acquisition of voting stock triggered a change in control under the Credit Agreement, resulting in an Event of Default under Section 10.1(a)</w:t>
      </w:r>
    </w:p>
    <w:p>
      <w:pPr>
        <w:spacing w:after="0" w:line="46" w:lineRule="exact"/>
        <w:rPr>
          <w:sz w:val="20"/>
          <w:szCs w:val="20"/>
          <w:color w:val="auto"/>
        </w:rPr>
      </w:pPr>
    </w:p>
    <w:p>
      <w:pPr>
        <w:jc w:val="both"/>
        <w:ind w:firstLine="8"/>
        <w:spacing w:after="0" w:line="252" w:lineRule="auto"/>
        <w:tabs>
          <w:tab w:leader="none" w:pos="29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thereof. On November 10, 2020, the Company obtained a waiver from MidCap Financial Trust pursuant to which, among other things, MidCap Financial Trust waived the event of default arising from the acquisition of voting stock by Tang and MidCap Financial Trust and the Company agreed that an immediate event of default under the Credit Agreement will be deemed to have occurred in the event that (a) a majority of the seats on the Company’s board of directors are occupied by persons who were neither (i) nominated by the Company’s board of directors nor (ii) appointed by the directors so nominated, and (b) Tang has appointed the majority of the Company’s board of directors. No other events of default have occurred with respect to the Company’s credit agreement.</w:t>
      </w:r>
    </w:p>
    <w:p>
      <w:pPr>
        <w:spacing w:after="0" w:line="19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Subsequent to the end of the quarter and through November 9, 2020, certain of the holders of the Company’s warrants exercised warrants with a strike price of $18.20 per share, resulting in the issuance of approximately 0.9 million shares of the Company’s common stock and aggregate proceeds to the Company of approximately $16.4 million.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i w:val="1"/>
          <w:iCs w:val="1"/>
          <w:color w:val="auto"/>
        </w:rPr>
        <w:t>This Quarterly Report on Form 10-Q includes “forward-looking statements” within the meaning of Section 27A of the Securities Act of 1933, as amended, and Section 21E of the Securities Exchange Act of 1934, as amended. All statements in this Quarterly Report, other than statements of historical facts, including statements regarding our strategy, future operations, future financial position, future revenues, projected costs, prospects, plans, intentions, expectations and objectives could be forward-looking statements. The words “anticipates,” “believes,” “could,” “designed,” “estimates,” “expects,” “goal,” “intends,” “may,” “plans,” “projects,” “pursuing,” “will,” “would” and similar expressions (including the negatives thereof) are intended to identify forward-looking statements, although not all forward-looking statements contain these identifying words. We may not actually achieve the plans, intentions, expectations or objectives disclosed in our forward-looking statements and the assumptions underlying our forward-looking statements may prove incorrect. Therefore, you should not place undue reliance on our forward-looking statements. Actual results or events could differ materially from the plans, intentions, expectations and objectives disclosed in the forward-looking statements that we make. Factors that we believe could cause actual results or events to differ materially from our forward-looking statements include, but are not limited to, those discussed in “Risk Factors”, “Management’s Discussion and Analysis of Financial Condition and Results of Operations” and elsewhere in this Quarterly Report. Our forward-looking statements in this Quarterly Report are based on current expectations and we do not assume any obligation to update any forward-looking statements.</w:t>
      </w:r>
    </w:p>
    <w:p>
      <w:pPr>
        <w:spacing w:after="0" w:line="168"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i w:val="1"/>
          <w:iCs w:val="1"/>
          <w:color w:val="auto"/>
        </w:rPr>
        <w:t>You should read the following discussion and analysis together with the financial statements and the related notes to those statements included elsewhere in this Quarterly Report.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We are a clinical-stage, research and development biotechnology company focused on developing novel immunotherapies for the treatment of cancer. Our lead clinical candidate, APVO436, and preclinical candidates, ALG.APV-527 and APVO603 were developed based on our versatile and robust ADAPTIR™ modular protein technology platform. The ADAPTIR platform is capable of generating highly differentiated bispecific antibodies with unique mechanisms of action for the treatment of different types of cancer and autoimmunity. We previously had one revenue-generating product in the area of hematology, IXINITY, which we sold to Medexus Pharma, Inc. (“Medexus”) on February 28, 2020.</w:t>
      </w:r>
    </w:p>
    <w:p>
      <w:pPr>
        <w:spacing w:after="0" w:line="217"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For the three and nine months ended September 30, 2020, we had a net loss of $6.8 million and $10.7 million, respectively, compared to the three and nine months ended September 30, 2019, when we had a net loss $6.9 million and $32.3 million, respectively. We had an accumulated deficit of $178.6 million as of September 30, 2020. For the nine months ended September 30, 2020, net cash used in our operating activities was $23.2 million.</w:t>
      </w:r>
    </w:p>
    <w:p>
      <w:pPr>
        <w:spacing w:after="0" w:line="176"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6"/>
          <w:szCs w:val="16"/>
          <w:color w:val="auto"/>
        </w:rPr>
        <w:t>On February 28, 2020, we entered into an LLC Purchase Agreement with Medexus, pursuant to which we sold all of the issued and outstanding limited liability company interests of Aptevo BioTherapeutics LLC (“Aptevo BioTherapeutics”), a wholly-owned subsidiary of Aptevo. As a result of the transaction, Medexus obtained all right, title and interest to the IXINITY product and related Hemophilia B business and intellectual property. In addition, Aptevo BioTherapeutics personnel responsible for the sale and marketing of IXINITY also transitioned to Medexus as part of the transaction. Aptevo BioTherapeutics met all the conditions to be classified as a discontinued operation since the sale of Aptevo BioTherapeutics represented a strategic shift that will have a major effect on our operations and financial results. Aptevo will not have further significant involvement in the operations of the discontinued Aptevo BioTherapeutics business. The operating results of Aptevo BioTherapeutics are reported as income from the discontinued operations, in the condensed consolidated statements of operations for all periods presented. The gain recognized on the sale of Aptevo BioTherapeutics, as well as deferred payments and milestones, is presented in income (loss) from discontinued operations in the consolidated statement of operations. In addition, on the consolidated balance sheet as of December 31, 2019, the assets and liabilities held for sale have been presented separately.</w:t>
      </w:r>
    </w:p>
    <w:p>
      <w:pPr>
        <w:spacing w:after="0" w:line="209"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In July 2020, we announced that we engaged Piper Sandler &amp; Co to sell our RUXIENCE and IXINITY royalty stream and deferred payments and milestones, respectively. Aptevo is entitled to receive a CD20 biosimilar product (royalty) payments from Pfizer Inc. of 2.5% of net sales of RUXIENCE in the United States, European Union, and Japan. The royalty term runs for seven years, until early 2027, and payments are due quarterly. Additionally, Aptevo is entitled to receive deferred payments from Medexus Pharmaceuticals Inc. pertaining to the net sales of IXINITY in the United States and Canada. The royalty term runs for up to fifteen years, until early 2035, and payments are due quarterly. Additionally, milestone payments totaling up to $11 million may be earned from Medexus related to certain regulatory and commercial achievements.</w:t>
      </w:r>
    </w:p>
    <w:p>
      <w:pPr>
        <w:spacing w:after="0" w:line="218"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 novel strain of coronavirus, COVID-19 has spread through the world, including the United States. We have experienced and may experience additional disruptions that could severely impact our business and clinical trials, including:</w:t>
      </w:r>
    </w:p>
    <w:p>
      <w:pPr>
        <w:spacing w:after="0" w:line="62" w:lineRule="exact"/>
        <w:rPr>
          <w:sz w:val="20"/>
          <w:szCs w:val="20"/>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limitation of company operations, including work from home policies and office closures;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or difficulties in receiving deliveries of critical experimental materials;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or difficulties to the financing environment and raising capital due to economic uncertainty;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opportunities to partner our product candidates, due to financial and other impacts on potential partners;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impacts on our future deferred payments from Medexus due to the environment which may impact Medexus’ ability to continue to successfully commercialize the IXINITY business;</w:t>
      </w:r>
    </w:p>
    <w:p>
      <w:pPr>
        <w:spacing w:after="0" w:line="89"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impacts on our future CD20 biosimilar product (royalty) payments from Pfizer due to the environment which may impact Pfizer’s ability to continue to successfully commercialize RUXIENCE;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negative impact on suppliers and licensees;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further delay in APVO436 initiation in the Beat AML trial;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patient enrollment and clinical trial site monitoring; and,</w:t>
      </w:r>
    </w:p>
    <w:p>
      <w:pPr>
        <w:spacing w:after="0" w:line="117"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our business, including the conduct of our research and development activities and process development activities, due to the illness of employees or their families, or the preference of employees to avoid contact with large groups of people.</w:t>
      </w:r>
    </w:p>
    <w:p>
      <w:pPr>
        <w:spacing w:after="0" w:line="224"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The global outbreak of COVID-19 continues to rapidly evolve. The extent to which the COVID-19 pandemic may impact our business and clinical trials will depend on future developments, which are highly uncertain and cannot be predicted with confidence,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disease.</w:t>
      </w:r>
    </w:p>
    <w:p>
      <w:pPr>
        <w:spacing w:after="0" w:line="26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Corporate Highlights:</w:t>
      </w:r>
    </w:p>
    <w:p>
      <w:pPr>
        <w:spacing w:after="0" w:line="121" w:lineRule="exact"/>
        <w:rPr>
          <w:sz w:val="20"/>
          <w:szCs w:val="20"/>
          <w:color w:val="auto"/>
        </w:rPr>
      </w:pPr>
    </w:p>
    <w:p>
      <w:pPr>
        <w:jc w:val="both"/>
        <w:ind w:left="1000" w:hanging="493"/>
        <w:spacing w:after="0" w:line="259"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Continued enrollment in our APVO436 clinical trial, a Phase 1/1b dose escalation, open-label study evaluating the safety and pharmacokinetic profile of APVO436, a novel anti-CD123 x anti-CD3 targeted investigational bispecific antibody therapy being evaluated for the treatment of acute myeloid leukemia (AML) and myelodysplastic syndrome (MDS). Dosing in Cohorts 1 through 7 is complete and enrollment in Cohort 8 has commenced.</w:t>
      </w:r>
    </w:p>
    <w:p>
      <w:pPr>
        <w:spacing w:after="0" w:line="78"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Recorded $1.5 million of RUXIENCE royalty payments from Pfizer related to sales of the product in the U.S., Japan, and newly launched European Union in the third quarter of 2020. We receive a 2.5% royalty on net sales of RUXIENCE in the United States, Japan, and European Union for a term of seven years.</w:t>
      </w:r>
    </w:p>
    <w:p>
      <w:pPr>
        <w:spacing w:after="0" w:line="75" w:lineRule="exact"/>
        <w:rPr>
          <w:rFonts w:ascii="Arial" w:cs="Arial" w:eastAsia="Arial" w:hAnsi="Arial"/>
          <w:sz w:val="18"/>
          <w:szCs w:val="18"/>
          <w:color w:val="auto"/>
        </w:rPr>
      </w:pPr>
    </w:p>
    <w:p>
      <w:pPr>
        <w:jc w:val="both"/>
        <w:ind w:left="1000" w:hanging="493"/>
        <w:spacing w:after="0" w:line="259"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Received $0.2 million of deferred payments (royalties) from Medexus Pharmaceuticals related to sales of IXINITY for the second quarter of 2020. Royalties are earned at the rate of 2% of net revenue through the earlier of June 2022 or completion of the IXINITY pediatric trial being run by Medexus. After that, the royalty rate will increase to 5%. We expect to receive an estimated royalty of $0.1 million related to third quarter sales of IXINITY, which will be recorded in our fourth quarter financial statements.</w:t>
      </w:r>
    </w:p>
    <w:p>
      <w:pPr>
        <w:spacing w:after="0" w:line="78"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Received additional non-dilutive funding through a $25 million term loan agreement with MidCap Financial Trust on August 5, 2020.</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Engaged Piper Sandler to sell our RUXIENCE and IXINITY royalty streams and IXINITY milestone payments.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Subsequent to quarter end, we announced that, based on preliminary data, two patients in Cohort 6 of the APVO436 clinical trial were in complete remission.</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Except as otherwise stated below, the following discussions of our results of operations reflect the results of our continuing operations, excluding the results related to Aptevo BioTherapeutics, which has been separated from continuing operations and reflected as a discontinued operation. See Note 2 – Sale of Aptevo BioTherapeutics to the accompanying financial statements for additional information.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ind w:left="520" w:right="3580"/>
        <w:spacing w:after="0" w:line="377" w:lineRule="auto"/>
        <w:rPr>
          <w:sz w:val="20"/>
          <w:szCs w:val="20"/>
          <w:color w:val="auto"/>
        </w:rPr>
      </w:pPr>
      <w:r>
        <w:rPr>
          <w:rFonts w:ascii="Arial" w:cs="Arial" w:eastAsia="Arial" w:hAnsi="Arial"/>
          <w:sz w:val="18"/>
          <w:szCs w:val="18"/>
          <w:b w:val="1"/>
          <w:bCs w:val="1"/>
          <w:color w:val="auto"/>
        </w:rPr>
        <w:t xml:space="preserve">Comparison of the three and nine months ended September 30, 2020 and September 30, 2019 </w:t>
      </w:r>
      <w:r>
        <w:rPr>
          <w:rFonts w:ascii="Arial" w:cs="Arial" w:eastAsia="Arial" w:hAnsi="Arial"/>
          <w:sz w:val="18"/>
          <w:szCs w:val="18"/>
          <w:b w:val="1"/>
          <w:bCs w:val="1"/>
          <w:i w:val="1"/>
          <w:iCs w:val="1"/>
          <w:color w:val="auto"/>
        </w:rPr>
        <w:t>Royalty Revenue</w:t>
      </w:r>
    </w:p>
    <w:p>
      <w:pPr>
        <w:spacing w:after="0" w:line="2"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Royalty revenue increased by $1.5 million for the three months ended September 30, 2020. This increase is related to a 2.5% royalty we are entitled to receive from Pfizer related to sales of RUXIENCE (rituximab biosimilar) which was approved by the FDA in July 2019 and launched by Pfizer in the United States and Japan in early 2020, and in the European Union in the third quarter of 2020. The payment from Pfizer relates to an agreement acquired by Aptevo as part of our spin-off from Emergent BioSolutions in 2016. The agreement was originally executed by Trubion Pharmaceuticals, which was subsequently acquired by Emergent BioSolutions, and Wyeth, a wholly-own subsidiary of Pfizer. The royalty term runs through the first quarter of 2027, which is the seventh anniversary of the first commercial sale of the CD20 biosimilar. We note that the $1.9 million of year-to-date royalty revenue recorded is the payment received related to first and second quarter sales and an estimate for third quarter sales of RUXIENCE. There is no comparable prior year royalty revenue.</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We expense research and development costs as incurred. These expenses consist primarily of the costs associated with our research and development activities, including conducting preclinical studies and clinical trials, fees to professional service providers for analytical testing, independent monitoring or other administration of our clinical trials and obtaining and evaluating data from our clinical trials and non-clinical studies, as well as costs of contract manufacturing services for clinical trial material, and costs of materials used in clinical trials and research and development.</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research and development expenses include:</w:t>
      </w:r>
    </w:p>
    <w:p>
      <w:pPr>
        <w:spacing w:after="0" w:line="117" w:lineRule="exact"/>
        <w:rPr>
          <w:sz w:val="20"/>
          <w:szCs w:val="20"/>
          <w:color w:val="auto"/>
        </w:rPr>
      </w:pPr>
    </w:p>
    <w:p>
      <w:pPr>
        <w:ind w:left="100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employee salaries and related expenses, including stock-based compensation and benefits for our employees involved in our drug discovery and development activities;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external research and development expense incurred under agreements with third-party contract research organizations (CROs) and investigative sites;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manufacturing expenses and material for third-party manufacturing;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overhead costs such as rent, utilities and depreciation.</w:t>
      </w:r>
    </w:p>
    <w:p>
      <w:pPr>
        <w:spacing w:after="0" w:line="225"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We expect our future research and development spending will also be dependent upon such factors as the results from our clinical trials, the availability of reimbursement of research and development spending, the number of product candidates under development, the size, structure and duration of any clinical programs that we may initiate, and the costs associated with manufacturing our product candidates on a large-scale basis for later stage clinical trials. We may experience interruption of key clinical trial activities, such as patient enrollment and clinical trial site monitoring, and key non-clinical activities due to COVID-19. While programs are still in the pre-clinical trial phase, we do not provide a breakdown of the initial associated expenses, as we are often evaluating multiple product candidates simultaneously. Costs are reported in preclinical research and discovery until the program enters the clinic.</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ind w:left="520"/>
        <w:spacing w:after="0"/>
        <w:rPr>
          <w:sz w:val="20"/>
          <w:szCs w:val="20"/>
          <w:color w:val="auto"/>
        </w:rPr>
      </w:pPr>
      <w:r>
        <w:rPr>
          <w:rFonts w:ascii="Arial" w:cs="Arial" w:eastAsia="Arial" w:hAnsi="Arial"/>
          <w:sz w:val="16"/>
          <w:szCs w:val="16"/>
          <w:color w:val="auto"/>
        </w:rPr>
        <w:t>Our research and development expenses by program for the three and nine months ended September 30, 2020 and 2019 are shown in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table:</w:t>
      </w:r>
    </w:p>
    <w:p>
      <w:pPr>
        <w:spacing w:after="0" w:line="28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338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3"/>
              </w:rPr>
              <w:t>For the Three Months Ended September 30,</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4880" w:type="dxa"/>
            <w:vAlign w:val="bottom"/>
            <w:gridSpan w:val="2"/>
            <w:vMerge w:val="continue"/>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535"/>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Clinical programs:</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gridSpan w:val="2"/>
          </w:tcPr>
          <w:p>
            <w:pPr>
              <w:ind w:left="240"/>
              <w:spacing w:after="0"/>
              <w:rPr>
                <w:sz w:val="20"/>
                <w:szCs w:val="20"/>
                <w:color w:val="auto"/>
              </w:rPr>
            </w:pPr>
            <w:r>
              <w:rPr>
                <w:rFonts w:ascii="Arial" w:cs="Arial" w:eastAsia="Arial" w:hAnsi="Arial"/>
                <w:sz w:val="18"/>
                <w:szCs w:val="18"/>
                <w:color w:val="auto"/>
              </w:rPr>
              <w:t>APVO436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849</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881</w:t>
            </w:r>
          </w:p>
        </w:tc>
        <w:tc>
          <w:tcPr>
            <w:tcW w:w="280" w:type="dxa"/>
            <w:vAlign w:val="bottom"/>
          </w:tcPr>
          <w:p>
            <w:pPr>
              <w:spacing w:after="0"/>
              <w:rPr>
                <w:sz w:val="19"/>
                <w:szCs w:val="19"/>
                <w:color w:val="auto"/>
              </w:rPr>
            </w:pPr>
          </w:p>
        </w:tc>
        <w:tc>
          <w:tcPr>
            <w:tcW w:w="300" w:type="dxa"/>
            <w:vAlign w:val="bottom"/>
            <w:gridSpan w:val="2"/>
          </w:tcPr>
          <w:p>
            <w:pPr>
              <w:jc w:val="right"/>
              <w:ind w:right="169"/>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48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Total clinical programs</w:t>
            </w: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2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Preclinical program, general research and discovery</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3,615</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5,204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4,494</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4"/>
                <w:szCs w:val="24"/>
                <w:color w:val="auto"/>
              </w:rPr>
            </w:pPr>
          </w:p>
        </w:tc>
        <w:tc>
          <w:tcPr>
            <w:tcW w:w="338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3"/>
              </w:rPr>
              <w:t>For the Nine Months Ended September 30,</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4880" w:type="dxa"/>
            <w:vAlign w:val="bottom"/>
            <w:gridSpan w:val="2"/>
            <w:vMerge w:val="continue"/>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535"/>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Clinical programs:</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gridSpan w:val="2"/>
          </w:tcPr>
          <w:p>
            <w:pPr>
              <w:ind w:left="240"/>
              <w:spacing w:after="0"/>
              <w:rPr>
                <w:sz w:val="20"/>
                <w:szCs w:val="20"/>
                <w:color w:val="auto"/>
              </w:rPr>
            </w:pPr>
            <w:r>
              <w:rPr>
                <w:rFonts w:ascii="Arial" w:cs="Arial" w:eastAsia="Arial" w:hAnsi="Arial"/>
                <w:sz w:val="18"/>
                <w:szCs w:val="18"/>
                <w:color w:val="auto"/>
              </w:rPr>
              <w:t>APVO436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3,125</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2,704</w:t>
            </w:r>
          </w:p>
        </w:tc>
        <w:tc>
          <w:tcPr>
            <w:tcW w:w="280" w:type="dxa"/>
            <w:vAlign w:val="bottom"/>
          </w:tcPr>
          <w:p>
            <w:pPr>
              <w:spacing w:after="0"/>
              <w:rPr>
                <w:sz w:val="19"/>
                <w:szCs w:val="19"/>
                <w:color w:val="auto"/>
              </w:rPr>
            </w:pPr>
          </w:p>
        </w:tc>
        <w:tc>
          <w:tcPr>
            <w:tcW w:w="300" w:type="dxa"/>
            <w:vAlign w:val="bottom"/>
            <w:gridSpan w:val="2"/>
          </w:tcPr>
          <w:p>
            <w:pPr>
              <w:jc w:val="right"/>
              <w:ind w:right="169"/>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(3,533)</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Total clinical programs</w:t>
            </w: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3,378</w:t>
            </w:r>
          </w:p>
        </w:tc>
        <w:tc>
          <w:tcPr>
            <w:tcW w:w="2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Preclinical program, general research and discovery</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9,562</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13,865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(4,303)</w:t>
            </w: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12,940</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20,355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Research and development expenses decreased by $3.1 million and $7.4 million for the three and nine months ended September 30, 2020 compared to the three and nine months ended September 30, 2019, respectively. Research and development expenses decreased primarily due to decreased spending for our preclinical, general research and discovery programs, related to pipeline product candidates or programs as they are being evaluated. We also decreased expenses for other clinical programs, including lower costs for programs discontinued in 2019, such as APVO210 which was discontinued in October 2019. This decrease was offset by an increase in spending in APVO436 for the nine months ended September 30, 2020, related to increased internal costs.</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General and administrative expenses consist primarily of personnel-related costs and professional fees in support of our executive, business development, finance, accounting, information technology, legal and human resource functions. Other costs include facility costs not otherwise included in research and development expenses.</w:t>
      </w:r>
    </w:p>
    <w:p>
      <w:pPr>
        <w:spacing w:after="0" w:line="184"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color w:val="auto"/>
        </w:rPr>
        <w:t>For the three months ended September 30, 2020, general and administrative expenses decreased by $0.6 million, or 17%, to $3.2 million from $3.9 million for the three months ended September 30, 2019. This decrease was primarily due to reduced personnel and professional services costs.</w:t>
      </w:r>
    </w:p>
    <w:p>
      <w:pPr>
        <w:spacing w:after="0" w:line="146"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color w:val="auto"/>
        </w:rPr>
        <w:t>For the nine months ended September 30, 2020, general and administrative expenses decreased by $3.0 million, or 24%, to $9.7 million from $12.7 million for the nine months ended September 30, 2019. This decrease was primarily due to reduced personnel and professional services costs.</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Expense</w:t>
      </w:r>
    </w:p>
    <w:p>
      <w:pPr>
        <w:spacing w:after="0" w:line="11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Other expense consists primarily of gains or losses realized on foreign currency revaluation, costs related to debt extinguishment, accrued exit fees on debt, and interest on debt. Other expense increased by $0.1 million to $0.7 million for the three months ended September 30, 2020 from $0.6 million for the three months ended September 30, 2019, due to interest and an accrued exit fee for the MidCap credit agreement we entered into on August 5, 2020. Other expense increased to $3.1 million for the nine months ended September 30, 2020 from $1.6 million for the nine months ended September 30, 2019 primarily due to a loss on extinguishment of debt of $2.1 million, which consists of interest, exit, prepayment, and legal fees recognized during the first quarter of 2020.</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7"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Income from discontinued operations decreased by $4.0 million and increased by $11.7 million for the three and nine months ended September 30, 2020 compared to the three and nine months ended September 30, 2019, respectively.</w:t>
      </w:r>
    </w:p>
    <w:p>
      <w:pPr>
        <w:spacing w:after="0" w:line="170"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On February 28, 2020, we entered into an LLC Purchase Agreement with Medexus, pursuant to which Aptevo sold all of the issued and outstanding limited liability company interests of Aptevo BioTherapeutics, a wholly owned subsidiary of Aptevo. As a result of the transaction, Medexus obtained all right, title and interest to the IXINITY product and the related Hemophilia B business and intellectual property.</w:t>
      </w:r>
    </w:p>
    <w:p>
      <w:pPr>
        <w:spacing w:after="0" w:line="165"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In connection with the sale of Aptevo BioTherapeutics, we recognized net income from discontinued operations totaling $13.1 million for the nine months ended September 30, 2020. This included the gain on the sale of Aptevo BioTherapeutics of $14.3 million and net operating losses from Aptevo BioTherapeutics of $1.6 million related to the period prior to the sale on February 28, 2020. The LLC Purchase Agreement with Medexus entitles us to future deferred payments and milestones. Consideration related to the deferred payments and future milestone constitutes contingent consideration. Per ASC 450-30 – Gain Contingencies, gain contingencies usually are not recognized in the financial statements until the period in which all contingencies are resolved and the gain is realized or realizable. As Medexus communicates payment amounts and sales details subsequent to quarter-end and there is uncertainty as to the amount of the payment before quarter-end, we will record deferred payments in the quarter the payment is received. Medexus reported their second quarter 2020 net IXINITY sales to Aptevo in July and made a deferred payment to Aptevo of $0.2 million in August. Additionally, Medexus reported their estimated third quarter 2020 net IXINITY sales to Aptevo in October and expects to make a deferred payment within 45 days after quarter-end, per the LLC Purchase Agreement, to Aptevo of approximately $0.1 million. We will record the deferred payment amount related to Medexus’ third quarter sales of IXINITY as a gain in the fourth quarter of 2020.</w:t>
      </w:r>
    </w:p>
    <w:p>
      <w:pPr>
        <w:spacing w:after="0" w:line="18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For the three and nine months ended September 30, 2019, income from discontinued operations was primarily due to the receipt of the $4.3 million milestone payment from Saol International Limited, in conjunction with the sale in September 2017 of our hyperimmune business. This was recorded as a gain in discontinued operations, net of tax, of $3.3 million.</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Critical Accounting Policies and Significant Judgments and Estimates</w:t>
      </w:r>
    </w:p>
    <w:p>
      <w:pPr>
        <w:spacing w:after="0" w:line="117"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The preparation of our condensed consolidated financial statements in conformity with accounting principles generally accepted in the United States, or GAAP, requires management to make estimates and assumptions that affect the amounts reported in the financial statements and accompanying notes. We base our estimates on historical experience and on various other factors that we believe are reasonable under the circumstances; however, actual results could differ from those estimates. An accounting policy is considered critical if it is important to a company’s financial condition and results of operations and if it requires the exercise of significant judgments and the use of estimates on the part of management in its application. Although we believe that our judgments and estimates are appropriate, actual results may differ materially from our estimates.</w:t>
      </w:r>
    </w:p>
    <w:p>
      <w:pPr>
        <w:spacing w:after="0" w:line="16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We believe the judgment, estimates and assumptions associated with the following critical accounting policies have the greatest potential impact on our condensed consolidated financial statements:</w:t>
      </w:r>
    </w:p>
    <w:p>
      <w:pPr>
        <w:spacing w:after="0" w:line="62" w:lineRule="exact"/>
        <w:rPr>
          <w:sz w:val="20"/>
          <w:szCs w:val="20"/>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Royalty revenue recognition;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Given the global economic climate and additional or unforeseen effects from the COVID-19 pandemic, these estimates are more challenging, and actual results could differ materially from those estimates.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have any off-balance sheet arrangements as of September 30, 2020.</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We have financed our operations to date primarily through revenue generated from royalty payments from Pfizer, deferred payments from Medexus, our commercial products, the sale of our hyperimmune products business in 2017, the sale of Aptevo BioTherapeutics on February 28, 2020, public offerings of our common stock, loan proceeds, license fees, milestone payments and research and development funding from strategic partners, and funds received at the date of our spin-off from Emergent. As of September 30, 2020, we had cash, and cash equivalents in the amount of $24.9 million.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jc w:val="both"/>
        <w:ind w:firstLine="510"/>
        <w:spacing w:after="0" w:line="286" w:lineRule="auto"/>
        <w:rPr>
          <w:sz w:val="20"/>
          <w:szCs w:val="20"/>
          <w:color w:val="auto"/>
        </w:rPr>
      </w:pPr>
      <w:r>
        <w:rPr>
          <w:rFonts w:ascii="Arial" w:cs="Arial" w:eastAsia="Arial" w:hAnsi="Arial"/>
          <w:sz w:val="17"/>
          <w:szCs w:val="17"/>
          <w:color w:val="auto"/>
        </w:rPr>
        <w:t>In February 2020, we used $22.1 million from the proceeds of the sale of Aptevo BioTherapeutics to Medexus to repay in full our term debt facility with MidCap Financial Trust, including $20 million of principal and $2.1 million in an end of facility fee, accrued interest, legal fees and prepayment fees. Repayment of the debt relieved us of our obligation to keep $5 million of cash restricted related to the agreement with MidCap.</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table provides information regarding our cash flows for the nine months ended September 30, 2020 </w:t>
      </w:r>
      <w:r>
        <w:rPr>
          <w:rFonts w:ascii="Arial" w:cs="Arial" w:eastAsia="Arial" w:hAnsi="Arial"/>
          <w:sz w:val="18"/>
          <w:szCs w:val="18"/>
          <w:color w:val="231F20"/>
        </w:rPr>
        <w:t>and 2019:</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4"/>
              </w:rPr>
              <w:t>For the Nine Months Ended September 30,</w:t>
            </w:r>
          </w:p>
        </w:tc>
        <w:tc>
          <w:tcPr>
            <w:tcW w:w="0" w:type="dxa"/>
            <w:vAlign w:val="bottom"/>
          </w:tcPr>
          <w:p>
            <w:pPr>
              <w:spacing w:after="0"/>
              <w:rPr>
                <w:sz w:val="1"/>
                <w:szCs w:val="1"/>
                <w:color w:val="auto"/>
              </w:rPr>
            </w:pPr>
          </w:p>
        </w:tc>
      </w:tr>
      <w:tr>
        <w:trPr>
          <w:trHeight w:val="155"/>
        </w:trPr>
        <w:tc>
          <w:tcPr>
            <w:tcW w:w="676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476"/>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Operating activities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(23,195)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(37,283)</w:t>
            </w: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28,120</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2,626</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(decrease) in cash, cash equivalents, and restricted cash</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7,551</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(12,902)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Net cash used in operating activities of $23.2 million for the nine months ended September 30, 2020, was primarily due to our net loss of $10.7 million, and changes in working capital accounts. Net cash used in operating activities of $37.3 million for the nine months ended September 30, 2019, was primarily due to our net loss of $32.3 million, and changes in working capital accounts.</w:t>
      </w:r>
    </w:p>
    <w:p>
      <w:pPr>
        <w:spacing w:after="0" w:line="21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Net cash provided by investing activities for the nine months ended September 30, 2020, was due to the cash received from the sale of Aptevo BioTherapeutics, net of transaction fees. For the nine months ended September 30, 2019, the net cash provided by investing activities was primarily due to the receipt of the $4.3 million milestone payment from Saol International Limited, in conjunction with the sale in September 2017 of our hyperimmune business, net of the purchase of property and equipment.</w:t>
      </w:r>
    </w:p>
    <w:p>
      <w:pPr>
        <w:spacing w:after="0" w:line="22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Net cash provided by financing activities for the nine months ended September 30, 2020, is primarily due to the proceeds of $24.7 million from the credit agreement we entered into with MidCap on August 5, 2020, which was offset by the $22.1 million repayment of long-term debt in the first quarter of 2020. Net cash provided by financing activities for the nine months ended September 30, 2019, is primarily due to $20.2 million received from the issuance of common stock and related warrants and the exercise of warrants.</w:t>
      </w:r>
    </w:p>
    <w:p>
      <w:pPr>
        <w:spacing w:after="0" w:line="3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Credit Agreement</w:t>
      </w:r>
    </w:p>
    <w:p>
      <w:pPr>
        <w:spacing w:after="0" w:line="117" w:lineRule="exact"/>
        <w:rPr>
          <w:sz w:val="20"/>
          <w:szCs w:val="20"/>
          <w:color w:val="auto"/>
        </w:rPr>
      </w:pPr>
    </w:p>
    <w:p>
      <w:pPr>
        <w:jc w:val="both"/>
        <w:ind w:firstLine="510"/>
        <w:spacing w:after="0" w:line="305" w:lineRule="auto"/>
        <w:rPr>
          <w:sz w:val="20"/>
          <w:szCs w:val="20"/>
          <w:color w:val="auto"/>
        </w:rPr>
      </w:pPr>
      <w:r>
        <w:rPr>
          <w:rFonts w:ascii="Arial" w:cs="Arial" w:eastAsia="Arial" w:hAnsi="Arial"/>
          <w:sz w:val="16"/>
          <w:szCs w:val="16"/>
          <w:color w:val="auto"/>
        </w:rPr>
        <w:t>On August 5, 2020, we entered into a Credit and Security Agreement (Credit Agreement), with MidCap Financial Trust. The Credit Agreement provided us with up to $25 million of available borrowing capacity. The full $25 million was drawn on the closing date of the Credit Agreement. The MidCap loan has a 48 month term, is interest-only for the first 18 months, with straight-line amortization for the remaining 30 months and bears interest at a rate of one month LIBOR plus 6.25% per annum, subject to a 1.50% LIBOR floor and a 2.50% LIBOR cap. The loan includes additional repayment provisions should either or both of the royalties or milestones related to IXINITY or royalties related to RUXIENCE be sold during the term of the loan.</w:t>
      </w:r>
    </w:p>
    <w:p>
      <w:pPr>
        <w:spacing w:after="0" w:line="154"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On November 6, 2020, Tang Capital Partners LP, Tang Capital Management, LLC and Kevin Tang (collectively, “Tang”) jointly filed a statement on Schedule 13D to report that Tang had purchased 1,760,000 shares of our common stock, representing approximately 54% of our issued and outstanding shares of Common Stock. This acquisition of voting stock triggered a change in control, resulting in an Event of Default under Section 10.1(a)(ii) of the Credit Agreement. On November 10, 2020, we obtained a waiver from MidCap pursuant to which, among other things, MidCap waived the event of default arising from the acquisition of voting stock by Tang and we and MidCap agreed that an immediate event of default under the Credit Agreement will be deemed to have occurred in the event that (a) a majority of the seats on our board of directors are occupied by persons who were neither (i) nominated by our board of directors nor (ii) appointed by the directors so nominated, and (b) Tang has appointed the majority of our board of directors.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Equity Distribution Agreement</w:t>
      </w:r>
    </w:p>
    <w:p>
      <w:pPr>
        <w:spacing w:after="0" w:line="117"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On November 9, 2017, we entered into an Equity Distribution Agreement with Piper Sandler &amp; Co (Piper Sandler). The Equity Distribution Agreement provides that, upon the terms and subject to the conditions set forth therein, we may issue and sell through Piper Sandler, acting as sales agent, shares of our common stock having an aggregate offering price of up to $17.5 million. We have no obligation to sell any such shares under the Equity Distribution Agreement. The sale of the shares of our common stock by Piper Sandler will be effected pursuant to a Registration Statement on Form S-3 which we filed on November 9, 2017. We issued no additional shares under the Equity Distribution Agreement in 2020. Following prior sales, we have the ability to sell up to an additional $17.3 million of common stock under the Equity Distribution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jc w:val="both"/>
        <w:ind w:firstLine="510"/>
        <w:spacing w:after="0" w:line="277" w:lineRule="auto"/>
        <w:rPr>
          <w:sz w:val="20"/>
          <w:szCs w:val="20"/>
          <w:color w:val="auto"/>
        </w:rPr>
      </w:pPr>
      <w:r>
        <w:rPr>
          <w:rFonts w:ascii="Arial" w:cs="Arial" w:eastAsia="Arial" w:hAnsi="Arial"/>
          <w:sz w:val="18"/>
          <w:szCs w:val="18"/>
          <w:color w:val="auto"/>
        </w:rPr>
        <w:t>The Equity Distribution Agreement will terminate upon the issuance and sale of all shares under the Equity Distribution Agreement or upon the earlier termination thereof at any time by us or Piper Sandler upon notice to the other party.</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Purchase Agreement</w:t>
      </w:r>
    </w:p>
    <w:p>
      <w:pPr>
        <w:spacing w:after="0" w:line="13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On December 20, 2018, we entered into the Purchase Agreement, and a registration rights agreement with Lincoln Park. Pursuant to the purchase agreement, Lincoln Park has committed to purchase up to $35.0 million worth of our common stock over a 36-month period commencing on February 13, 2019, the date the registration statement covering the resale of the shares was declared effective by the SEC. Pursuant to this purchase agreement, we issued 13,991 commitment shares of common stock in the first quarter of 2019 and none in 2020.</w:t>
      </w:r>
    </w:p>
    <w:p>
      <w:pPr>
        <w:spacing w:after="0" w:line="187"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Under the Purchase Agreement, on any business day selected by us, we may direct Lincoln Park to purchase shares of our common stock provided that Lincoln Park’s maximum commitment on any single day does not exceed $2.0 million. The purchase price per share will be based off of prevailing market prices of our common stock immediately preceding the time of sale; provided, however, that we cannot direct any such purchase if the prevailing market price is less than $1.00. In addition, we may also direct Lincoln Park to purchase other amounts as accelerated purchases or as additional accelerated purchases if the closing sale price of our common stock exceeds certain threshold prices as set forth in the Purchase Agreement. We have not sold any shares under the Purchase Agreement through the third quarter of 2020.</w:t>
      </w:r>
    </w:p>
    <w:p>
      <w:pPr>
        <w:spacing w:after="0" w:line="17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Actual sales of shares of our common stock to Lincoln Park under the Purchase Agreement will depend on a variety of factors as determined by us from time to time, including, among others, market conditions, the trading price of our common stock and additional determinations as to the appropriate sources of funding for our operations. Lincoln Park has no right to require any sales, but is obligated to make purchases as we direct, in accordance with the Purchase Agreement.</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We have financed our operations to date primarily through revenue generated from royalty payments from Pfizer, deferred payments from Medexus, the sale of our hyperimmune products business in 2017, the sale of Aptevo BioTherapeutics LLC on February 28, 2020, public offerings of our common stock, loan proceeds, license fees, milestone payments and research and development funding from strategic partners, and funds received at the date of our spin-off from Emergent. For the three and nine months ended September 30, 2020, we had a net loss of $6.8 million and $10.7 million, respectively. We had cash and cash equivalents of $24.9 million, restricted cash of $2.6 million and an accumulated deficit of $178.6 million as of September 30, 2020.</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nine months ended September 30, 2020, net cash used in our operating activities was $23.2 million.</w:t>
      </w:r>
    </w:p>
    <w:p>
      <w:pPr>
        <w:spacing w:after="0" w:line="225"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Our future success is dependent on our ability to develop our product candidates and ultimately upon our ability to attain profitable operations. We anticipate that we will continue to incur significant operating losses for the next several years as we incur expenses to continue to execute on our development strategy to advance our preclinical and clinical stage assets. We will not generate revenues from our development stage product candidates unless and until we or our collaborators successfully complete development and obtain regulatory approval for such product candidates, which we expect will take a number of years and is subject to significant uncertainty.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 We will require substantial additional funds to continue our development programs and to fulfill our planned operating goals.</w:t>
      </w:r>
    </w:p>
    <w:p>
      <w:pPr>
        <w:spacing w:after="0" w:line="166"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Due to COVID-19, we may experience delays in opportunities to partner our product candidates, due to financial and other impacts on potential partners. Additionally, we may experience potential impacts on our future deferred payments and milestones from Medexus and royalty payments from Pfizer due to the environment, which may impact Medexus’ and Pfizer’s ability to continue to successfully commercialize the IXINITY and RUXIENCE businesses, respectively. We believe that our existing cash resources, the cash to be generated from future royalty and deferred payments, access to cash under the Purchase Agreement with Lincoln Park LLC, release of restricted cash from letters of credit, and the new Credit Agreement of $25 million with Midcap Financial Trust, will be sufficient to meet our projected operating requirements and debt service for at least twelve months from the date of this Form 10-Q filing.</w:t>
      </w:r>
    </w:p>
    <w:p>
      <w:pPr>
        <w:spacing w:after="0" w:line="19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July 2020, we announced that we engaged Piper Sandler to sell our RUXIENCE and IXINITY royalty streams and, deferred payments and milestones, respectively, in order to provide additional funding for the development of our product candidates. However, there is no guarantee that we will be successful in completing such sales. In addition, our MidCap Credit Agreement includes repayment provisions should either or both of the royalties or milestones related to IXINITY or royalties related to RUXIENCE be sold during the term of the loan.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ind w:firstLine="510"/>
        <w:spacing w:after="0" w:line="308" w:lineRule="auto"/>
        <w:rPr>
          <w:sz w:val="20"/>
          <w:szCs w:val="20"/>
          <w:color w:val="auto"/>
        </w:rPr>
      </w:pPr>
      <w:r>
        <w:rPr>
          <w:rFonts w:ascii="Arial" w:cs="Arial" w:eastAsia="Arial" w:hAnsi="Arial"/>
          <w:sz w:val="17"/>
          <w:szCs w:val="17"/>
          <w:color w:val="auto"/>
        </w:rPr>
        <w:t>There are numerous risks and uncertainties associated with research, development and commercialization of pharmaceutical products. Accordingly, our future funding requirements may vary from our current expectations and will depend on many factors, including, but not limited to:</w:t>
      </w:r>
    </w:p>
    <w:p>
      <w:pPr>
        <w:spacing w:after="0" w:line="38"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establish and maintain strategic partnerships, licensing or other arrangements and the financial terms of such agreements;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of conducting preclinical and clinical trials;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timing of, and the costs involved in, completing our clinical trials and obtaining regulatory approvals for our product candidates;</w:t>
      </w:r>
    </w:p>
    <w:p>
      <w:pPr>
        <w:spacing w:after="0" w:line="128" w:lineRule="exact"/>
        <w:rPr>
          <w:rFonts w:ascii="Arial" w:cs="Arial" w:eastAsia="Arial" w:hAnsi="Arial"/>
          <w:sz w:val="17"/>
          <w:szCs w:val="17"/>
          <w:color w:val="auto"/>
        </w:rPr>
      </w:pPr>
    </w:p>
    <w:p>
      <w:pPr>
        <w:ind w:left="100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including litigation costs and the outcome of such litigation;</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our product candidates are approved for sale, including marketing, sales and distribution costs;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receipt and amount of any royalty payments from Pfizer with respect to RUXIENCE;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receipt and amount of any milestone payments and deferred payments from Medexus with respect to IXINITY;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If we are unable to raise substantial additional capital in the next year, whether on terms that are acceptable to us or at all, then we may be required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03" w:lineRule="exact"/>
        <w:rPr>
          <w:sz w:val="20"/>
          <w:szCs w:val="20"/>
          <w:color w:val="auto"/>
        </w:rPr>
      </w:pPr>
    </w:p>
    <w:p>
      <w:pPr>
        <w:ind w:left="1000" w:hanging="493"/>
        <w:spacing w:after="0"/>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delay, limit, reduce or terminate our clinical trials or other development activities for one or more of our product candidates; and/or,</w:t>
      </w:r>
    </w:p>
    <w:p>
      <w:pPr>
        <w:spacing w:after="0" w:line="128" w:lineRule="exact"/>
        <w:rPr>
          <w:rFonts w:ascii="Arial" w:cs="Arial" w:eastAsia="Arial" w:hAnsi="Arial"/>
          <w:sz w:val="17"/>
          <w:szCs w:val="17"/>
          <w:color w:val="auto"/>
        </w:rPr>
      </w:pPr>
    </w:p>
    <w:p>
      <w:pPr>
        <w:ind w:left="1000" w:right="2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 limit, reduce or terminate our establishment of other activities that may be necessary to commercialize our product candidates, if approved.</w:t>
      </w:r>
    </w:p>
    <w:p>
      <w:pPr>
        <w:spacing w:after="0" w:line="170"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The sale of additional equity or convertible debt securities may result in additional dilution to our stockholders. If we raise additional funds through the issuance of debt securities or preferred stock or through credit facilities, these securities and/or the loans under credit facilities could provide for rights senior to those of our common stock and could contain covenants that would restrict our operations. Additional funds may not be available when we need them, on terms that are acceptable to us, or at all. We also expect to seek additional funds through arrangements with collaborators, licensees or other third parties. These arrangements would generally require us to relinquish or encumber rights to some of our technologies or drug candidates, and we may not be able to enter into such arrangements on acceptable terms, if at all. Due to COVID-19, we may experience delays in opportunities to partner our product candidates, due to financial and other impacts on potential partners.</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In January 2020, we entered into a contract with The Leukemia &amp; Lymphoma Society (LLS) to be part of an ongoing national AML master clinical trial called the ‘Beat AML Master Clinical Trial.’ The Beat AML Master Clinical Trial provides access to leading academic cancer centers and allows us to study APVO436 in a front-line AML setting. Our purchase obligation for the Beat AML Master Clinical Trial totals $8.1 million over the next four years. The Clinical Trial Participation Agreement contains a termination for convenience clause where we may terminate the agreement with 180 days prior written notice.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As of September 30, 2020, there were no material changes to the information provided under Item 7A, Quantitative and Qualitative Disclosures About Market Risk in our Annual Report filed on Form 10-K for the year ended December 31, 2019 and filed on March 25,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121"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As of September 30, 2020, management, with the participation of our Chief Executive Officer and Chief Financial Officer, performed an evaluation of the effectiveness of the design and operation of our disclosure controls and procedures as defined in Rules 13a- 15(e) and 15d-15(e) of the Exchange Act. Based on this evaluation, our Chief Executive Officer and Chief Financial Officer concluded that, as of September 30, 2020, the design and operation of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quarter ended September 30, 2020, that have materially affected, or are reasonably likely to materially affect, our internal control over financial reporting.</w:t>
      </w:r>
    </w:p>
    <w:p>
      <w:pPr>
        <w:spacing w:after="0" w:line="18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may from time to time be named as a party to legal claims, actions and complaints, including matters involving employment claims, our intellectual property or other third-party claims. Our management believes that there are currently no claims or actions pending against us, the ultimate disposition of which could have a material adverse effect on our results of operations, financial condition or cash flows.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i w:val="1"/>
          <w:iCs w:val="1"/>
          <w:color w:val="auto"/>
        </w:rPr>
        <w:t>You should carefully consider the following risks and other information in this Quarterly Report on Form 10-Q in evaluating us and our common stock. Any of the following risks could materially and adversely affect our results of operations, financial condition or financial prospects.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the material risks to our business, operations and ownership of our common stock:</w:t>
      </w:r>
    </w:p>
    <w:p>
      <w:pPr>
        <w:spacing w:after="0" w:line="131" w:lineRule="exact"/>
        <w:rPr>
          <w:sz w:val="20"/>
          <w:szCs w:val="20"/>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a history of losses, may not be profitable in the future and will require additional capital.</w:t>
      </w:r>
    </w:p>
    <w:p>
      <w:pPr>
        <w:spacing w:after="0" w:line="117" w:lineRule="exact"/>
        <w:rPr>
          <w:rFonts w:ascii="Arial" w:cs="Arial" w:eastAsia="Arial" w:hAnsi="Arial"/>
          <w:sz w:val="18"/>
          <w:szCs w:val="18"/>
          <w:color w:val="auto"/>
        </w:rPr>
      </w:pPr>
    </w:p>
    <w:p>
      <w:pPr>
        <w:ind w:left="1000" w:hanging="493"/>
        <w:spacing w:after="0" w:line="308"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future income will be dependent on the ability of Medexus and Pfizer to successfully further develop, market and commercialize IXINITY or RUXIENCE, respectively, resulting in the payment of milestone, deferred and CD20 biosimilar product (royalty) payments.</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COVID-19 could adversely impact our business, including our clinical trials.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of our credit agreement may restrict the operation of our business and limit the cash available for investment in our business operations.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Development and commercialization of our product candidates may be terminated or delayed.</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execute on our long-term strategy depends heavily on our ability to discover, develop, and obtain marketing approval for our product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successful in our efforts to use and further develop our ADAPTIR platform.</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long-term success depends, in part, upon our ability to develop, receive regulatory approval for and commercialize our product candidates.</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are unable to protect our intellectual proprietary rights, or others assert we are infringing third-party intellectual property rights, our business could be harmed.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stock price may be volatile.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subject to periodic litigation, which could result in losses or unexpected expenditure of time and resources.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Actions of activist stockholders against us could be disruptive and costly and the possibility that activist stockholders may wage proxy contests or seek representation on our Board could cause uncertainty about the strategic direction of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be profitable in the future.</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For the nine months ended September 30, 2020 and 2019, we had net losses of $10.7 million and net losses of $32.3 million, respectively. As of September 30, 2020, we had an accumulated deficit of $178.6 million.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We will require additional capital and may be unable to raise capital when needed or on acceptable terms.</w:t>
      </w:r>
    </w:p>
    <w:p>
      <w:pPr>
        <w:spacing w:after="0" w:line="117"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As of September 30, 2020, we had cash, cash equivalents, and restricted cash in the amount of $27.5 million. We will require additional funding to grow our business including to develop additional products, support commercial marketing activities or otherwise provide additional financial flexibility. In October 2019, we implemented an expense reduction plan that reduced annual expenditures by approximately 30%, including streamlining research and development programs, through reducing investment in certain programs; cut-backs in legal, professional and consulting expenses; reduction of leased space, cut-backs in non-commercial headcount; and reductions in executive and board cash compensation, with such compensation restored to previous levels in August 2020. If we are not able to secure adequate additional funding, we may need to make reductions in spending. This may include extending payment terms with suppliers, liquidating assets, and suspending or curtailing planned programs. We may also have to further delay, reduce the scope of, suspend or eliminate one or more research and development programs. A failure to raise the additional funding or to effectively implement cost reductions could harm our business, results of operations and future prospects. Our future capital requirements will depend on many factors, including:</w:t>
      </w:r>
    </w:p>
    <w:p>
      <w:pPr>
        <w:spacing w:after="0" w:line="58" w:lineRule="exact"/>
        <w:rPr>
          <w:sz w:val="20"/>
          <w:szCs w:val="20"/>
          <w:color w:val="auto"/>
        </w:rPr>
      </w:pPr>
    </w:p>
    <w:p>
      <w:pPr>
        <w:ind w:left="100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level, timing and receipt of any milestone or deferred payments under our agreement with Medexus with respect to the sales of IXINITY or royalty payments under our agreement with Pfizer with respect to the sales of RUXIENCE;</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sell our rights to receive royalty payments from Pfizer with respect to the sales of RUXIENCE and/or deferred payments and milestones from Medexus with respect to the sales of IXINITY on terms acceptable to us;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to which we invest in products or technologies;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satisfy the payment obligations and covenants under any future indebtedness;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secure partnerships and/or collaborations that generate additional cash;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capital improvements to our facilities;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progress, results and costs of our development activities;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future clinical development costs and requirements to complete dosing of Phase 1/1b clinical trial for APVO436.</w:t>
      </w:r>
    </w:p>
    <w:p>
      <w:pPr>
        <w:spacing w:after="0" w:line="225"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If our capital resources are insufficient to meet our future capital requirements, we will need to finance our cash needs through bank loans, public or private equity or debt offerings, collaboration and licensing arrangements or other strategic transactions. Future issuances of common stock may include (i) any sale of up to the remaining $17.3 million worth of shares of our common stock pursuant to our Equity Distribution Agreement with Piper Sandler &amp; Co entered into in November 2017, (ii) any sale of up to $35.0 million worth of shares of our common stock in a private placement pursuant to our Purchase Agreement with Lincoln Park Capital Fund, LLC, or Lincoln Park, entered into in December 2018, and (iii) the issuance of up to 1,571,429 shares of common stock upon the exercise of warrants issued in connection with our March 2019 public offering of common stock and warrants. Public or bank debt financing, if available, may involve agreements that include covenants limiting or restricting our ability to take specific actions, such as incurring additional debt, making capital expenditures, pursuing acquisition opportunities or declaring dividends. If we raise funds by issuing equity securities, our stockholders will experience dilution. If we raise funds through collaboration and licensing arrangements with third parties or enter into other strategic transactions, it may be necessary to relinquish valuable rights to our technologies or product candidates or grant licenses on terms that may not be favorable to us. For example, in July 2020, we announced that we intend to sell our rights to receive royalty payments from Pfizer with respect to the sales of RUXIENCE and our rights to deferred payments and milestones from Medexus with respect to IXINITY.</w:t>
      </w:r>
    </w:p>
    <w:p>
      <w:pPr>
        <w:spacing w:after="0" w:line="168" w:lineRule="exact"/>
        <w:rPr>
          <w:sz w:val="20"/>
          <w:szCs w:val="20"/>
          <w:color w:val="auto"/>
        </w:rPr>
      </w:pPr>
    </w:p>
    <w:p>
      <w:pPr>
        <w:jc w:val="both"/>
        <w:ind w:right="20" w:firstLine="510"/>
        <w:spacing w:after="0" w:line="311" w:lineRule="auto"/>
        <w:rPr>
          <w:sz w:val="20"/>
          <w:szCs w:val="20"/>
          <w:color w:val="auto"/>
        </w:rPr>
      </w:pPr>
      <w:r>
        <w:rPr>
          <w:rFonts w:ascii="Arial" w:cs="Arial" w:eastAsia="Arial" w:hAnsi="Arial"/>
          <w:sz w:val="16"/>
          <w:szCs w:val="16"/>
          <w:color w:val="auto"/>
        </w:rPr>
        <w:t>Current economic conditions, including the impact of COVID-19 on our operations or on the global economy and capital markets, may make it difficult to obtain additional financing on attractive terms, or at all. If financing is unavailable or lost, our business, results of operations, financial condition and financial prospects would be adversely affected and we could be forced to delay, reduce the scope of or eliminate many of our planned activities.</w:t>
      </w:r>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Actions of activist stockholders against us could be disruptive and costly and the possibility that activist stockholders may wage proxy contests or seek representation on our Board could cause uncertainty about the strategic direction of our business.</w:t>
      </w:r>
    </w:p>
    <w:p>
      <w:pPr>
        <w:spacing w:after="0" w:line="6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Stockholders may from time to time engage in proxy solicitations, advance stockholder proposals or board nominations or otherwise attempt to effect changes, assert influence or acquire some level of control over us.</w:t>
      </w:r>
    </w:p>
    <w:p>
      <w:pPr>
        <w:spacing w:after="0" w:line="17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On November 6, 2020, Tang Capital Partners LP, Tang Capital Management, LLC and Kevin Tang (collectively, “Tang”) jointly filed a statement on Schedule 13D to report that Tang had purchased 1,760,000 shares of our common stock, representing approximately 54% of our issued and outstanding shares of Common Stock. Activist stockholders such as Tang may from time to time attempt to effect changes in our strategic direction, and in furtherance thereof, may seek changes in how our company is governed.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9" w:name="page30"/>
    <w:bookmarkEnd w:id="29"/>
    <w:p>
      <w:pPr>
        <w:jc w:val="both"/>
        <w:ind w:firstLine="510"/>
        <w:spacing w:after="0" w:line="263" w:lineRule="auto"/>
        <w:rPr>
          <w:sz w:val="20"/>
          <w:szCs w:val="20"/>
          <w:color w:val="auto"/>
        </w:rPr>
      </w:pPr>
      <w:r>
        <w:rPr>
          <w:rFonts w:ascii="Arial" w:cs="Arial" w:eastAsia="Arial" w:hAnsi="Arial"/>
          <w:sz w:val="18"/>
          <w:szCs w:val="18"/>
          <w:color w:val="auto"/>
        </w:rPr>
        <w:t>Our Board and management team strive to maintain constructive, ongoing communications with our stockholders, including Tang, and welcomes their views and opinions with the goal of enhancing value for all stockholders. However, an activist campaign that seeks to replace members of our Board or changes in our strategic direction could have an adverse effect on us because:</w:t>
      </w:r>
    </w:p>
    <w:p>
      <w:pPr>
        <w:spacing w:after="0" w:line="76" w:lineRule="exact"/>
        <w:rPr>
          <w:sz w:val="20"/>
          <w:szCs w:val="20"/>
          <w:color w:val="auto"/>
        </w:rPr>
      </w:pPr>
    </w:p>
    <w:p>
      <w:pPr>
        <w:jc w:val="both"/>
        <w:ind w:left="1000" w:hanging="493"/>
        <w:spacing w:after="0" w:line="26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Responding to actions by activist stockholders can disrupt our operations, are costly and time-consuming, and divert the attention of our Board and senior management team from the pursuit of business strategies, which could adversely affect our results of operations and financial condition;</w:t>
      </w:r>
    </w:p>
    <w:p>
      <w:pPr>
        <w:spacing w:after="0" w:line="75" w:lineRule="exact"/>
        <w:rPr>
          <w:rFonts w:ascii="Arial" w:cs="Arial" w:eastAsia="Arial" w:hAnsi="Arial"/>
          <w:sz w:val="18"/>
          <w:szCs w:val="18"/>
          <w:color w:val="auto"/>
        </w:rPr>
      </w:pPr>
    </w:p>
    <w:p>
      <w:pPr>
        <w:jc w:val="both"/>
        <w:ind w:left="1000" w:hanging="493"/>
        <w:spacing w:after="0" w:line="259"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Perceived uncertainties as to our future direction as a result of changes to the composition of our Board or changes to our stockholder base may lead to the perception of a change in the direction of the business, instability or lack of continuity which may be exploited by our competitors, may result in the loss of potential business opportunities, cause concern for those enrolling in our clinical trial and make it more difficult to attract and retain qualified personnel and business partners;</w:t>
      </w:r>
    </w:p>
    <w:p>
      <w:pPr>
        <w:spacing w:after="0" w:line="78"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These types of actions could cause significant fluctuations in our stock price based on temporary or speculative market perceptions or other factors that do not necessarily reflect the underlying fundamentals and prospects of our business;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individuals are elected to our Board with a specific agenda, it may adversely affect our ability to effectively implement our business strategy and to create additional value for our stockholders; and,</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may trigger an event of default under the Credit Agreement, which could result in the acceleration of amounts due under the Credit Agreement, and we may not be able to obtain additional financing to make any accelerated payments.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unpredictable and may fluctuate.</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Our operating results are difficult to predict and will likely fluctuate from quarter to quarter and year to year, as a result due to a variety of factors, including:</w:t>
      </w:r>
    </w:p>
    <w:p>
      <w:pPr>
        <w:spacing w:after="0" w:line="62" w:lineRule="exact"/>
        <w:rPr>
          <w:sz w:val="20"/>
          <w:szCs w:val="20"/>
          <w:color w:val="auto"/>
        </w:rPr>
      </w:pPr>
    </w:p>
    <w:p>
      <w:pPr>
        <w:ind w:left="100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level and timing of any milestone or deferred payments with respect to sales of IXINITY by Medexus or with respect to sales of RUXIENCE by Pfizer;</w:t>
      </w:r>
    </w:p>
    <w:p>
      <w:pPr>
        <w:spacing w:after="0" w:line="62" w:lineRule="exact"/>
        <w:rPr>
          <w:rFonts w:ascii="Arial" w:cs="Arial" w:eastAsia="Arial" w:hAnsi="Arial"/>
          <w:sz w:val="18"/>
          <w:szCs w:val="18"/>
          <w:color w:val="auto"/>
        </w:rPr>
      </w:pPr>
    </w:p>
    <w:p>
      <w:pPr>
        <w:jc w:val="both"/>
        <w:ind w:left="1000" w:hanging="493"/>
        <w:spacing w:after="0" w:line="255"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of any payments received from collaboration arrangements and development funding as well as the achievement of development and clinical milestones under collaboration and license agreements that we may enter into from time to time and that may vary significantly from quarter to quarter; and,</w:t>
      </w:r>
    </w:p>
    <w:p>
      <w:pPr>
        <w:spacing w:after="0" w:line="2" w:lineRule="exact"/>
        <w:rPr>
          <w:rFonts w:ascii="Arial" w:cs="Arial" w:eastAsia="Arial" w:hAnsi="Arial"/>
          <w:sz w:val="18"/>
          <w:szCs w:val="18"/>
          <w:color w:val="auto"/>
        </w:rPr>
      </w:pPr>
    </w:p>
    <w:p>
      <w:pPr>
        <w:ind w:left="1000" w:hanging="493"/>
        <w:spacing w:after="0" w:line="260"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cost and level of investment in our research and development activities as well as expenditures we will or may incur to acquire or develop additional technologies, products and product candidates.</w:t>
      </w:r>
    </w:p>
    <w:p>
      <w:pPr>
        <w:spacing w:after="0" w:line="226"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Due to COVID-19, we may experience delays in opportunities to partner our product candidates, due to financial and other impacts on potential partners. Additionally, we may experience potential impacts on our future milestone or deferred payments from Medexus and or royalty payments from Pfizer due to the environment which may impact Medexus’ and or Pfizer’s ability to continue to successfully commercialize the IXINITY and RUXIENCE businesses, respectively. In 2020, we did see an impact of COVID-19 on our business as some of our clinical sites were at reduced capacity or closed, as well as our BEAT AML trial being delayed by LLS. These and other factors may make it difficult for us to forecast our expected financial performance. If our operating results are below the expectations of securities analysts or investors, the trading price of our stock could decline.</w:t>
      </w:r>
    </w:p>
    <w:p>
      <w:pPr>
        <w:spacing w:after="0" w:line="27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Our future income will be dependent on the ability of Medexus and Pfizer to successfully further develop, market and commercialize IXINITY or RUXIENCE, respectively, resulting in the payment of milestone, deferred and CD20 biosimilar product (royalty) payments.</w:t>
      </w:r>
    </w:p>
    <w:p>
      <w:pPr>
        <w:spacing w:after="0" w:line="38"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6"/>
          <w:szCs w:val="16"/>
          <w:color w:val="auto"/>
        </w:rPr>
        <w:t>On February 28, 2020, we entered into an LLC Purchase Agreement with Medexus, pursuant to which we sold all of the issued and outstanding limited liability company interests of Aptevo BioTherapeutics, a subsidiary of Aptevo that wholly owns the IXINITY and related Hemophilia B business. We are entitled to receive future potential payments as the result of the achievement of certain regulatory and commercial milestones and through deferred payments based on net sales of IXINITY. We no longer control the development, marketing and commercialization of IXINITY and are dependent on Medexus to successfully do so. Although Medexus has agreed to use commercially reasonable efforts to commercialize IXINITY in the ordinary course of business in good faith, Medexus may not commit adequate resources to the further development, marketing and commercialization of IXINITY, may experience financial difficulties, may face competition, or may prioritize other products or initiatives. Due to COVID-19, we may experience potential impacts on our future deferred payments from Medexus due to the environment which may impact Medexus’ ability to continue to successfully commercialize the IXINITY business. The failure of Medexus to successfully market and commercialize IXINITY, including because of factors outside of Medexus’ control, could result in lower than expected milestone or deferred payments and negatively impact our future financial and operating results.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jc w:val="both"/>
        <w:ind w:firstLine="510"/>
        <w:spacing w:after="0" w:line="270" w:lineRule="auto"/>
        <w:rPr>
          <w:sz w:val="20"/>
          <w:szCs w:val="20"/>
          <w:color w:val="auto"/>
        </w:rPr>
      </w:pPr>
      <w:r>
        <w:rPr>
          <w:rFonts w:ascii="Arial" w:cs="Arial" w:eastAsia="Arial" w:hAnsi="Arial"/>
          <w:sz w:val="17"/>
          <w:szCs w:val="17"/>
          <w:color w:val="auto"/>
        </w:rPr>
        <w:t>On June 25, 2020, we announced that we will receive royalty payments from Pfizer related to sales of a rituximab biosimilar product, RUXIENCE (Rituximab-pvvr), which was approved by the U.S. Food and Drug Administration in July 2019 and launched by Pfizer in the United States and Japan in early 2020, and the European Union in the third quarter of 2020. The payments from Pfizer relates to a collaboration and license agreement acquired by us as part of our spin-off from Emergent in 2016, which applies a fixed royalty rate of 2.5% on net sales in the United States, European Union, and Japan. The agreement was originally executed by Trubion Pharmaceuticals (which was subsequently acquired by Emergent) and Wyeth (a wholly-owned subsidiary of Pfizer). The royalty term runs until the seventh anniversary of the first commercial sale of the biosimilar. Royalty payments to us are due within 60 days after the end of each quarter. Although the agreement was terminated in 2012, the royalty obligation survived. We have no control over the sales of RUXIENCE and are dependent on Pfizer to successfully do so. The failure of Pfizer to successfully commercialize RUXIENCE could result in lower than expected royalty payments and negatively impact our future financial and operating results.</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product liability exposure, which could cause us to incur substantial liabilities and negatively affect our business, financial condition and results of operations.</w:t>
      </w:r>
    </w:p>
    <w:p>
      <w:pPr>
        <w:spacing w:after="0" w:line="62"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The nature of our business exposes us to potential liability inherent in pharmaceutical products, including with respect to the testing of our product candidates in clinical trials and any product candidates that we successfully develop. Product liability claims might be made by patients in clinical trials, consumers, health care providers or pharmaceutical companies or others that sell any products that we successfully develop. These claims may be made even with respect to those products that are manufactured in licensed and regulated facilities or otherwise possess regulatory approval for study or commercial sale. We cannot predict the frequency, outcome or cost to defend any such claims.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If we cannot successfully defend ourselves against future claims that our product candidates caused injuries, we may incur substantial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Regardless of merit or eventual outcome, product liability claims may result in:</w:t>
      </w:r>
    </w:p>
    <w:p>
      <w:pPr>
        <w:spacing w:after="0" w:line="103" w:lineRule="exact"/>
        <w:rPr>
          <w:sz w:val="20"/>
          <w:szCs w:val="20"/>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publicity and/or injury to our reputation;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decreased demand or withdrawal of an approved product;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inability to commercialize products that we may develop.</w:t>
      </w:r>
    </w:p>
    <w:p>
      <w:pPr>
        <w:spacing w:after="0" w:line="225"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Claims or losses in excess of our product liability insurance coverage could have a material adverse effect on our business, financial condition and results of operations. The cost of defending any product liability litigation or other proceeding, even if resolved in our favor, could be substantial. Uncertainties resulting from the initiation and continuation of product liability litigation or other proceedings could have a material adverse effect on our ability to compete in the marketplace. Product liability claims, regardless of merit or eventual outcome, may absorb significant management time and result in reputational harm, potential loss of revenue from decreased demand for any product candidates we successfully develop, withdrawal of clinical trial participants and potential termination of clinical trial sites or entire clinical programs, and could cause our stock price to fall.</w:t>
      </w:r>
    </w:p>
    <w:p>
      <w:pPr>
        <w:spacing w:after="0" w:line="3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is dependent on our continued ability to attract, motivate and retain key personnel, and any failure to attract or retain key personnel may negatively affect our business.</w:t>
      </w:r>
    </w:p>
    <w:p>
      <w:pPr>
        <w:spacing w:after="0" w:line="62"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6"/>
          <w:szCs w:val="16"/>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including our Chief Executive Officer, Marvin L. White, our Chief Financial Officer, Jeffrey G. Lamothe, our Chief Scientific Officer, Jane Gross Ph.D., or other key employees, our ability to implement our business strategy could be materially harmed. We face intense competition for qualified employees from biotechnology and pharmaceutical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or otherwise attract and retain the qualified personnel necessary for the continued development of our business, we may not be able to maintain our operations or grow our business. Furthermore, we have experienced and may experience an impact on the health of key personnel due to COVID-19.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limitations.</w:t>
      </w:r>
    </w:p>
    <w:p>
      <w:pPr>
        <w:spacing w:after="0" w:line="117"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As of December 31, 2019, we had approximately $28.2 million and $3.0 million of federal and state net operating loss carryforwards, respectively, available to reduce future taxable income that will begin to expire in 2028 for federal purposes and 2029 for state tax purposes. These net operating loss carryforwards could expire unused and be unavailable to offset future income tax liabilities. Under the newly enacted federal income tax law, federal net operating losses incurred in 2018 and in future years may be carried forward indefinitely, but the deductibility of such federal net operating losses is limited. It is uncertain if and to what extent various states will conform to the newly enacted federal tax law. In addition, under Section 382 of the Internal Revenue Code of 1986, as amended, and corresponding provision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We have not assessed whether such an ownership change has previously occurred, including as a result of our March 2019 public offering of common stock and warrants. In addition, we may experience ownership changes in the future as a result of subsequent shifts in our stock ownership, some of which may be outside of our control. If an ownership change has occurred or occurs in the future and our ability to use our net operating loss carryforwards is materially limited, it would harm our future operating results by effectively increasing our future tax obligations.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could adversely impact our business, including our clinical trials.</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 novel strain of coronavirus, COVID-19 has spread through the world, including the United States. We have experienced and may experience additional disruptions that could severely impact our business and clinical trials, including:</w:t>
      </w:r>
    </w:p>
    <w:p>
      <w:pPr>
        <w:spacing w:after="0" w:line="62" w:lineRule="exact"/>
        <w:rPr>
          <w:sz w:val="20"/>
          <w:szCs w:val="20"/>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 of company operations, including work from home policies and office closures;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or difficulties in receiving deliveries of critical experimental materials;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or difficulties to the financing environment and raising capital due to economic uncertainty;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opportunities to partner our product candidates, due to financial and other impacts on potential partners;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impacts on our future deferred payments and milestones from Medexus due to the environment which may impact Medexus’ ability to continue to successfully commercialize the IXINITY business;</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impacts on our future royalty payments from Pfizer due to the environment which may impact Pfizer’s ability to continue to successfully commercialize RUXIENCE;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negative impact on suppliers and licensees;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further delay in APVO436 initiation in the Beat AML trial;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patient enrollment and clinical trial site monitoring; and,</w:t>
      </w:r>
    </w:p>
    <w:p>
      <w:pPr>
        <w:spacing w:after="0" w:line="117"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our business, including the conduct of our research and development activities and process development activities, due to the illness of employees or their families, or the preference of employees to avoid contact with large groups of people.</w:t>
      </w:r>
    </w:p>
    <w:p>
      <w:pPr>
        <w:spacing w:after="0" w:line="224"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The global outbreak of COVID-19 continues to rapidly evolve. The extent to which the COVID-19 pandemic may impact our business and clinical trials will depend on future developments, which are highly uncertain and cannot be predicted with confidence,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disease.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i w:val="1"/>
          <w:iCs w:val="1"/>
          <w:color w:val="auto"/>
        </w:rPr>
        <w:t>The terms of our credit agreement may restrict the operation of our business and limit the cash available for investment in our business operations.</w:t>
      </w:r>
    </w:p>
    <w:p>
      <w:pPr>
        <w:spacing w:after="0" w:line="140"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In August 2020, we entered into a Credit and Security Agreement (“the Credit Agreement”), by and among us and certain our subsidiaries as borrowers, MidCap Financial Trust, as agent, and the lenders from time to time party thereto. The terms of the Credit Agreement and borrowings we may make under the Credit Agreement in the future, could have significant adverse consequences for our business, including:</w:t>
      </w:r>
    </w:p>
    <w:p>
      <w:pPr>
        <w:spacing w:after="0" w:line="57" w:lineRule="exact"/>
        <w:rPr>
          <w:sz w:val="20"/>
          <w:szCs w:val="20"/>
          <w:color w:val="auto"/>
        </w:rPr>
      </w:pPr>
    </w:p>
    <w:p>
      <w:pPr>
        <w:ind w:left="100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any cash flow from operations to payment on our debt, which would reduce the amounts available to fund other corporate initiatives;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increasing the amount of interest that we have to pay on borrowings under the Credit Agreement if market rates of interest increase;</w:t>
      </w:r>
    </w:p>
    <w:p>
      <w:pPr>
        <w:spacing w:after="0" w:line="128" w:lineRule="exact"/>
        <w:rPr>
          <w:rFonts w:ascii="Arial" w:cs="Arial" w:eastAsia="Arial" w:hAnsi="Arial"/>
          <w:sz w:val="17"/>
          <w:szCs w:val="17"/>
          <w:color w:val="auto"/>
        </w:rPr>
      </w:pPr>
    </w:p>
    <w:p>
      <w:pPr>
        <w:jc w:val="both"/>
        <w:ind w:left="1000" w:hanging="493"/>
        <w:spacing w:after="0" w:line="263"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complying with restrictive covenants restricting, among other things, certain indebtedness, liens, dividends and other distributions, repayment of subordinated indebtedness, mergers, dispositions, investments, acquisitions, transactions with affiliates and modification of organizational documents or certain other agreements, subject to certain exceptions;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complying with affirmative covenants including payment and reporting covenants; and</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better debt servicing options or stronger debt servicing capacity.</w:t>
      </w:r>
    </w:p>
    <w:p>
      <w:pPr>
        <w:spacing w:after="0" w:line="170"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We may not have sufficient funds or be able to obtain additional financing to pay the amounts due under the Credit Agreement. In addition, failure to comply with the covenants under the Credit Agreement, including those outside of our control, such as the appointment by Tang of a majority of directors to our board, could result in an event of default. An event of default could result in the acceleration of amounts due under the Credit Agreement, and we may not be able to obtain additional financing to make any accelerated payments. Under these circumstances, our lenders could seek to enforce security interests in our assets securing our indebtedness, including our intellectual property.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Development Risks</w:t>
      </w:r>
    </w:p>
    <w:p>
      <w:pPr>
        <w:spacing w:after="0" w:line="13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results of our current and planned clinical trials may not satisfy the requirements of the FDA or non-U.S. regulatory authorities. Interim or top line data may be subject to change or qualification based the complete analysis of data.</w:t>
      </w:r>
    </w:p>
    <w:p>
      <w:pPr>
        <w:spacing w:after="0" w:line="62"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Clinical failure can occur at any stage of clinical development. Clinical trials may produce negative or inconclusive results. The FDA or a non-US regulatory authority may require us, to conduct additional clinical or preclinical testing. Success in early clinical trials does not mean that future larger registration clinical trials will be successful because product candidates in later-stage clinical trials may fail to demonstrate sufficient safety and efficacy to the satisfaction of the FDA and non-U.S. regulatory authorities despite having progressed through initial clinical trials.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192"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6"/>
          <w:szCs w:val="16"/>
          <w:color w:val="auto"/>
        </w:rPr>
        <w:t>We may publicly disclose top line or interim data from time to time, which is based on a preliminary analysis of then-available data, and the results and related findings and conclusions are subject to change following a more comprehensive review of the data related to the particular study or trial. The top line or interim results that we report may differ from future results of the same studies, or different conclusions or considerations may qualify such results, once additional data have been received and fully evaluated. Even in situations where a clinical stage candidate appears to be benefiting a patient, that benefit may not be of a permanent nature. For example, we have previously reported on a patient in cohort 4 of our APVO 436 Phase 1/1b clinical trial who showed a complete marrow response. That patient dropped out of the trial during the eleventh cycle of treatment because his/her disease progressed. We have also reported the complete remission for two patients in cohort 6 of our APVO 436 Phase 1/1b clinical trial, but there is no guarantee that their disease will not later progress and they will drop out of the trial. Top line and interim data also remain subject to audit and verification procedures, that may result in the final data being materially different from the preliminary data we previously published. In addition, the achievement of one primary endpoint for a trial does not guarantee that additional co-primary endpoints or secondary endpoints will be achieved.</w:t>
      </w:r>
    </w:p>
    <w:p>
      <w:pPr>
        <w:spacing w:after="0" w:line="168"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Further, our product candidates may not be approved even if they achieve their primary endpoints in Phase 3 clinical trials or registration trials. Regardless of any advisory committee recommendation, the FDA may decline to approve the BLA for a number of reasons including, if the clinical benefit, safety profile or effectiveness of the drug is not deemed by the FDA to warrant approval. The FDA or other non-U.S. regulatory authorities may disagree with our trial design, and our interpretation of data from preclinical studies and clinical trials. In particular, the FDA may not view our data as being clinically meaningful or statistically persuasive. In addition, any of these regulatory authorities may change requirements for the approval of a product candidate even after reviewing and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jc w:val="both"/>
        <w:spacing w:after="0" w:line="259" w:lineRule="auto"/>
        <w:rPr>
          <w:sz w:val="20"/>
          <w:szCs w:val="20"/>
          <w:color w:val="auto"/>
        </w:rPr>
      </w:pPr>
      <w:r>
        <w:rPr>
          <w:rFonts w:ascii="Arial" w:cs="Arial" w:eastAsia="Arial" w:hAnsi="Arial"/>
          <w:sz w:val="18"/>
          <w:szCs w:val="18"/>
          <w:color w:val="auto"/>
        </w:rPr>
        <w:t>providing comments or advice on a protocol for a pivotal Phase 3 clinical trial. Any of these regulatory authorities may also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spacing w:after="0" w:line="2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the time to reach critical trial data and receipt of any necessary regulatory approvals could be delayed.</w:t>
      </w:r>
    </w:p>
    <w:p>
      <w:pPr>
        <w:spacing w:after="0" w:line="6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In addition, the global outbreak of the COVID-19 coronavirus makes it more difficult to initiate studies and enroll patients.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enrollment is affected by other factors including:</w:t>
      </w:r>
    </w:p>
    <w:p>
      <w:pPr>
        <w:spacing w:after="0" w:line="117"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patient eligibility criteria for the study in question;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payments for conducting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2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Our inability to enroll a sufficient number of patients for clinical trials could result in significant delays and could require us to abandon one or more clinical trials altogether. Enrollment delays in our clinical trials may result in increased development costs for our product candidates and in delays to commercially launching our product candidates, if approved, which may cause the value of our company to decline and limit our ability to obtain additional financing.</w:t>
      </w:r>
    </w:p>
    <w:p>
      <w:pPr>
        <w:spacing w:after="0" w:line="2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76"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Serious adverse events or undesirable side effects caused by, or other unexpected properties of any of our product candidates could cause us or regulatory authorities to interrupt, delay or halt our manufacturing and distribution operations and could result in a more restrictive label, the imposition of distribution or use restrictions or the delay or denial of regulatory approval by the FDA or comparable foreign regulatory authorities. If any of our product candidates are associated with serious adverse events or undesirable side effects or have properties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p>
    <w:p>
      <w:pPr>
        <w:spacing w:after="0" w:line="166"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Undesirable side effects, or other unexpected adverse events or properties of any of our product candidates, could arise or become known either during clinical development or, if approved, after the approved product has been marketed. If such an event occurs during development, our trials could be suspended or terminated, and the FDA or comparable foreign regulatory authorities could order us to cease further development of or deny approval of our other product candidates. If such an event occurs, a number of potentially significant negative consequences may result, including:</w:t>
      </w:r>
    </w:p>
    <w:p>
      <w:pPr>
        <w:spacing w:after="0" w:line="49" w:lineRule="exact"/>
        <w:rPr>
          <w:sz w:val="20"/>
          <w:szCs w:val="20"/>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or impose distribution or use restrictions;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one or more post-market studies;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jc w:val="both"/>
        <w:ind w:left="1000" w:hanging="493"/>
        <w:spacing w:after="0" w:line="259"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require implementation of a Risk Evaluation and Mitigation Strategy, or REMS, Field Safety Corrective Actions or equivalent,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78"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or could substantially increase commercialization costs and expenses, which could delay or prevent us from generating revenue from the sale of our products and harm our business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third parties to conduct our clinical and non-clinical trials.</w:t>
      </w:r>
    </w:p>
    <w:p>
      <w:pPr>
        <w:spacing w:after="0" w:line="117"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We do not have the ability to independently conduct the clinical and non-clinical trials required to obtain regulatory approval for our product candidates. We depend on third parties, such as independent clinical investigators, contract research organizations and other third-party service providers to conduct the clinical and non-clinical trials of our product candidates and expect to continue to do so. For example, Dr. Scott Stromatt, our former full-time Chief Medical Officer, is now providing clinical trial and medical affairs oversight duties as an independent consultant. We rely heavily on Dr. Stromatt and these other third parties for successful execution of our clinical and non-clinical trials, but we do not exercise day-to-day control over their activities. Our reliance on these service providers does not relieve us of our regulatory responsibilities, including ensuring that our trials are conducted in accordance with the FDA-approved good clinical practices, or GCPs, and the plan and protocols contained in the relevant regulatory application. In addition, these organizations and individuals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costly and result in a delay of our trials. In addition, business disruptions arising from the COVID-19 pandemic could negatively affect the ability of some of the independent clinical investigators, contract research organizations and other third-party service provider that conduct our clinical and non-clinical trials of our product candidates. Any delay in or inability to complete our trials could delay or prevent the development, approval and commercialization of our product candidates.</w:t>
      </w:r>
    </w:p>
    <w:p>
      <w:pPr>
        <w:spacing w:after="0" w:line="174"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If contract research organizations or other third parties assisting us or our study sites fail to comply with applicable GCPs, the clinical data generated in our clinical trials may be deemed unreliable and the FDA or its non-U.S. counterparts may require us to perform additional clinical trials before approving our marketing applications. We cannot assure you that, upon inspection, the FDA or non-U.S. regulatory agencies will determine that any of our clinical trials comply with GCPs. In addition, our clinical trials must be conducted with product produced under GCPs and similar regulations outside of the United States. Our failure, or the failure of our product manufacturers, to comply with these regulations may require us to repeat or redesign clinical trials, which would increase our development costs and delay or impact the likelihood of regulatory approval.</w:t>
      </w:r>
    </w:p>
    <w:p>
      <w:pPr>
        <w:spacing w:after="0" w:line="178"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If third parties do not carry out their duties under their agreements with us, if the quality or accuracy of the data they obtain is compromised due to the failure to adhere to our clinical protocols, including dosing requirements, or regulatory requirements, or if they 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 If any of these events occur, we may not be able to obtain regulatory approval of our product candidates or succeed in our efforts to create approved line extensions for certain of our existing products or generate additional useful clinical data in support of these products.</w:t>
      </w:r>
    </w:p>
    <w:p>
      <w:pPr>
        <w:spacing w:after="0" w:line="178" w:lineRule="exact"/>
        <w:rPr>
          <w:sz w:val="20"/>
          <w:szCs w:val="20"/>
          <w:color w:val="auto"/>
        </w:rPr>
      </w:pPr>
    </w:p>
    <w:p>
      <w:pPr>
        <w:jc w:val="both"/>
        <w:ind w:firstLine="510"/>
        <w:spacing w:after="0" w:line="342" w:lineRule="auto"/>
        <w:rPr>
          <w:sz w:val="20"/>
          <w:szCs w:val="20"/>
          <w:color w:val="auto"/>
        </w:rPr>
      </w:pPr>
      <w:r>
        <w:rPr>
          <w:rFonts w:ascii="Arial" w:cs="Arial" w:eastAsia="Arial" w:hAnsi="Arial"/>
          <w:sz w:val="16"/>
          <w:szCs w:val="16"/>
          <w:color w:val="auto"/>
        </w:rPr>
        <w:t>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Commercialization Risks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grow revenues and execute on our long-term strategy depends heavily on our ability to discover, develop, and obtain marketing approval for our product candidates.</w:t>
      </w:r>
    </w:p>
    <w:p>
      <w:pPr>
        <w:spacing w:after="0" w:line="6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In order for us to achieve our long-term business objectives, we will need to successfully discover and/or develop and commercialize our product candidates. Although we have made, and expect to continue to make, significant investments in research and development, we have had only a limited number of our internally-discovered product candidates reach the clinical development stage. We currently have one clinical-stage candidate, APVO436, which is built on the ADAPTIR platform. Drug discovery and development is a complex, time-consuming and expensive process that is fraught with risk and a high rate of failure. For example, 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jc w:val="both"/>
        <w:spacing w:after="0" w:line="272" w:lineRule="auto"/>
        <w:rPr>
          <w:sz w:val="20"/>
          <w:szCs w:val="20"/>
          <w:color w:val="auto"/>
        </w:rPr>
      </w:pPr>
      <w:r>
        <w:rPr>
          <w:rFonts w:ascii="Arial" w:cs="Arial" w:eastAsia="Arial" w:hAnsi="Arial"/>
          <w:sz w:val="17"/>
          <w:szCs w:val="17"/>
          <w:color w:val="auto"/>
        </w:rPr>
        <w:t>2018, we announced the discontinuation of development of APVO414 and otlertuzumab as a result of clinical trial results. In addition, in October 2019, we announced our decision to discontinue development of APVO210, a novel investigational bispecific antibody candidate under development for the treatment of autoimmune diseases. The decision followed the review of data from Phase 1 multiple ascending dose (MAD) clinical study of APVO210 in healthy volunteers that suggests that APVO210 would not meet the desired target product profile for future commercialization. Specifically, the clinical data showed evidence of increasing titers of ADA with repeated doses of APVO210, which had varying impact on APVO210 drug levels in subjects’ blood. Failure to successfully discover and/or develop, obtain marketing approval for and commercialize additional products and product candidates would likely have a material adverse effect on our ability to grow revenues and improve our financial condition.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and further develop our ADAPTIR platform.</w:t>
      </w:r>
    </w:p>
    <w:p>
      <w:pPr>
        <w:spacing w:after="0" w:line="117"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A key element of our strategy is to expand our product pipeline of immunotherapeutics based on our ADAPTIR platform technology. We plan to select and create product candidates for early development, potentially with other collaborative partners. We expect to continue to develop the platform to address unmet medical needs through directed cytokine delivery via monospecifics and bispecifics in areas including oncology, and multispecific molecules in oncology and other therapeutic areas. Our goal is to leverage this technology to make targeted investment in bispecific ADAPTIR therapeutics.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successfully develop and commercialize product candidates based on our ADAPTIR platform technology, our ability to obtain product revenues in future periods may be adversely affected, which likely would result in harm to our financial position and our financial prospects, and adversely affect our stock price.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substantial competition.</w:t>
      </w:r>
    </w:p>
    <w:p>
      <w:pPr>
        <w:spacing w:after="0" w:line="117"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The development and commercialization of new biotechnology products is highly competitive and subject to rapid technological advances. We may face future competition with respect to our current product candidates and any product candidates we may seek to develop or commercialize in the future obtained from other companies and governments, universities and other non-profit research organizations. Our competitors may develop products that are safer, more effective, more convenient or less costly than any products that we may develop or market, or may obtain marketing approval for their products from the FDA, or equivalent foreign regulatory bodies more rapidly than we may obtain approval for our product candidates. Our competitors may have greater resources and may devote greater resources to research and develop their products, research and development capabilities, adapt more quickly to new technologies, scientific advances or patient preferences and needs, initiate or withstand substantial price competition more successfully, or more effectively negotiate third-party licensing and collaborative arrangements.</w:t>
      </w:r>
    </w:p>
    <w:p>
      <w:pPr>
        <w:spacing w:after="0" w:line="219"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We believe that our most significant competitors in the oncology market include: AbbVie Inc., Aduro, Inc., Affirmed, Amgen Inc., AnaptysBio, Inc., Astellas Pharma Inc., Bayer AG, Biogen Idec Inc., Boehringer Ingelheim GmbH, F-Star Biotechnology Ltd., Genentech Inc. (a subsidiary of F. Hoffmann-La Roche Ltd.), Genmab A/S, GlaxoSmithKline plc, Grifols USA LLC, Bristol Myers Squibb Foundation, ImmunoGen, Inc., Immunomedics, Inc., Janssen BioTech Inc., Johnson &amp; Johnson, Macrogenics, Inc., Novartis International AG, Pieris Pharmaceuticals, Inc., Sanofi-Aventis US LLC, Takeda Pharmaceuticals U.S.A., Inc., Xencor, Inc. and Zymeworks Biopharmaceuticals, Inc. We expect to compete on the basis of product efficacy, safety, ease of administration, price and economic value compared to drugs used in current practice or currently being developed. If we are not successful in demonstrating these attributes, physicians and other key healthcare decision makers may choose other products over any products we successfully develop, switch from our products, to new products or choose to use our products only in limited circumstances, which could adversely affect our business, financial condition and results of operations.</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of our product candidates, if approved, may become subject to unfavorable pricing regulations or third-party coverage and reimbursement policies, which would harm our business</w:t>
      </w:r>
      <w:r>
        <w:rPr>
          <w:rFonts w:ascii="Arial" w:cs="Arial" w:eastAsia="Arial" w:hAnsi="Arial"/>
          <w:sz w:val="18"/>
          <w:szCs w:val="18"/>
          <w:b w:val="1"/>
          <w:bCs w:val="1"/>
          <w:color w:val="auto"/>
        </w:rPr>
        <w:t>.</w:t>
      </w:r>
    </w:p>
    <w:p>
      <w:pPr>
        <w:spacing w:after="0" w:line="62"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The success of our product candidates, if approved, will depend upon, among other things, their acceptance by physicians, patients, third-party payors and other members of the medical community as a therapeutic and cost-effective alternative to competing products and treatments. If any of our product candidates do not achieve and maintain an adequate level of acceptance, we may not generate material revenues from sales of these products. The degree of market acceptance of our products will depend on a number of factors, including: our ability to provide acceptable evidence of safety and efficacy; the prevalence and severity of any side effects; availability, relative cost and relative efficacy of alternative and competing treatments; the ability to offer our products for sale at competitive prices; our ability to continuously supply the market without interruption; the relative convenience and ease of administration; the willingness of the target patient population to try new products and of physicians to prescribe these products; the strength of marketing and distribution support; publicity concerning our products or competing products and treatments; and the sufficiency of coverage or reimbursement by third parties.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Healthcare legislature reform measures may have a material adverse effect on our business and results of operations.</w:t>
      </w:r>
    </w:p>
    <w:p>
      <w:pPr>
        <w:spacing w:after="0" w:line="131" w:lineRule="exact"/>
        <w:rPr>
          <w:sz w:val="20"/>
          <w:szCs w:val="20"/>
          <w:color w:val="auto"/>
        </w:rPr>
      </w:pPr>
    </w:p>
    <w:p>
      <w:pPr>
        <w:jc w:val="both"/>
        <w:ind w:firstLine="510"/>
        <w:spacing w:after="0" w:line="283"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ACA was enacted, which substantially changed the way health care is financed by both governmental and private insurers, and significantly impacted the U.S. pharmaceutical industry. However, some provisions of the ACA have yet to be fully implemented and certain provisions have been subject to legal and political challenges, as well as efforts by the Trump Administration to repeal or replace certain aspects of the ACA. For example, since January 2017, President Trump has signed two executive orders and other directives designed to delay, circumvent, or loosen certain requirements mandated by the ACA. Concurrently, Congress has considered legislation that would repeal or repeal and replace all or part of the ACA. While Congress has not passed comprehensive repeal legislation, it has enacted laws that modify certain provisions of the ACA, such as removing penalties as of January 1, 2019 for not complying with the ACA’s individual mandate to carry health insurance, delaying the implementation of certain ACA-mandated fees, and increasing the point-of-sale discount that is owed by pharmaceutical manufacturers who participate in Medicare Part D. Additionally, on December 14, 2018, a Texas U.S. District Court Judge ruled that the ACA is unconstitutional in its entirety because the individual mandate was repealed by Congress as part of the Tax Cuts</w:t>
      </w:r>
    </w:p>
    <w:p>
      <w:pPr>
        <w:spacing w:after="0" w:line="5" w:lineRule="exact"/>
        <w:rPr>
          <w:sz w:val="20"/>
          <w:szCs w:val="20"/>
          <w:color w:val="auto"/>
        </w:rPr>
      </w:pPr>
    </w:p>
    <w:p>
      <w:pPr>
        <w:jc w:val="both"/>
        <w:ind w:firstLine="8"/>
        <w:spacing w:after="0" w:line="253" w:lineRule="auto"/>
        <w:tabs>
          <w:tab w:leader="none" w:pos="192" w:val="left"/>
        </w:tabs>
        <w:numPr>
          <w:ilvl w:val="0"/>
          <w:numId w:val="23"/>
        </w:numPr>
        <w:rPr>
          <w:rFonts w:ascii="Arial" w:cs="Arial" w:eastAsia="Arial" w:hAnsi="Arial"/>
          <w:sz w:val="18"/>
          <w:szCs w:val="18"/>
          <w:color w:val="auto"/>
        </w:rPr>
      </w:pPr>
      <w:r>
        <w:rPr>
          <w:rFonts w:ascii="Arial" w:cs="Arial" w:eastAsia="Arial" w:hAnsi="Arial"/>
          <w:sz w:val="18"/>
          <w:szCs w:val="18"/>
          <w:color w:val="auto"/>
        </w:rPr>
        <w:t>Jobs Act. While the Texas U.S. District Court Judge, as well as the current U.S. Presidential administration and the Centers for Medicare and Medicaid Services, or CMS, have stated that the ruling will have no immediate effect pending appeal of the decision, it is unclear how this decision, subsequent appeals, and other efforts to repeal and replace the ACA will impact the ACA and our business. We continue to evaluate how the ACA and recent efforts to repeal and replace or limit the implementation of the ACA will impact our business.</w:t>
      </w:r>
    </w:p>
    <w:p>
      <w:pPr>
        <w:spacing w:after="0" w:line="220"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percent per fiscal year. These reductions went into effect on April 1, 2013 and, due to subsequent legislative amendments to the statute, will remain in effect through 2027 unless additional Congressional action is taken.</w:t>
      </w:r>
    </w:p>
    <w:p>
      <w:pPr>
        <w:spacing w:after="0" w:line="233"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Additionally, there has been heightened governmental scrutiny recently over the manner in which manufacturers set prices for their marketed products. For example, there have been several recent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 products. For example, the Trump administration released a “Blueprint”, or plan,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These new laws and initiatives may result in additional reductions in Medicare and other healthcare funding, which could have a material adverse effect on our future customers and accordingly, our financial operations.</w:t>
      </w:r>
    </w:p>
    <w:p>
      <w:pPr>
        <w:spacing w:after="0" w:line="18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candidates we successfully develop or additional pricing pressures.</w:t>
      </w:r>
    </w:p>
    <w:p>
      <w:pPr>
        <w:spacing w:after="0" w:line="2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loss of any of our third-party manufacturers, or delays or problems in the manufacture our product candidates, could result in product shortages delays in clinical development.</w:t>
      </w:r>
    </w:p>
    <w:p>
      <w:pPr>
        <w:spacing w:after="0" w:line="62" w:lineRule="exact"/>
        <w:rPr>
          <w:sz w:val="20"/>
          <w:szCs w:val="20"/>
          <w:color w:val="auto"/>
        </w:rPr>
      </w:pPr>
    </w:p>
    <w:p>
      <w:pPr>
        <w:jc w:val="both"/>
        <w:ind w:right="20" w:firstLine="510"/>
        <w:spacing w:after="0" w:line="311" w:lineRule="auto"/>
        <w:rPr>
          <w:sz w:val="20"/>
          <w:szCs w:val="20"/>
          <w:color w:val="auto"/>
        </w:rPr>
      </w:pPr>
      <w:r>
        <w:rPr>
          <w:rFonts w:ascii="Arial" w:cs="Arial" w:eastAsia="Arial" w:hAnsi="Arial"/>
          <w:sz w:val="16"/>
          <w:szCs w:val="16"/>
          <w:color w:val="auto"/>
        </w:rPr>
        <w:t>We do not have manufacturing capabilities and do not plan to develop such capacity in the foreseeable future. We depend on a limited number of sole source third-party suppliers for our product candidates. Accordingly, our ability to develop and deliver products in a timely and competitive manner depends on our third-party manufacturers being able to continue to meet our ongoing clinical trial needs and perform their contractual obligations.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Manufacture of our product candidates, especially in large quantities, is complex and time consuming.</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All of our current product candidates are biologics. Our product candidates must be made consistently and in compliance with a clearly defined manufacturing process. Problems may arise during manufacturing for a variety of reasons, including problems with raw materials, equipment malfunction or replacement and failure to follow specific protocols and procedures. Slight deviations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7" w:name="page38"/>
    <w:bookmarkEnd w:id="37"/>
    <w:p>
      <w:pPr>
        <w:jc w:val="both"/>
        <w:spacing w:after="0" w:line="279" w:lineRule="auto"/>
        <w:rPr>
          <w:sz w:val="20"/>
          <w:szCs w:val="20"/>
          <w:color w:val="auto"/>
        </w:rPr>
      </w:pPr>
      <w:r>
        <w:rPr>
          <w:rFonts w:ascii="Arial" w:cs="Arial" w:eastAsia="Arial" w:hAnsi="Arial"/>
          <w:sz w:val="17"/>
          <w:szCs w:val="17"/>
          <w:color w:val="auto"/>
        </w:rPr>
        <w:t>anywhere in the manufacturing process, including obtaining materials, maintaining master seed or cell banks and preventing genetic drift, seed or cell growth, fermentation and contamination including from, among other things, particulates, filtration, filling, labeling, packaging, storage and shipping, and quality control testing, may result in lot failures or manufacturing shut-down, delays in the release of lots, product recalls, spoilage or regulatory action. Due to COVID-19, our third-party manufacturers may experience difficulties that impact our product candidates.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of our third-party manufacturers to successfully manufacture material that conforms to our specifications and the FDA’s or foreign regulatory authorities’ strict regulatory requirements, may prevent regulatory approval of those manufacturing facilities.</w:t>
      </w:r>
    </w:p>
    <w:p>
      <w:pPr>
        <w:spacing w:after="0" w:line="62"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We rely on third parties to manufacture all clinical trial materials for our product candidates, and we will rely on third parties to manufacture commercial supplies, if any such product candidates are ultimately approved for commercial sale. Our product candidates, including APVO436 and ALG.APV-527 will not be approved for marketing by the FDA or other foreign regulatory authorities unless the FDA or their foreign equivalents also approve the facilities used by our third-party manufacturers to produce them for commercialization. If our third-party manufacturers cannot successfully manufacture material that conforms to our specifications and the FDA’s or foreign regulatory authorities’ strict regulatory requirements, the FDA or their foreign counterparts will not approve their manufacturing facilities, which would result in significant delays in obtaining FDA or foreign marketing approvals for our product candidates. In order to successfully develop and commercialize our product candidates in a timely manner, we and our third-party manufacturers must be able to develop and execute on manufacturing processes and reach agreement on contract terms.</w:t>
      </w:r>
    </w:p>
    <w:p>
      <w:pPr>
        <w:spacing w:after="0" w:line="178"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We and our third-party manufacturers may not be able to meet these manufacturing process requirements for any of our current product candidates, all of which have complex manufacturing processes, which make meeting these requirements even more challenging. Due to COVID-19, our third-party manufacturers may experience difficulties that impact our product candidates. If we are unable to develop manufacturing processes for our clinical product candidates that satisfy these requirements, we will not be able to supply sufficient quantities of test material to conduct our clinical trials in a timely or cost effective manner, and as a result, our development programs will be delayed, our financial performance will be adversely impacted and we will be unable to meet our long-term goals.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and commercialization of our product candidates may be terminated or delayed.</w:t>
      </w:r>
    </w:p>
    <w:p>
      <w:pPr>
        <w:spacing w:after="0" w:line="117"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Our development and commercialization strategy involves entering into arrangements with corporate and academic collaborators, contract research organizations, distributors, third-party manufacturers, licensors, licensees and others to conduct development work, manage or conduct our clinical trials, manufacture our product candidates and market and sell our products outside of the United States and maintaining our existing arrangements with respect to the commercialization or manufacture of our products. We may not have the expertise or the resources to conduct all of these activities for all products and product candidates on our own and, as a result, are particularly dependent on third parties in many areas. Any current or future arrangements for development and commercialization may not be successful, as the amount and timing of resources that third parties devote to developing, manufacturing and commercializing our products candidates are not within our control. If we are not able to establish or maintain agreements relating our product candidates in development, our results of operations and prospects would be materially and adversely affected.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Regulatory and Compliance Risks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long-term success depends, in part, upon our ability to develop, receive regulatory approval for and commercialize our product candidates.</w:t>
      </w:r>
    </w:p>
    <w:p>
      <w:pPr>
        <w:spacing w:after="0" w:line="140"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Generally, failure to obtain regulatory approval for a product candidate will prevent us from commercializing the product candidate. We have limited resources for use in preparing, filing and supporting the applications necessary to gain regulatory approvals and expect to rely on third-party contract research organizations and consultants to assist us in this process.</w:t>
      </w:r>
    </w:p>
    <w:p>
      <w:pPr>
        <w:spacing w:after="0" w:line="188"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The FDA and other comparable regulatory agencies in foreign countries impose substantial and rigorous requirements for the development, production, marketing authorization and commercial introduction of drug products. These requirements include pre-clinical, laboratory and clinical testing procedures, sampling activities, clinical trials and other costly and time-consuming procedures. In addition, regulation is not static, and regulatory authorities, including the FDA evolve in their staff interpretations and practices and may impose more stringent or different requirements than currently in effect, which may adversely affect our planned and ongoing drug development and/or our sales and marketing efforts.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jc w:val="both"/>
        <w:ind w:firstLine="510"/>
        <w:spacing w:after="0" w:line="259" w:lineRule="auto"/>
        <w:rPr>
          <w:sz w:val="20"/>
          <w:szCs w:val="20"/>
          <w:color w:val="auto"/>
        </w:rPr>
      </w:pPr>
      <w:r>
        <w:rPr>
          <w:rFonts w:ascii="Arial" w:cs="Arial" w:eastAsia="Arial" w:hAnsi="Arial"/>
          <w:sz w:val="18"/>
          <w:szCs w:val="18"/>
          <w:color w:val="auto"/>
        </w:rPr>
        <w:t>In the United States, to obtain approval from the FDA to market any of our future biologic products, we will be required to submit a biologics license application, or BLA, to the FDA. Ordinarily, the FDA requires a sponsor to support a BLA with substantial evidence of the product’s safety, purity and potency in treating the targeted indication based on data derived from adequate and well-controlled clinical trials, including Phase 3 safety and efficacy trials conducted in patients with the disease or condition being targeted.</w:t>
      </w:r>
    </w:p>
    <w:p>
      <w:pPr>
        <w:spacing w:after="0" w:line="18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Developing and obtaining regulatory approval for product candidates is a lengthy process, often taking a number of years, is uncertain and is expensive. All of the product candidates that we are developing, or may develop in the future, require research and development, pre-clinical studies, nonclinical testing and clinical trials prior to seeking regulatory approval, and commencing commercial sales. In addition, we may need to address a number of technological challenges in order to complete development of our product candidates. As a result, the development of product candidates may take longer than anticipated or not be successful at all.</w:t>
      </w:r>
    </w:p>
    <w:p>
      <w:pPr>
        <w:spacing w:after="0" w:line="29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Generally, no product can receive FDA approval, marketing authorization from the European Commission or the competent authorities of the EU Member States, or approval from comparable regulatory agencies in foreign countries unless data generated in human clinical trials demonstrates both safety and efficacy for each target indication in accordance with such authority’s standards.</w:t>
      </w:r>
    </w:p>
    <w:p>
      <w:pPr>
        <w:spacing w:after="0" w:line="5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The large majority of product candidates that begin human clinical trials fail to demonstrate the required safety and efficacy characteristics necessary for marketing approval. Failure to demonstrate the safety and efficacy of any of our product candidates for each target indication in clinical trials would prevent us from obtaining required approvals from regulatory authorities, which would prevent us from commercializing those product candidates. Negative or inconclusive results from the clinical trials or adverse medical events during the trials could lead to requirements that trials be repeated or extended, or that additional trials be conducted, any of which may not be clinically feasible or financially practicable, that the conduct of trials be suspended, or that a program be terminated.</w:t>
      </w:r>
    </w:p>
    <w:p>
      <w:pPr>
        <w:spacing w:after="0" w:line="192"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Any regulatory approval we ultimately obtain may limit the indicated uses for the product or subject the product to restrictions or post-approval commitments that render the product commercially non-viable. Securing regulatory approval requires the submission of extensive non-clinical and clinical data, information about product manufacturing processes and inspection of facilities and supporting information to the regulatory authorities for each therapeutic indication to establish the product’s safety and efficacy. If we are unable to submit the necessary data and information, for example, because the results of clinical trials are not favorable, or if the applicable regulatory authority delays reviewing or does not approve our applications, we will be unable to obtain regulatory approval.</w:t>
      </w:r>
    </w:p>
    <w:p>
      <w:pPr>
        <w:spacing w:after="0" w:line="192" w:lineRule="exact"/>
        <w:rPr>
          <w:sz w:val="20"/>
          <w:szCs w:val="20"/>
          <w:color w:val="auto"/>
        </w:rPr>
      </w:pPr>
    </w:p>
    <w:p>
      <w:pPr>
        <w:jc w:val="both"/>
        <w:ind w:right="20" w:firstLine="510"/>
        <w:spacing w:after="0" w:line="308" w:lineRule="auto"/>
        <w:rPr>
          <w:sz w:val="20"/>
          <w:szCs w:val="20"/>
          <w:color w:val="auto"/>
        </w:rPr>
      </w:pPr>
      <w:r>
        <w:rPr>
          <w:rFonts w:ascii="Arial" w:cs="Arial" w:eastAsia="Arial" w:hAnsi="Arial"/>
          <w:sz w:val="17"/>
          <w:szCs w:val="17"/>
          <w:color w:val="auto"/>
        </w:rPr>
        <w:t>Delays in obtaining or failure to obtain regulatory approvals may: delay or prevent the successful commercialization of any of the products or product candidates in the jurisdiction for which approval is sought; diminish our competitive advantage; and defer or decrease our receipt of revenue.</w:t>
      </w:r>
    </w:p>
    <w:p>
      <w:pPr>
        <w:spacing w:after="0" w:line="146"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Some of our product candidates previously in development experienced regulatory and/or clinical setbacks. Clinical development has been discontinued for product candidates otlertuzumab, APVO414, and APVO210. Both APVO414 and APVO210 were discontinued after patients developed anti-drug antibodies (ADA). Most recently, in 2019, we elected to discontinue the APVO210 development program following the review of data from the Phase 1 multiple ascending dose (MAD) clinical study of APVO210 in healthy volunteers that suggests that APVO210 would not meet the desired target product profile for future commercialization. Specifically, the clinical data showed evidence of increasing titers of ADA with repeated doses of APVO210, which had varying impact on APVO210 drug levels in subjects’ blood. The cause of the ADA is uncertain; however, we believe that appearance of ADA is related to the mechanism of action of APVO210, and not due to the structure, or sequences characteristic of the ADAPTIR platform. Although we have re-designed certain components of the ADAPTIR platform based on what we have learned in prior clinical, trials, there is no guarantee that the occurrence of ADA or other clinical setbacks will not occur in the development of our existing and future ADAPTIR product candidates.</w:t>
      </w:r>
    </w:p>
    <w:p>
      <w:pPr>
        <w:spacing w:after="0" w:line="166"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The procedures to obtain marketing approvals vary among countries and can involve additional clinical trials or other pre-filing requirements. The time required to obtain foreign regulatory approval may differ from that required to obtain FDA approval. The foreign regulatory approval process may include all the risks associated with obtaining FDA approval, or different or additional risks. Regulatory agencies may have varying interpretations of the same data, and approval by one regulatory authority does not ensure approval by regulatory authorities in other jurisdictions. Accordingly, approval by the FDA does not ensure approval by the regulatory authorities in other countries, and approval by one foreign regulatory authority does not ensure approval by the FDA or regulatory authorities in other foreign countries. We may not be able to file for regulatory approvals and may not receive necessary approvals to commercialize our products and products in development in any market on a timely basis, if at all.</w:t>
      </w:r>
    </w:p>
    <w:p>
      <w:pPr>
        <w:spacing w:after="0" w:line="17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Biotechnology company stock prices have declined significantly in certain instances where companies have failed to obtain FDA or foreign regulatory authority approval of a product candidate or if the timing of FDA or foreign regulatory authority approval is delayed. If the FDAs or any foreign regulatory authority’s response to any application for approval is delayed or not favorable for any of our product candidates, our stock price could decline significantly.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9" w:name="page40"/>
    <w:bookmarkEnd w:id="39"/>
    <w:p>
      <w:pPr>
        <w:jc w:val="both"/>
        <w:spacing w:after="0" w:line="342" w:lineRule="auto"/>
        <w:rPr>
          <w:sz w:val="20"/>
          <w:szCs w:val="20"/>
          <w:color w:val="auto"/>
        </w:rPr>
      </w:pPr>
      <w:r>
        <w:rPr>
          <w:rFonts w:ascii="Arial" w:cs="Arial" w:eastAsia="Arial" w:hAnsi="Arial"/>
          <w:sz w:val="16"/>
          <w:szCs w:val="16"/>
          <w:b w:val="1"/>
          <w:bCs w:val="1"/>
          <w:i w:val="1"/>
          <w:iCs w:val="1"/>
          <w:color w:val="auto"/>
        </w:rPr>
        <w:t>If we fail to comply with foreign, federal, state and local healthcare laws, including fraud and abuse and health information privacy and security laws, we could face substantial penalties and our business, results of operations, financial condition and prospects could be adversely affected.</w:t>
      </w:r>
    </w:p>
    <w:p>
      <w:pPr>
        <w:spacing w:after="0" w:line="16"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As a biotechnology company, even though we do not provide healthcare services or receive payments directly from or bill directly to Medicare, Medicaid or other third-party payors for our products, certain federal, state, local and foreign healthcare laws and regulations pertaining to fraud and abuse and patients’ rights are applicable to our business. We are subject to healthcare fraud and abuse and patient privacy regulation by both the federal government and the states in which we conduct our business. The laws that may affect our ability to operate include:</w:t>
      </w:r>
    </w:p>
    <w:p>
      <w:pPr>
        <w:spacing w:after="0" w:line="63" w:lineRule="exact"/>
        <w:rPr>
          <w:sz w:val="20"/>
          <w:szCs w:val="20"/>
          <w:color w:val="auto"/>
        </w:rPr>
      </w:pPr>
    </w:p>
    <w:p>
      <w:pPr>
        <w:jc w:val="both"/>
        <w:ind w:left="1000" w:hanging="493"/>
        <w:spacing w:after="0" w:line="255"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Anti-Kickback Statute makes it illegal for any person or entity, including a prescription drug manufacturer (or a party acting on its behalf) to knowingly and willfully solicit, receive, offer or pay remuneration, directly or indirectly, overtly or covertly, to induce, or in return for, either the referral of an individual, or the purchase, lease, prescribing or recommendation of an item, good, facility or service reimbursable by a federally funded healthcare program, such as the Medicare or Medicaid program. The term “remuneration” has been interpreted broadly and may constrain our marketing practices, educational programs, pricing policies and relationships with healthcare providers or other entities, among other activities;</w:t>
      </w:r>
    </w:p>
    <w:p>
      <w:pPr>
        <w:spacing w:after="0" w:line="84" w:lineRule="exact"/>
        <w:rPr>
          <w:rFonts w:ascii="Arial" w:cs="Arial" w:eastAsia="Arial" w:hAnsi="Arial"/>
          <w:sz w:val="18"/>
          <w:szCs w:val="18"/>
          <w:color w:val="auto"/>
        </w:rPr>
      </w:pPr>
    </w:p>
    <w:p>
      <w:pPr>
        <w:jc w:val="both"/>
        <w:ind w:left="1000" w:hanging="493"/>
        <w:spacing w:after="0" w:line="25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federal civil and criminal false claims, including the federal False Claims Act, and false statement laws and civil monetary penalty laws, which impose criminal and civil penalties, including through civil whistleblower or qui tam actions, on individuals or entities for, among other things, knowingly presenting, or causing to be presented, claims for payment or approval from Medicare, Medicaid or other federal health care programs that are false or fraudulent or knowingly making any materially false statement in connection with the delivery or payment for healthcare benefits, items or services;</w:t>
      </w:r>
    </w:p>
    <w:p>
      <w:pPr>
        <w:spacing w:after="0" w:line="79" w:lineRule="exact"/>
        <w:rPr>
          <w:rFonts w:ascii="Arial" w:cs="Arial" w:eastAsia="Arial" w:hAnsi="Arial"/>
          <w:sz w:val="18"/>
          <w:szCs w:val="18"/>
          <w:color w:val="auto"/>
        </w:rPr>
      </w:pPr>
    </w:p>
    <w:p>
      <w:pPr>
        <w:jc w:val="both"/>
        <w:ind w:left="1000" w:hanging="493"/>
        <w:spacing w:after="0" w:line="272"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69" w:lineRule="exact"/>
        <w:rPr>
          <w:rFonts w:ascii="Arial" w:cs="Arial" w:eastAsia="Arial" w:hAnsi="Arial"/>
          <w:sz w:val="17"/>
          <w:szCs w:val="17"/>
          <w:color w:val="auto"/>
        </w:rPr>
      </w:pPr>
    </w:p>
    <w:p>
      <w:pPr>
        <w:jc w:val="both"/>
        <w:ind w:left="1000" w:hanging="493"/>
        <w:spacing w:after="0" w:line="293"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or HITECH, and their respective implementing regulations mandates, among other things, the adoption of uniform standards for the electronic exchange of information in common healthcare transactions, as well as standards relating to the privacy, security and transmission of individually identifiable health information, which require the adoption of administrative, physical and technical safeguards to protect such information. Among other things, HITECH makes HIPAA's security standards directly applicable to "business associates", or independent contractors or agents of covered entities that create, receive or obtain protected health information in connection with providing a service for or on behalf of a covered entity;</w:t>
      </w:r>
    </w:p>
    <w:p>
      <w:pPr>
        <w:spacing w:after="0" w:line="56" w:lineRule="exact"/>
        <w:rPr>
          <w:rFonts w:ascii="Arial" w:cs="Arial" w:eastAsia="Arial" w:hAnsi="Arial"/>
          <w:sz w:val="16"/>
          <w:szCs w:val="16"/>
          <w:color w:val="auto"/>
        </w:rPr>
      </w:pPr>
    </w:p>
    <w:p>
      <w:pPr>
        <w:jc w:val="both"/>
        <w:ind w:left="1000" w:hanging="493"/>
        <w:spacing w:after="0" w:line="296"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Physician Payments Sunshine Act and its implementing regulations, which requires certain manufacturers of drugs, biologics, medical devices and medical supplies for which payment is available under Medicare, Medicaid or the CMS, certain payments and transfers of value made to physicians and teaching hospitals, and ownership or investment interests held by physicians and their immediate family members. Beginning in 2022, applicable manufacturers will also be required to report information regarding payments and transfers of value provided to physician assistants, nurse practitioners, clinical nurse specialists, certified nurse anesthetists, and certified nurse-midwives; and,</w:t>
      </w:r>
    </w:p>
    <w:p>
      <w:pPr>
        <w:spacing w:after="0" w:line="53" w:lineRule="exact"/>
        <w:rPr>
          <w:rFonts w:ascii="Arial" w:cs="Arial" w:eastAsia="Arial" w:hAnsi="Arial"/>
          <w:sz w:val="16"/>
          <w:szCs w:val="16"/>
          <w:color w:val="auto"/>
        </w:rPr>
      </w:pPr>
    </w:p>
    <w:p>
      <w:pPr>
        <w:jc w:val="both"/>
        <w:ind w:left="1000" w:hanging="493"/>
        <w:spacing w:after="0" w:line="254"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payor, including commercial insurers; state and foreign laws governing the privacy and security of health information in certain circumstances, many of which differ from each other in significant ways and may not have the same effect, thus complicating compliance efforts; state, local and foreign laws that require pharmaceutical companies to comply with the pharmaceutical industry’s voluntary compliance guidelines and the relevant compliance guidance promulgated by the federal government, obtain pharmaceutical agent licensure, and/or otherwise restrict payments that may be made to healthcare providers and entities; and state, local and foreign laws that require drug manufacturers to report information related to payments and other transfers of value to healthcare providers or entities, or marketing expenditures.</w:t>
      </w:r>
    </w:p>
    <w:p>
      <w:pPr>
        <w:spacing w:after="0" w:line="19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under the U.S. federal Anti-Kickback Statute, it is possible that some of our business activities could be subject to challenge under one or more of such laws. Moreover, recent health care reform legislation has strengthened these laws. For example, the ACA, among other things, amends the intent requirement of the federal Anti-Kickback Statute and criminal health care fraud statutes, so that a person or entity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0" w:name="page41"/>
    <w:bookmarkEnd w:id="40"/>
    <w:p>
      <w:pPr>
        <w:jc w:val="both"/>
        <w:spacing w:after="0" w:line="263" w:lineRule="auto"/>
        <w:rPr>
          <w:sz w:val="20"/>
          <w:szCs w:val="20"/>
          <w:color w:val="auto"/>
        </w:rPr>
      </w:pPr>
      <w:r>
        <w:rPr>
          <w:rFonts w:ascii="Arial" w:cs="Arial" w:eastAsia="Arial" w:hAnsi="Arial"/>
          <w:sz w:val="18"/>
          <w:szCs w:val="18"/>
          <w:color w:val="auto"/>
        </w:rPr>
        <w:t>no longer needs to have actual knowledge of the statute or specific intent to violate it. In addition, the ACA provides that the government may assert that a claim including items or services resulting from a violation of the federal Anti-Kickback Statute constitutes a false or fraudulent claim for purposes of the False Claims Act.</w:t>
      </w:r>
    </w:p>
    <w:p>
      <w:pPr>
        <w:spacing w:after="0" w:line="184"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Recently, several pharmaceutical and other healthcare companies have been prosecuted under the federal false claims laws for allegedly inflating drug prices they report to pricing services, which in turn are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interactions with specialty pharmacies, and patient assistance programs may also violate fraud and abuse laws. To the extent that any product we make is sold in a foreign country, we may be subject to similar foreign laws and regulations.</w:t>
      </w:r>
    </w:p>
    <w:p>
      <w:pPr>
        <w:spacing w:after="0" w:line="176"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In addition, certain state and local laws mandate that we comply with a state code of conduct, adopt a company code of conduct under state criteria, disclose marketing payments made to health care professionals and entities, disclose drug pricing information and/or report compliance information to the state authorities. The shifting compliance environment and the need to build and maintain robust and expandable systems to comply in multiple jurisdictions with different compliance and reporting requirements increase the possibility that a pharmaceutical company may violate one or more of the requirements. Any failure to comply with these reporting requirements could result in significant fines and penalties.</w:t>
      </w:r>
    </w:p>
    <w:p>
      <w:pPr>
        <w:spacing w:after="0" w:line="176"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The risks of complying with these laws cannot be entirely eliminated. The risk of violation of such laws is also increased because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state, local and foreign privacy, security, fraud and transparency laws may prove costly. If our past or present operations, or those of our distributors are found to be in violation of any of the laws described above or any other governmental regulations that apply to us, we may be subject to sanctions, including civil and administrative penalties, criminal fines, damages, disgorgement, exclusion from participation in U.S. federal or state health care programs, individual imprisonment, integrity obligations, and the curtailment or restructuring of our operations, any of which could materially adversely affect our ability to operate our business and our financial results. Similarly, if healthcare providers, distributors or other entities with whom we do business are found to be out of compliance with applicable laws and regulations, they may be subject to sanctions, which could also have a negative impact on us.</w:t>
      </w:r>
    </w:p>
    <w:p>
      <w:pPr>
        <w:spacing w:after="0" w:line="2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62"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Our operations involve the use of hazardous materials, including chemicals,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Intellectual Property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intellectual proprietary rights, our business could be harmed.</w:t>
      </w:r>
    </w:p>
    <w:p>
      <w:pPr>
        <w:spacing w:after="0" w:line="117"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Our commercial success will depend, in large part, on our ability to obtain and maintain protection in the United States and other countries for the intellectual property covering or incorporated into our technology, products and product candidates. Obtaining and maintaining this protection is very costly. The patentability of technology in the biotechnology field generally is highly uncertain and involves complex legal and scientific questions. We cannot be certain that our patents and patent applications, including our own and those that we have rights through licenses from third parties, will adequately protect our intellectual property. Our success protecting our intellectual property depends significantly on our ability to:</w:t>
      </w:r>
    </w:p>
    <w:p>
      <w:pPr>
        <w:spacing w:after="0" w:line="68" w:lineRule="exact"/>
        <w:rPr>
          <w:sz w:val="20"/>
          <w:szCs w:val="20"/>
          <w:color w:val="auto"/>
        </w:rPr>
      </w:pPr>
    </w:p>
    <w:p>
      <w:pPr>
        <w:ind w:left="1000" w:hanging="493"/>
        <w:spacing w:after="0"/>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obtain and maintain U.S. and foreign patents, that are meaningful to our products, including defending those patents against adverse claims;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secure patent term extension for the patents covering our approved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protect trade secrets;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others;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prevent others from infringing our proprietary rights.</w:t>
      </w:r>
    </w:p>
    <w:p>
      <w:pPr>
        <w:spacing w:after="0" w:line="225"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We may not be able to obtain issued patents relating to our technology or product candidates. Even if issued, patents may inadvertently lapse or be challenged, narrowed, invalidated or circumvented, which could limit our ability to stop competitors from marketing similar products or limit the duration of patent protection we may have for our product candidates. Further, patents may lapse prior to the regulatory approval of the underlying product in one or more territories.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 may diminish the value of our intellectual property or narrow the scope of our patent protection, or result in costly defensive measures.</w:t>
      </w:r>
    </w:p>
    <w:p>
      <w:pPr>
        <w:spacing w:after="0" w:line="178"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The cost of litigation to uphold the validity of patents, once obtained, to prevent infringement or to otherwise protect or enforce our proprietary rights could be substantial and, from time to time, our patents are subject to patent office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and that we do not have the right to stop the 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and operating results could be materially and adversely affected.</w:t>
      </w:r>
    </w:p>
    <w:p>
      <w:pPr>
        <w:spacing w:after="0" w:line="178"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In addition to patent litigation, we may be a party to adversarial proceedings before the Patent Trial and Appeal Board (PTAB) of the US Patent and Trademark Office (USPTO), or the Opposition Division of the European Patent Office (EPO). Potential proceedings before the PTAB include inter partes review proceedings, post-grant review proceedings and interference proceedings. Depending on our level of success at the PTAB and Opposition Division of the EPO, these proceedings could adversely impact our intellectual property rights with respect to our products and technology.</w:t>
      </w:r>
    </w:p>
    <w:p>
      <w:pPr>
        <w:spacing w:after="0" w:line="15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In addition,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Patent and intellectual property laws outside of the United States may also change and be uncertain.</w:t>
      </w:r>
    </w:p>
    <w:p>
      <w:pPr>
        <w:spacing w:after="0" w:line="192"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Patent and other intellectual property laws outside the United States are even more uncertain than in the United States and are continually undergoing review and revisions in many countries. Further, the laws of some foreign countries may not protect our intellectual property rights to the same extent as the laws of the United States. For example, certain countries do not grant patent claims that are directed to business methods and processes. In addition, we may have to participate in additional opposition proceedings, like the proceedings described above, to determine the validity of our foreign patents or our competitors’ foreign patents, which could result in substantial costs and diversion of our efforts.</w:t>
      </w:r>
    </w:p>
    <w:p>
      <w:pPr>
        <w:spacing w:after="0" w:line="176"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Our collaborative partners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w:t>
      </w:r>
    </w:p>
    <w:p>
      <w:pPr>
        <w:spacing w:after="0" w:line="187"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Our patents, once obtained, also may not afford us protection against competitors with similar technology. Because patent applications in the United States and many foreign jurisdictions are typically not published until eighteen months after filing, or in some cases not at all, and because publications of discoveries in the scientific literature often lag behind actual discoveries, neither we nor our licensors can be certain that others have not filed or maintained patent applications for technology used by us or covered by our pending patent applications without our being aware of these applications.</w:t>
      </w:r>
    </w:p>
    <w:p>
      <w:pPr>
        <w:spacing w:after="0" w:line="157" w:lineRule="exact"/>
        <w:rPr>
          <w:sz w:val="20"/>
          <w:szCs w:val="20"/>
          <w:color w:val="auto"/>
        </w:rPr>
      </w:pPr>
    </w:p>
    <w:p>
      <w:pPr>
        <w:jc w:val="both"/>
        <w:ind w:firstLine="510"/>
        <w:spacing w:after="0" w:line="342" w:lineRule="auto"/>
        <w:rPr>
          <w:sz w:val="20"/>
          <w:szCs w:val="20"/>
          <w:color w:val="auto"/>
        </w:rPr>
      </w:pPr>
      <w:r>
        <w:rPr>
          <w:rFonts w:ascii="Arial" w:cs="Arial" w:eastAsia="Arial" w:hAnsi="Arial"/>
          <w:sz w:val="16"/>
          <w:szCs w:val="16"/>
          <w:color w:val="auto"/>
        </w:rPr>
        <w:t>We also will rely on current and future trademarks to establish and maintain recognized brands. If we fail to acquire and protect such trademarks, our ability to market and sell our products, and therefore our business, financial condition and operating results, could be materially and adversely affected.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Third parties may choose to file patent infringement claims against us.</w:t>
      </w:r>
    </w:p>
    <w:p>
      <w:pPr>
        <w:spacing w:after="0" w:line="117"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sufficient licenses or other rights. Third parties may be successful in obtaining patent protection for technologies that cover development and commercialization activities in which we are already engaged. These third parties may have substantially greater financial resources than us and could bring claims against us that could cause us to incur substantial expenses to defend against these claims and, if successful against us, could cause us to pay substantial damages. If a patent infringement or other similar suit were brought against us, we could be forced to stop or delay development, manufacturing or sales of the product or product candidate that is the subject of the suit. Intellectual property litigation in the biotechnology industry is common, and we expect this trend to continue.</w:t>
      </w:r>
    </w:p>
    <w:p>
      <w:pPr>
        <w:spacing w:after="0" w:line="166"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As a result of patent infringement or other similar claims, or to avoid potential claims, we may choose or be required to seek a license from the third 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which could harm our business significantly.</w:t>
      </w:r>
    </w:p>
    <w:p>
      <w:pPr>
        <w:spacing w:after="0" w:line="19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There has been substantial litigation and other proceedings regarding patent and other intellectual property rights in the pharmaceutical and biotechnology industries. In addition to infringement claims against us, we may become a party to other patent litigation and other adversarial proceedings such as proceedings before the PTAB and opposition proceedings in the European Patent Office, regarding intellectual property rights that could impact our products and technology.</w:t>
      </w:r>
    </w:p>
    <w:p>
      <w:pPr>
        <w:spacing w:after="0" w:line="18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Patent litigation and other proceedings may also absorb significant management time.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Aptevo trademarks may be opposed which could have a material and adverse effect on our business.</w:t>
      </w:r>
    </w:p>
    <w:p>
      <w:pPr>
        <w:spacing w:after="0" w:line="117"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We have applications pending that cover the APTEVO THERAPEUTICS, APTEVO BIOTHERAPEUTICS, and APTEVO RESEARCH AND DEVELOPMENT trademarks. We refer to these trademarks as our house marks. If a third party opposes any of these house marks and we are unable to reach settlement prior to the commencement of an opposition proceeding, we may incur significant expense in the course of participating in the opposition process, which can be expensive and lengthy. Any settlement with a third party may result in our agreeing to be subject to restrictions on our use of the relevant house mark. In addition, if we are unsuccessful in an opposition against a house mark, we would lose the ability to obtain trademark registration for one or more uses of the relevant mark both in the United States and in other territories which could have a material and adverse effect on our business.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that our employees have wrongfully used or disclosed alleged trade secrets of their former employers.</w:t>
      </w:r>
    </w:p>
    <w:p>
      <w:pPr>
        <w:spacing w:after="0" w:line="129"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As is common in the biotechnology and pharmaceutical industry, we employ individuals who were previously employed at other biotechnology or pharmaceutical companies, including our competitors or potential competitors.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our obligations in our intellectual property licenses with third parties, could result in loss of license rights or other damages.</w:t>
      </w:r>
    </w:p>
    <w:p>
      <w:pPr>
        <w:spacing w:after="0" w:line="140" w:lineRule="exact"/>
        <w:rPr>
          <w:sz w:val="20"/>
          <w:szCs w:val="20"/>
          <w:color w:val="auto"/>
        </w:rPr>
      </w:pPr>
    </w:p>
    <w:p>
      <w:pPr>
        <w:jc w:val="both"/>
        <w:ind w:right="20" w:firstLine="510"/>
        <w:spacing w:after="0" w:line="301" w:lineRule="auto"/>
        <w:rPr>
          <w:sz w:val="20"/>
          <w:szCs w:val="20"/>
          <w:color w:val="auto"/>
        </w:rPr>
      </w:pPr>
      <w:r>
        <w:rPr>
          <w:rFonts w:ascii="Arial" w:cs="Arial" w:eastAsia="Arial" w:hAnsi="Arial"/>
          <w:sz w:val="16"/>
          <w:szCs w:val="16"/>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in whole or in part, terminate the exclusive nature of the license and/or sue us for breach, which could cause us to not be able to market any product that is covered by the licensed patents and may be subject to damages.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3" w:name="page44"/>
    <w:bookmarkEnd w:id="43"/>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 candidates could be adversely affected.</w:t>
      </w:r>
    </w:p>
    <w:p>
      <w:pPr>
        <w:spacing w:after="0" w:line="62"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In addition to patented technology, we rely upon unpatented proprietary technology, information processes and know-how. These types of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 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Collaborations and Other Agreements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and maintaining collaborations that leverage our capabilities in pursuit of developing and commercializing our product candidates.</w:t>
      </w:r>
    </w:p>
    <w:p>
      <w:pPr>
        <w:spacing w:after="0" w:line="62"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6"/>
          <w:szCs w:val="16"/>
          <w:color w:val="auto"/>
        </w:rPr>
        <w:t>For each of our product candidates we plan to evaluate the merits of entering into collaboration arrangements with third parties, including leading biotechnology companies or non-governmental organizations. In July 2017, we entered into a collaboration agreement with Alligator Bioscience AB, or Alligator, pursuant to which Aptevo R&amp;D and Alligator will collaboratively develop ALG.APV-527, a lead bispecific antibody candidate simultaneously targeting 4-1BB (CD137), a member of the TNFR superfamily of a costimulatory receptor found on activated T-cells, and 5T4, a tumor antigen widely overexpressed in a number of different types of cancer. We intend to pursue collaboration arrangements with third parties that have particular technology, expertise or resources for the development or commercialization of our product candidates or for accessing particular markets. We face, and will continue to face, significant competition in seeking appropriate partners for our product candidates. If we are unable to identify partners whose capabilities complement and integrate well with ours and reach collaboration arrangements with such partners on a timely basis, on acceptable terms or at all, or if the arrangements we establish are unproductive for us, we may fail to meet our business objectives for the particular product candidate. Our ability to enter into such arrangements with respect to products in development that are subject to licenses may be limited by the terms of those licenses.</w:t>
      </w:r>
    </w:p>
    <w:p>
      <w:pPr>
        <w:spacing w:after="0" w:line="168"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Our collaboration agreement with Alligator, or any collaboration agreement we may consider entering into, may not be successful and the success of our collaboration arrangements will depend heavily on the efforts and activities of our collaborative partners. It is likely that our collaborative partners will have significant discretion in determining the efforts and resources that they will apply to these collaborations.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risks that we are subject to in any of our collaborations include, among others:</w:t>
      </w:r>
    </w:p>
    <w:p>
      <w:pPr>
        <w:spacing w:after="0" w:line="117" w:lineRule="exact"/>
        <w:rPr>
          <w:sz w:val="20"/>
          <w:szCs w:val="20"/>
          <w:color w:val="auto"/>
        </w:rPr>
      </w:pPr>
    </w:p>
    <w:p>
      <w:pPr>
        <w:ind w:left="100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collaborative partners may not commit adequate resources to the development, marketing and distribution of any collaboration products, limiting our potential revenues from these products;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collaborative partners may experience financial difficulties and may therefore be unable to meet their commitments to us;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collaborative partners may pursue a competing product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collaborative partners may terminate our relationship.</w:t>
      </w:r>
    </w:p>
    <w:p>
      <w:pPr>
        <w:spacing w:after="0" w:line="225"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The failure of any of our current or future collaboration partners to perform as expected could place us at a competitive disadvantage and adversely affect us financially, including delay and increased costs of development, loss of market opportunities, lower than expected revenues and impairment of the value of the related product candidate. A loss of our collaboration agreement with Alligator would result in a burden of locating a replacement partner under potentially less favorable terms at an additional cost. Collaborations are a critical part of our business strategy, and any inability on our part to establish and successfully maintain such arrangements on terms favorable to us or to work successfully with our collaborative partners could have an adverse effect on our operations and financial performance. Due to COVID-19, we may experience delays in opportunities to develop our product candidates, due to financial and other impacts on potential partners.</w:t>
      </w:r>
    </w:p>
    <w:p>
      <w:pPr>
        <w:spacing w:after="0" w:line="3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In connection with our separation from Emergent, we and Emergent agreed to indemnify the other party for certain liabilities. The Emergent indemnity may not be sufficient to hold us harmless from the full amount of liabilities for which Emergent will be allocated responsibility, and Emergent may not be able to satisfy its indemnification obligations in the future.</w:t>
      </w:r>
    </w:p>
    <w:p>
      <w:pPr>
        <w:spacing w:after="0" w:line="76"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Pursuant to the separation agreement and certain other agreements with Emergent, Emergent has agreed to indemnify us for certain liabilities, and we agreed to indemnify Emergent for certain liabilities. Indemnities that we may be required to provide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4" w:name="page45"/>
    <w:bookmarkEnd w:id="44"/>
    <w:p>
      <w:pPr>
        <w:jc w:val="both"/>
        <w:spacing w:after="0" w:line="271" w:lineRule="auto"/>
        <w:rPr>
          <w:sz w:val="20"/>
          <w:szCs w:val="20"/>
          <w:color w:val="auto"/>
        </w:rPr>
      </w:pPr>
      <w:r>
        <w:rPr>
          <w:rFonts w:ascii="Arial" w:cs="Arial" w:eastAsia="Arial" w:hAnsi="Arial"/>
          <w:sz w:val="17"/>
          <w:szCs w:val="17"/>
          <w:color w:val="auto"/>
        </w:rPr>
        <w:t>Emergent are not subject to any cap, may be significant and could negatively impact our business, particularly indemnities relating to our actions that could impact the tax-free nature of the distribution. Third parties could also seek to hold us responsible for any of the liabilities that Emergent has agreed to retain. Any amounts we are required to pay pursuant to these indemnification obligations and other liabilities could require us to divert cash that would otherwise have been used in furtherance of our operating business. Further, the indemnity from Emergent may not be sufficient to protect us against the full amount of such liabilities, and Emergent may not be able to fully satisfy its indemnification obligations. Moreover, even if we ultimately succeed in recovering from Emergent any amounts for which we are held liable, we may be temporarily required to bear these losses ourselves. Each of these risks could negatively affect our business, results of operations and financial condition. Due to COVID-19, we may experience delays in opportunities to develop our product candidates, due to financial and other impacts on potential partners.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 and General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117"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Our stock price has fluctuated in the past and is likely to be volatile in the future. Since August 1, 2016, the reported closing price of our common stock has fluctuated between $3.29 and $112 per share (as adjusted to reflect our 1-for-14 reverse stock split of our outstanding common stock that was effective on March 26, 2020). The stock market in general, and the market for biotechnology companies in particular, have experienced extreme volatility that has often been unrelated to the operating performance of particular companies. In particular, the stock market has experienced extreme volatility in recent months as a result of COVID-19 and its impact on the global economy. The market price of our common stock may fluctuate significantly due to a number of factors, some of which may be beyond our control or unrelated to our operations, including, among others:</w:t>
      </w:r>
    </w:p>
    <w:p>
      <w:pPr>
        <w:spacing w:after="0" w:line="56" w:lineRule="exact"/>
        <w:rPr>
          <w:sz w:val="20"/>
          <w:szCs w:val="20"/>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investor perceptions or negative announcements by our competitors, suppliers or partners regarding their own performance;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expenses and results of clinical and non-clinical trials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regarding clinical trial results and product introductions by us or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of acquisitions, collaborations, financings or other transactions by us or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public concern as to the safety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termination or delay of a development program;</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estimated or actual sales of IXINITY by Medexus or of RUXIENCE by Pfizer;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variations in our cash flows or results of operations;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operating and stock price performance of comparable companies;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COVID-19 or similar global health challenges;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industry conditions and domestic and global financial, economic and geo-political instability;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 addition, when the market price of a company’s common stock drops significantly, stockholders often institute securities class action lawsuits against the company. A lawsuit against us could cause us to incur substantial costs and could divert the time and attention of our management and other resources.</w:t>
      </w:r>
    </w:p>
    <w:p>
      <w:pPr>
        <w:spacing w:after="0" w:line="2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continue to develop effective internal controls, we may not be able to accurately report our financial results and our business could be harmed.</w:t>
      </w:r>
    </w:p>
    <w:p>
      <w:pPr>
        <w:spacing w:after="0" w:line="62"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As an emerging growth company, we have availed ourselves of the exemption from the requirement that our independent registered public accounting firm attest to the effectiveness of our internal control over financial reporting under Section 404. However, we may no longer avail ourselves of this exemption when we cease to be an emerging growth company. When our independent registered public accounting firm is required to undertake an assessment of our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jc w:val="both"/>
        <w:spacing w:after="0" w:line="293" w:lineRule="auto"/>
        <w:rPr>
          <w:sz w:val="20"/>
          <w:szCs w:val="20"/>
          <w:color w:val="auto"/>
        </w:rPr>
      </w:pPr>
      <w:r>
        <w:rPr>
          <w:rFonts w:ascii="Arial" w:cs="Arial" w:eastAsia="Arial" w:hAnsi="Arial"/>
          <w:sz w:val="16"/>
          <w:szCs w:val="16"/>
          <w:color w:val="auto"/>
        </w:rPr>
        <w:t>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164"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Investor perceptions of our company may suffer if material weaknesses are found, and this could cause a decline in the market price of our common stock. Irrespective of compliance with Section 404, any failure of our internal control over financial reporting could harm our operating results and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public announcement of data from clinical trials or news of any developments related to our product pipeline may cause significant volatility in our stock price.</w:t>
      </w:r>
    </w:p>
    <w:p>
      <w:pPr>
        <w:spacing w:after="0" w:line="6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announcement of data from clinical trials by us or our collaborative partners or news of any developments related to our key pipeline product candidates may cause significant volatility in our stock price. Furthermore, the announcement of any negative or unexpected data or the discontinuation of development of any of our key pipeline product candidates, or any delay in our anticipated timelines for filing for regulatory approval, could cause our stock price to decline significantly. There can be no assurance that data from clinical trials will support a filing for regulatory approval or even if approved, that any of our key pipeline products will become commercially successful.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percentage of ownership in Aptevo may be diluted in the future.</w:t>
      </w:r>
    </w:p>
    <w:p>
      <w:pPr>
        <w:spacing w:after="0" w:line="117"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In the future, your percentage ownership in Aptevo may be diluted because of equity issuances for acquisitions, capital market transactions or otherwise, including equity awards to our directors, officers and employees. Our employees have options to purchase shares of our common stock and from time to time, we expect to issue additional options, restricted stock units, or other stock-based awards to our employees under our employee benefits plans.</w:t>
      </w:r>
    </w:p>
    <w:p>
      <w:pPr>
        <w:spacing w:after="0" w:line="149"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Future issuances of common stock may include (i) any sale of up to the remaining $17.3 million worth of shares of our common stock pursuant to our Equity Distribution Agreement with Piper Sandler &amp; Co entered into in November 2017, (ii) any sale of up to $35.0 million worth of shares of our common stock in a private placement pursuant to our Purchase Agreement with Lincoln Park, entered into in December 2018 and (iii) the issuance of up to 1,571,429 shares of common stock upon the exercise of warrants issued in connection with our March 2019 public offering of common stock and warrants.</w:t>
      </w:r>
    </w:p>
    <w:p>
      <w:pPr>
        <w:spacing w:after="0" w:line="157"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In addition, our restated certificate of incorporation authorizes us to issue, without the approval of our stockholders, one or more classes or series of preferred stock having such designation, powers, preferences and relative, participating, optional and other special rights, including preferences over our common stock respecting dividends and distributions, as our board of directors generally may determine. The terms of one or more classes or series of preferred stock could dilute the voting power or reduce the value of our common stock. For example, we could grant the holders of preferred stock the right to elect some number of our directors in all events or on the happening of specified events or the right to veto specified transactions. Similarly, the repurchase or redemption rights or liquidation preferences we could assign to holders of preferred stock could affect the residual value of the common stock.</w:t>
      </w:r>
    </w:p>
    <w:p>
      <w:pPr>
        <w:spacing w:after="0" w:line="3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under Delaware law and in our restated certificate of incorporation and amended and restated by-laws may discourage acquisition proposals, delay a change in control or prevent transactions that stockholders may consider favorable.</w:t>
      </w:r>
    </w:p>
    <w:p>
      <w:pPr>
        <w:spacing w:after="0" w:line="6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Certain provisions in our restated certificate of incorporation and amended and restated by-laws, and under Delaware law,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incumbent directors and management.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include:</w:t>
      </w:r>
    </w:p>
    <w:p>
      <w:pPr>
        <w:spacing w:after="0" w:line="117" w:lineRule="exact"/>
        <w:rPr>
          <w:sz w:val="20"/>
          <w:szCs w:val="20"/>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classification of our directors;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on the removal of directors;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on filling vacancies on the board;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6" w:name="page47"/>
    <w:bookmarkEnd w:id="46"/>
    <w:p>
      <w:pPr>
        <w:ind w:left="1000" w:hanging="493"/>
        <w:spacing w:after="0"/>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advance notice requirements for stockholder nominations of candidates for election to the Board of Directors and other proposals;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ability of our Board of Directors to designate the terms of and issue a new series of preferred stock without stockholder approval.</w:t>
      </w:r>
    </w:p>
    <w:p>
      <w:pPr>
        <w:spacing w:after="0" w:line="23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18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In addition, Section 203 of the General Corporation Law of Delaware prohibits a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by-laws include an exclusive forum provision that could limit our stockholders’ ability to obtain a judicial forum viewed by stockholders as more favorable for disputes with us or our directors, officers or other employees or certain stockholders.</w:t>
      </w:r>
    </w:p>
    <w:p>
      <w:pPr>
        <w:spacing w:after="0" w:line="62"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Our by-laws provide that the Chancery Court of the State of Delaware will be the sole and exclusive forum for certain legal proceedings, unless we consent in writing to the selection of an alternative forum. This exclusive forum provision may limit the ability of our stockholders to bring a claim in a judicial forum that such stockholders find favorable for disputes with us or our directors or officers, which may discourage lawsuits against us or our directors or officers. Alternatively, if a court outside of Delaware were to find this exclusive forum provision inapplicable to, or unenforceable in respect of, one or more of the types of actions or proceedings described above, we may incur additional costs associated with resolving such matters in other jurisdictions, which could adversely affect our business, financial condition or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periodic litigation, which could result in losses or unexpected expenditure of time and resources.</w:t>
      </w:r>
    </w:p>
    <w:p>
      <w:pPr>
        <w:spacing w:after="0" w:line="11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From time to time, we may be called upon to defend ourselves against lawsuits relating to our business. Any litigation, regardless of its merits, could result in substantial costs and a diversion of management’s attention and resources that are needed to successfully run our business. Due to the inherent uncertainties of litigation, we cannot accurately predict the ultimate outcome of any such proceedings. An unfavorable outcome in any such proceedings could have an adverse impact on our business, financial condition and results of operations. If our stock price is volatile, we may become involved in securities class action lawsuits in the future.</w:t>
      </w:r>
    </w:p>
    <w:p>
      <w:pPr>
        <w:spacing w:after="0" w:line="3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comply with data protection laws and regulations could lead to government enforcement actions and significant penalties against us, and adversely impact our operating results.</w:t>
      </w:r>
    </w:p>
    <w:p>
      <w:pPr>
        <w:spacing w:after="0" w:line="62"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color w:val="auto"/>
        </w:rPr>
        <w:t>EU Member States, Switzerland and other countries have adopted data protection laws and regulations, which impose significant compliance obligations. For example, European Union, or EU, member states and other foreign jurisdictions, including Switzerland, have adopted data protection laws and regulations which impose significant compliance obligations. Moreover, the collection and use of personal health data in the EU is now governed under the EU General Data Protection Regulation, or the GDPR, effective in May 2018. The GDPR, which is wide-ranging in scope, imposed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GDPR increases our responsibility and liability in relation to personal data that we process, including in clinical trials, and we may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However, despite our ongoing efforts to bring our practices into compliance with the GDPR, we may not be successful either due to various factors within our control, such as limited financial or human resources, or other factors outside our control. It is also possible that local data protection authorities may have different interpretations of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jc w:val="both"/>
        <w:spacing w:after="0" w:line="272" w:lineRule="auto"/>
        <w:rPr>
          <w:sz w:val="20"/>
          <w:szCs w:val="20"/>
          <w:color w:val="auto"/>
        </w:rPr>
      </w:pPr>
      <w:r>
        <w:rPr>
          <w:rFonts w:ascii="Arial" w:cs="Arial" w:eastAsia="Arial" w:hAnsi="Arial"/>
          <w:sz w:val="17"/>
          <w:szCs w:val="17"/>
          <w:color w:val="auto"/>
        </w:rPr>
        <w:t>GDPR, leading to potential inconsistencies amongst various EU member states. Any failure or alleged failure (including as a result of deficiencies in our policies, procedures, or measures relating to privacy, data security, marketing, or communications) by us to comply with laws, regulations, policies, legal or contractual obligations, industry standards, or regulatory guidance relating to privacy or data security, may result in governmental investigations and enforcement actions, litigation, fines and penalties or adverse publicity. In addition, we expect that there will continue to be new proposed laws, regulations and industry standards relating to privacy and data protection in the United States, the EU and other jurisdictions, such as the California Consumer Privacy Act of 2018, which has been characterized as the first “GDPR-like” privacy statute to be enacted in the United States, and we cannot determine the impact such future laws, regulations and standards may have on our business.</w:t>
      </w: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experience a significant disruption in our information technology systems or breaches of data security, our business could be adversely affected.</w:t>
      </w:r>
    </w:p>
    <w:p>
      <w:pPr>
        <w:spacing w:after="0" w:line="152" w:lineRule="exact"/>
        <w:rPr>
          <w:sz w:val="20"/>
          <w:szCs w:val="20"/>
          <w:color w:val="auto"/>
        </w:rPr>
      </w:pPr>
    </w:p>
    <w:p>
      <w:pPr>
        <w:jc w:val="both"/>
        <w:ind w:firstLine="510"/>
        <w:spacing w:after="0" w:line="285" w:lineRule="auto"/>
        <w:rPr>
          <w:sz w:val="20"/>
          <w:szCs w:val="20"/>
          <w:color w:val="auto"/>
        </w:rPr>
      </w:pPr>
      <w:r>
        <w:rPr>
          <w:rFonts w:ascii="Arial" w:cs="Arial" w:eastAsia="Arial" w:hAnsi="Arial"/>
          <w:sz w:val="16"/>
          <w:szCs w:val="16"/>
          <w:color w:val="auto"/>
        </w:rPr>
        <w:t>We rely on information technology systems to keep financial records, capture laboratory data, maintain clinical trial data and corporate records, communicate with staff and external parties and operate other critical functions. Our information technology systems are potentially vulnerable to disruption due to breakdown, malicious intrusion and computer viruses or other disruptive events including but not limited to natural disaster. The impact of COVID-19 also poses an increased security risk, due to the mandatory remote working orders. If we were to experience a prolonged system disruption in our information technology systems or those of certain of our vendors, it could delay or negatively impact our development and commercialization of our product candidates, which could adversely impact our business. If operations at our facilities were disrupted, it may cause a material disruption in our business if we are not capable of restoring function on an acceptable timeframe. In addition, our information technology systems are potentially vulnerable to data security breaches—whether by employees or others—which may expose sensitive or personal data to unauthorized persons. Such data security breaches could lead to the loss of trade secrets or other intellectual property, or could lead to the public exposure of personal information (including sensitive personal information) of our employees, patients in our clinical trials, customers and others, any of which could have a material adverse effect on our business, financial condition and results of operations. Moreover, a security breach or privacy violation that leads to destruction, loss, alteration, unauthorized use or access, disclosure or modification of, personally identifiable information or personal data, could harm our reputation, compel us to comply with federal, state and/or international breach notification laws, subject us to mandatory corrective or regulatory action, require us to verify the correctness of database contents and otherwise subject us to liability under laws and regulations that protect personal data, including the GDPR and the California Consumer Privacy Act of 2018, which could disrupt our business, result in increased costs or loss of revenue, and/or result in significant legal and financial exposure. In addition, a data security breach could result in loss of clinical trial data or damage to the integrity of that data. If we are unable to implement and maintain adequate organizational and technical measures to prevent such security breaches or privacy violations, or to respond adequately in the event of a breach, our operations could be disrupted, and we may suffer loss of reputation, problems with regulatory authorities, financial loss and other negative consequences. In addition, these breaches and other inappropriate access can be difficult to detect, and any delay in identifying them may lead to increased harm of the type described above.</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ind w:right="9160"/>
        <w:spacing w:after="0"/>
        <w:rPr>
          <w:sz w:val="20"/>
          <w:szCs w:val="20"/>
          <w:color w:val="auto"/>
        </w:rPr>
      </w:pPr>
      <w:r>
        <w:rPr>
          <w:rFonts w:ascii="Arial" w:cs="Arial" w:eastAsia="Arial" w:hAnsi="Arial"/>
          <w:sz w:val="17"/>
          <w:szCs w:val="17"/>
          <w:b w:val="1"/>
          <w:bCs w:val="1"/>
          <w:color w:val="auto"/>
        </w:rPr>
        <w:t>Item 5. Other Information.</w:t>
      </w:r>
    </w:p>
    <w:p>
      <w:pPr>
        <w:spacing w:after="0" w:line="133" w:lineRule="exact"/>
        <w:rPr>
          <w:sz w:val="20"/>
          <w:szCs w:val="20"/>
          <w:color w:val="auto"/>
        </w:rPr>
      </w:pPr>
    </w:p>
    <w:p>
      <w:pPr>
        <w:jc w:val="center"/>
        <w:ind w:right="9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0" w:type="dxa"/>
            <w:vAlign w:val="bottom"/>
            <w:gridSpan w:val="4"/>
          </w:tcPr>
          <w:p>
            <w:pPr>
              <w:ind w:left="30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23"/>
        </w:trPr>
        <w:tc>
          <w:tcPr>
            <w:tcW w:w="100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94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5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920" w:type="dxa"/>
            <w:vAlign w:val="bottom"/>
            <w:tcBorders>
              <w:top w:val="single" w:sz="8" w:color="auto"/>
            </w:tcBorders>
          </w:tcPr>
          <w:p>
            <w:pPr>
              <w:jc w:val="right"/>
              <w:ind w:right="412"/>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4"/>
                <w:szCs w:val="24"/>
                <w:color w:val="auto"/>
              </w:rPr>
            </w:pPr>
          </w:p>
        </w:tc>
        <w:tc>
          <w:tcPr>
            <w:tcW w:w="10240" w:type="dxa"/>
            <w:vAlign w:val="bottom"/>
            <w:tcBorders>
              <w:top w:val="single" w:sz="8" w:color="auto"/>
            </w:tcBorders>
            <w:gridSpan w:val="6"/>
          </w:tcPr>
          <w:p>
            <w:pPr>
              <w:spacing w:after="0"/>
              <w:rPr>
                <w:rFonts w:ascii="Arial" w:cs="Arial" w:eastAsia="Arial" w:hAnsi="Arial"/>
                <w:sz w:val="18"/>
                <w:szCs w:val="18"/>
                <w:u w:val="single" w:color="auto"/>
                <w:color w:val="0000EE"/>
              </w:rPr>
            </w:pPr>
            <w:hyperlink r:id="rId66">
              <w:r>
                <w:rPr>
                  <w:rFonts w:ascii="Arial" w:cs="Arial" w:eastAsia="Arial" w:hAnsi="Arial"/>
                  <w:sz w:val="18"/>
                  <w:szCs w:val="18"/>
                  <w:u w:val="single" w:color="auto"/>
                  <w:color w:val="0000EE"/>
                </w:rPr>
                <w:t>LLC Purchase Agreement by and among Aptevo Therapeutics Inc. and Medexus Pharma, Inc. dated February 28, 2020</w:t>
              </w:r>
            </w:hyperlink>
          </w:p>
        </w:tc>
        <w:tc>
          <w:tcPr>
            <w:tcW w:w="0" w:type="dxa"/>
            <w:vAlign w:val="bottom"/>
          </w:tcPr>
          <w:p>
            <w:pPr>
              <w:spacing w:after="0"/>
              <w:rPr>
                <w:sz w:val="1"/>
                <w:szCs w:val="1"/>
                <w:color w:val="auto"/>
              </w:rPr>
            </w:pPr>
          </w:p>
        </w:tc>
      </w:tr>
      <w:tr>
        <w:trPr>
          <w:trHeight w:val="338"/>
        </w:trPr>
        <w:tc>
          <w:tcPr>
            <w:tcW w:w="920" w:type="dxa"/>
            <w:vAlign w:val="bottom"/>
          </w:tcPr>
          <w:p>
            <w:pPr>
              <w:jc w:val="right"/>
              <w:ind w:right="412"/>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10240" w:type="dxa"/>
            <w:vAlign w:val="bottom"/>
            <w:gridSpan w:val="6"/>
          </w:tcPr>
          <w:p>
            <w:pPr>
              <w:spacing w:after="0"/>
              <w:rPr>
                <w:rFonts w:ascii="Arial" w:cs="Arial" w:eastAsia="Arial" w:hAnsi="Arial"/>
                <w:sz w:val="18"/>
                <w:szCs w:val="18"/>
                <w:color w:val="0000EE"/>
              </w:rPr>
            </w:pPr>
            <w:hyperlink r:id="rId67">
              <w:r>
                <w:rPr>
                  <w:rFonts w:ascii="Arial" w:cs="Arial" w:eastAsia="Arial" w:hAnsi="Arial"/>
                  <w:sz w:val="18"/>
                  <w:szCs w:val="18"/>
                  <w:u w:val="single" w:color="auto"/>
                  <w:color w:val="0000EE"/>
                </w:rPr>
                <w:t>Amended and Restated Certificate of Incorporation of Aptevo Therapeutics Inc</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38"/>
        </w:trPr>
        <w:tc>
          <w:tcPr>
            <w:tcW w:w="920" w:type="dxa"/>
            <w:vAlign w:val="bottom"/>
          </w:tcPr>
          <w:p>
            <w:pPr>
              <w:jc w:val="right"/>
              <w:ind w:right="412"/>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10240" w:type="dxa"/>
            <w:vAlign w:val="bottom"/>
            <w:gridSpan w:val="6"/>
          </w:tcPr>
          <w:p>
            <w:pPr>
              <w:spacing w:after="0"/>
              <w:rPr>
                <w:rFonts w:ascii="Arial" w:cs="Arial" w:eastAsia="Arial" w:hAnsi="Arial"/>
                <w:sz w:val="18"/>
                <w:szCs w:val="18"/>
                <w:u w:val="single" w:color="auto"/>
                <w:color w:val="0000EE"/>
              </w:rPr>
            </w:pPr>
            <w:hyperlink r:id="rId68">
              <w:r>
                <w:rPr>
                  <w:rFonts w:ascii="Arial" w:cs="Arial" w:eastAsia="Arial" w:hAnsi="Arial"/>
                  <w:sz w:val="18"/>
                  <w:szCs w:val="18"/>
                  <w:u w:val="single" w:color="auto"/>
                  <w:color w:val="0000EE"/>
                </w:rPr>
                <w:t>Certificate of Amendment of Amended and Restated Certificate of Incorporation of Aptevo Therapeutics Inc.</w:t>
              </w:r>
            </w:hyperlink>
          </w:p>
        </w:tc>
        <w:tc>
          <w:tcPr>
            <w:tcW w:w="0" w:type="dxa"/>
            <w:vAlign w:val="bottom"/>
          </w:tcPr>
          <w:p>
            <w:pPr>
              <w:spacing w:after="0"/>
              <w:rPr>
                <w:sz w:val="1"/>
                <w:szCs w:val="1"/>
                <w:color w:val="auto"/>
              </w:rPr>
            </w:pPr>
          </w:p>
        </w:tc>
      </w:tr>
      <w:tr>
        <w:trPr>
          <w:trHeight w:val="338"/>
        </w:trPr>
        <w:tc>
          <w:tcPr>
            <w:tcW w:w="920" w:type="dxa"/>
            <w:vAlign w:val="bottom"/>
          </w:tcPr>
          <w:p>
            <w:pPr>
              <w:jc w:val="right"/>
              <w:ind w:right="412"/>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10240" w:type="dxa"/>
            <w:vAlign w:val="bottom"/>
            <w:gridSpan w:val="6"/>
          </w:tcPr>
          <w:p>
            <w:pPr>
              <w:spacing w:after="0"/>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Amended and Restated Bylaws of Aptevo Therapeutics Inc.</w:t>
              </w:r>
            </w:hyperlink>
          </w:p>
        </w:tc>
        <w:tc>
          <w:tcPr>
            <w:tcW w:w="0" w:type="dxa"/>
            <w:vAlign w:val="bottom"/>
          </w:tcPr>
          <w:p>
            <w:pPr>
              <w:spacing w:after="0"/>
              <w:rPr>
                <w:sz w:val="1"/>
                <w:szCs w:val="1"/>
                <w:color w:val="auto"/>
              </w:rPr>
            </w:pPr>
          </w:p>
        </w:tc>
      </w:tr>
      <w:tr>
        <w:trPr>
          <w:trHeight w:val="297"/>
        </w:trPr>
        <w:tc>
          <w:tcPr>
            <w:tcW w:w="920" w:type="dxa"/>
            <w:vAlign w:val="bottom"/>
          </w:tcPr>
          <w:p>
            <w:pPr>
              <w:jc w:val="right"/>
              <w:ind w:right="412"/>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10240" w:type="dxa"/>
            <w:vAlign w:val="bottom"/>
            <w:gridSpan w:val="6"/>
          </w:tcPr>
          <w:p>
            <w:pPr>
              <w:spacing w:after="0"/>
              <w:rPr>
                <w:rFonts w:ascii="Arial" w:cs="Arial" w:eastAsia="Arial" w:hAnsi="Arial"/>
                <w:sz w:val="18"/>
                <w:szCs w:val="18"/>
                <w:color w:val="0000EE"/>
                <w:w w:val="90"/>
              </w:rPr>
            </w:pPr>
            <w:hyperlink r:id="rId70">
              <w:r>
                <w:rPr>
                  <w:rFonts w:ascii="Arial" w:cs="Arial" w:eastAsia="Arial" w:hAnsi="Arial"/>
                  <w:sz w:val="18"/>
                  <w:szCs w:val="18"/>
                  <w:color w:val="0000EE"/>
                  <w:w w:val="90"/>
                </w:rPr>
                <w:t>Rights Agreement, dated as of November 8, 2020, by and between Aptevo Therapeutics Inc. and Broadridge Corporate Issuer Solutions, Inc.,</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as rights agent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tcPr>
          <w:p>
            <w:pPr>
              <w:jc w:val="right"/>
              <w:ind w:right="332"/>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10240" w:type="dxa"/>
            <w:vAlign w:val="bottom"/>
            <w:gridSpan w:val="6"/>
          </w:tcPr>
          <w:p>
            <w:pPr>
              <w:spacing w:after="0"/>
              <w:rPr>
                <w:rFonts w:ascii="Arial" w:cs="Arial" w:eastAsia="Arial" w:hAnsi="Arial"/>
                <w:sz w:val="18"/>
                <w:szCs w:val="18"/>
                <w:color w:val="0000EE"/>
                <w:w w:val="98"/>
              </w:rPr>
            </w:pPr>
            <w:hyperlink w:anchor="page51">
              <w:r>
                <w:rPr>
                  <w:rFonts w:ascii="Arial" w:cs="Arial" w:eastAsia="Arial" w:hAnsi="Arial"/>
                  <w:sz w:val="18"/>
                  <w:szCs w:val="18"/>
                  <w:u w:val="single" w:color="auto"/>
                  <w:color w:val="0000EE"/>
                  <w:w w:val="98"/>
                </w:rPr>
                <w:t>Credit and Security Agreement, dated as of August 5, 2020, by and among Aptevo Therapeutics Inc., and MidCap Financial Trust</w:t>
              </w:r>
              <w:r>
                <w:rPr>
                  <w:rFonts w:ascii="Arial" w:cs="Arial" w:eastAsia="Arial" w:hAnsi="Arial"/>
                  <w:sz w:val="18"/>
                  <w:szCs w:val="18"/>
                  <w:color w:val="0000EE"/>
                  <w:w w:val="98"/>
                </w:rPr>
                <w:t>.</w:t>
              </w:r>
            </w:hyperlink>
          </w:p>
        </w:tc>
        <w:tc>
          <w:tcPr>
            <w:tcW w:w="0" w:type="dxa"/>
            <w:vAlign w:val="bottom"/>
          </w:tcPr>
          <w:p>
            <w:pPr>
              <w:spacing w:after="0"/>
              <w:rPr>
                <w:sz w:val="1"/>
                <w:szCs w:val="1"/>
                <w:color w:val="auto"/>
              </w:rPr>
            </w:pPr>
          </w:p>
        </w:tc>
      </w:tr>
      <w:tr>
        <w:trPr>
          <w:trHeight w:val="297"/>
        </w:trPr>
        <w:tc>
          <w:tcPr>
            <w:tcW w:w="920" w:type="dxa"/>
            <w:vAlign w:val="bottom"/>
          </w:tcPr>
          <w:p>
            <w:pPr>
              <w:jc w:val="right"/>
              <w:ind w:right="332"/>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1024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155">
              <w:r>
                <w:rPr>
                  <w:rFonts w:ascii="Arial" w:cs="Arial" w:eastAsia="Arial" w:hAnsi="Arial"/>
                  <w:sz w:val="18"/>
                  <w:szCs w:val="18"/>
                  <w:color w:val="0000EE"/>
                  <w:w w:val="96"/>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9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55">
              <w:r>
                <w:rPr>
                  <w:rFonts w:ascii="Arial" w:cs="Arial" w:eastAsia="Arial" w:hAnsi="Arial"/>
                  <w:sz w:val="18"/>
                  <w:szCs w:val="18"/>
                  <w:color w:val="0000EE"/>
                  <w:w w:val="90"/>
                </w:rPr>
                <w:t>Adopted Pursuant to Section 302 of the Sarbanes Oxley Act of 2002.</w:t>
              </w:r>
            </w:hyperlink>
          </w:p>
        </w:tc>
        <w:tc>
          <w:tcPr>
            <w:tcW w:w="52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right"/>
              <w:ind w:right="332"/>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1024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156">
              <w:r>
                <w:rPr>
                  <w:rFonts w:ascii="Arial" w:cs="Arial" w:eastAsia="Arial" w:hAnsi="Arial"/>
                  <w:sz w:val="18"/>
                  <w:szCs w:val="18"/>
                  <w:color w:val="0000EE"/>
                  <w:w w:val="91"/>
                </w:rPr>
                <w:t>Certification of Principal Financial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40" w:type="dxa"/>
            <w:vAlign w:val="bottom"/>
            <w:gridSpan w:val="6"/>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Pursuant to Section 302 of the Sarbanes Oxley Act of 2002.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380" w:type="dxa"/>
            <w:vAlign w:val="bottom"/>
            <w:gridSpan w:val="2"/>
            <w:shd w:val="clear" w:color="auto" w:fill="0000EE"/>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right"/>
              <w:ind w:right="332"/>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10240" w:type="dxa"/>
            <w:vAlign w:val="bottom"/>
            <w:gridSpan w:val="6"/>
          </w:tcPr>
          <w:p>
            <w:pPr>
              <w:spacing w:after="0"/>
              <w:rPr>
                <w:rFonts w:ascii="Arial" w:cs="Arial" w:eastAsia="Arial" w:hAnsi="Arial"/>
                <w:sz w:val="18"/>
                <w:szCs w:val="18"/>
                <w:color w:val="0000EE"/>
                <w:w w:val="92"/>
              </w:rPr>
            </w:pPr>
            <w:hyperlink w:anchor="page157">
              <w:r>
                <w:rPr>
                  <w:rFonts w:ascii="Arial" w:cs="Arial" w:eastAsia="Arial" w:hAnsi="Arial"/>
                  <w:sz w:val="18"/>
                  <w:szCs w:val="18"/>
                  <w:color w:val="0000EE"/>
                  <w:w w:val="92"/>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157">
              <w:r>
                <w:rPr>
                  <w:rFonts w:ascii="Arial" w:cs="Arial" w:eastAsia="Arial" w:hAnsi="Arial"/>
                  <w:sz w:val="18"/>
                  <w:szCs w:val="18"/>
                  <w:color w:val="0000EE"/>
                  <w:w w:val="93"/>
                </w:rPr>
                <w:t>Act of 2002.</w:t>
              </w:r>
            </w:hyperlink>
          </w:p>
        </w:tc>
        <w:tc>
          <w:tcPr>
            <w:tcW w:w="930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right"/>
              <w:ind w:right="332"/>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1024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158">
              <w:r>
                <w:rPr>
                  <w:rFonts w:ascii="Arial" w:cs="Arial" w:eastAsia="Arial" w:hAnsi="Arial"/>
                  <w:sz w:val="18"/>
                  <w:szCs w:val="18"/>
                  <w:color w:val="0000EE"/>
                  <w:w w:val="93"/>
                </w:rPr>
                <w:t>Certification of Principal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158">
              <w:r>
                <w:rPr>
                  <w:rFonts w:ascii="Arial" w:cs="Arial" w:eastAsia="Arial" w:hAnsi="Arial"/>
                  <w:sz w:val="18"/>
                  <w:szCs w:val="18"/>
                  <w:color w:val="0000EE"/>
                  <w:w w:val="93"/>
                </w:rPr>
                <w:t>Act of 2002.</w:t>
              </w:r>
            </w:hyperlink>
          </w:p>
        </w:tc>
        <w:tc>
          <w:tcPr>
            <w:tcW w:w="93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4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0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4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7"/>
        </w:trPr>
        <w:tc>
          <w:tcPr>
            <w:tcW w:w="10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4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10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4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38"/>
        </w:trPr>
        <w:tc>
          <w:tcPr>
            <w:tcW w:w="10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4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1912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55"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APTEVO THERAPEUTICS INC.</w:t>
      </w:r>
    </w:p>
    <w:p>
      <w:pPr>
        <w:spacing w:after="0" w:line="293" w:lineRule="exact"/>
        <w:rPr>
          <w:sz w:val="20"/>
          <w:szCs w:val="20"/>
          <w:color w:val="auto"/>
        </w:rPr>
      </w:pPr>
    </w:p>
    <w:p>
      <w:pPr>
        <w:spacing w:after="0"/>
        <w:tabs>
          <w:tab w:leader="none" w:pos="6180" w:val="left"/>
          <w:tab w:leader="none" w:pos="8300" w:val="left"/>
        </w:tabs>
        <w:rPr>
          <w:sz w:val="20"/>
          <w:szCs w:val="20"/>
          <w:color w:val="auto"/>
        </w:rPr>
      </w:pPr>
      <w:r>
        <w:rPr>
          <w:rFonts w:ascii="Arial" w:cs="Arial" w:eastAsia="Arial" w:hAnsi="Arial"/>
          <w:sz w:val="18"/>
          <w:szCs w:val="18"/>
          <w:color w:val="auto"/>
        </w:rPr>
        <w:t>Date: November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29229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jc w:val="center"/>
        <w:ind w:left="660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66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78" w:lineRule="exact"/>
        <w:rPr>
          <w:sz w:val="20"/>
          <w:szCs w:val="20"/>
          <w:color w:val="auto"/>
        </w:rPr>
      </w:pPr>
    </w:p>
    <w:p>
      <w:pPr>
        <w:spacing w:after="0"/>
        <w:tabs>
          <w:tab w:leader="none" w:pos="6180" w:val="left"/>
          <w:tab w:leader="none" w:pos="8100" w:val="left"/>
        </w:tabs>
        <w:rPr>
          <w:sz w:val="20"/>
          <w:szCs w:val="20"/>
          <w:color w:val="auto"/>
        </w:rPr>
      </w:pPr>
      <w:r>
        <w:rPr>
          <w:rFonts w:ascii="Arial" w:cs="Arial" w:eastAsia="Arial" w:hAnsi="Arial"/>
          <w:sz w:val="18"/>
          <w:szCs w:val="18"/>
          <w:color w:val="auto"/>
        </w:rPr>
        <w:t>Date: November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G.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29229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Jeffrey G. Lamothe</w:t>
      </w:r>
    </w:p>
    <w:p>
      <w:pPr>
        <w:spacing w:after="0" w:line="27" w:lineRule="exact"/>
        <w:rPr>
          <w:sz w:val="20"/>
          <w:szCs w:val="20"/>
          <w:color w:val="auto"/>
        </w:rPr>
      </w:pPr>
    </w:p>
    <w:p>
      <w:pPr>
        <w:ind w:left="7160"/>
        <w:spacing w:after="0"/>
        <w:rPr>
          <w:sz w:val="20"/>
          <w:szCs w:val="20"/>
          <w:color w:val="auto"/>
        </w:rPr>
      </w:pPr>
      <w:r>
        <w:rPr>
          <w:rFonts w:ascii="Arial" w:cs="Arial" w:eastAsia="Arial" w:hAnsi="Arial"/>
          <w:sz w:val="18"/>
          <w:szCs w:val="18"/>
          <w:b w:val="1"/>
          <w:bCs w:val="1"/>
          <w:color w:val="auto"/>
        </w:rPr>
        <w:t>Senior Vice President, Chief Financial Officer,</w:t>
      </w:r>
    </w:p>
    <w:p>
      <w:pPr>
        <w:spacing w:after="0" w:line="23"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and Treasurer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337"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22"/>
          <w:szCs w:val="22"/>
          <w:b w:val="1"/>
          <w:bCs w:val="1"/>
          <w:color w:val="auto"/>
        </w:rPr>
        <w:t>Exhibit 10.1</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315595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CREDIT AND SECURITY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dated as of August 5, 2020</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by and among</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APTEVO THERAPEUTICS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APTEVO RESEARCH AND DEVELOPMENT LLC,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 any additional borrower that hereafter becomes party hereto, each as Borrower, and collectively as Borrowers,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MIDCAP FINANCIAL TRUST,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Agent,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LENDERS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FROM TIME TO TIME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965835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982980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56"/>
        </w:trPr>
        <w:tc>
          <w:tcPr>
            <w:tcW w:w="2200" w:type="dxa"/>
            <w:vAlign w:val="bottom"/>
          </w:tcPr>
          <w:p>
            <w:pPr>
              <w:spacing w:after="0"/>
              <w:rPr>
                <w:sz w:val="22"/>
                <w:szCs w:val="22"/>
                <w:color w:val="auto"/>
              </w:rPr>
            </w:pPr>
          </w:p>
        </w:tc>
        <w:tc>
          <w:tcPr>
            <w:tcW w:w="8620" w:type="dxa"/>
            <w:vAlign w:val="bottom"/>
            <w:gridSpan w:val="2"/>
          </w:tcPr>
          <w:p>
            <w:pPr>
              <w:ind w:left="2360"/>
              <w:spacing w:after="0"/>
              <w:rPr>
                <w:sz w:val="20"/>
                <w:szCs w:val="20"/>
                <w:color w:val="auto"/>
              </w:rPr>
            </w:pPr>
            <w:r>
              <w:rPr>
                <w:rFonts w:ascii="Arial" w:cs="Arial" w:eastAsia="Arial" w:hAnsi="Arial"/>
                <w:sz w:val="20"/>
                <w:szCs w:val="20"/>
                <w:b w:val="1"/>
                <w:bCs w:val="1"/>
                <w:color w:val="auto"/>
              </w:rPr>
              <w:t>TABLE OF CONTENTS</w:t>
            </w:r>
          </w:p>
        </w:tc>
        <w:tc>
          <w:tcPr>
            <w:tcW w:w="420" w:type="dxa"/>
            <w:vAlign w:val="bottom"/>
          </w:tcPr>
          <w:p>
            <w:pPr>
              <w:spacing w:after="0"/>
              <w:rPr>
                <w:sz w:val="22"/>
                <w:szCs w:val="22"/>
                <w:color w:val="auto"/>
              </w:rPr>
            </w:pPr>
          </w:p>
        </w:tc>
      </w:tr>
      <w:tr>
        <w:trPr>
          <w:trHeight w:val="446"/>
        </w:trPr>
        <w:tc>
          <w:tcPr>
            <w:tcW w:w="22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b w:val="1"/>
                <w:bCs w:val="1"/>
                <w:color w:val="auto"/>
                <w:w w:val="83"/>
              </w:rPr>
              <w:t>Page</w:t>
            </w:r>
          </w:p>
        </w:tc>
      </w:tr>
      <w:tr>
        <w:trPr>
          <w:trHeight w:val="445"/>
        </w:trPr>
        <w:tc>
          <w:tcPr>
            <w:tcW w:w="4700" w:type="dxa"/>
            <w:vAlign w:val="bottom"/>
            <w:gridSpan w:val="2"/>
          </w:tcPr>
          <w:p>
            <w:pPr>
              <w:spacing w:after="0"/>
              <w:rPr>
                <w:sz w:val="20"/>
                <w:szCs w:val="20"/>
                <w:color w:val="auto"/>
              </w:rPr>
            </w:pPr>
            <w:r>
              <w:rPr>
                <w:rFonts w:ascii="Arial" w:cs="Arial" w:eastAsia="Arial" w:hAnsi="Arial"/>
                <w:sz w:val="20"/>
                <w:szCs w:val="20"/>
                <w:b w:val="1"/>
                <w:bCs w:val="1"/>
                <w:color w:val="auto"/>
              </w:rPr>
              <w:t>ARTICLE 1 - DEFINITIONS</w:t>
            </w:r>
          </w:p>
        </w:tc>
        <w:tc>
          <w:tcPr>
            <w:tcW w:w="6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b w:val="1"/>
                <w:bCs w:val="1"/>
                <w:color w:val="auto"/>
              </w:rPr>
              <w:t>1</w:t>
            </w:r>
          </w:p>
        </w:tc>
      </w:tr>
      <w:tr>
        <w:trPr>
          <w:trHeight w:val="446"/>
        </w:trPr>
        <w:tc>
          <w:tcPr>
            <w:tcW w:w="2200" w:type="dxa"/>
            <w:vAlign w:val="bottom"/>
          </w:tcPr>
          <w:p>
            <w:pPr>
              <w:ind w:left="880"/>
              <w:spacing w:after="0"/>
              <w:rPr>
                <w:sz w:val="20"/>
                <w:szCs w:val="20"/>
                <w:color w:val="auto"/>
              </w:rPr>
            </w:pPr>
            <w:r>
              <w:rPr>
                <w:rFonts w:ascii="Arial" w:cs="Arial" w:eastAsia="Arial" w:hAnsi="Arial"/>
                <w:sz w:val="20"/>
                <w:szCs w:val="20"/>
                <w:b w:val="1"/>
                <w:bCs w:val="1"/>
                <w:color w:val="auto"/>
              </w:rPr>
              <w:t>Section 1.1</w:t>
            </w:r>
          </w:p>
        </w:tc>
        <w:tc>
          <w:tcPr>
            <w:tcW w:w="2500" w:type="dxa"/>
            <w:vAlign w:val="bottom"/>
          </w:tcPr>
          <w:p>
            <w:pPr>
              <w:ind w:left="300"/>
              <w:spacing w:after="0"/>
              <w:rPr>
                <w:sz w:val="20"/>
                <w:szCs w:val="20"/>
                <w:color w:val="auto"/>
              </w:rPr>
            </w:pPr>
            <w:r>
              <w:rPr>
                <w:rFonts w:ascii="Arial" w:cs="Arial" w:eastAsia="Arial" w:hAnsi="Arial"/>
                <w:sz w:val="20"/>
                <w:szCs w:val="20"/>
                <w:b w:val="1"/>
                <w:bCs w:val="1"/>
                <w:color w:val="auto"/>
              </w:rPr>
              <w:t>Certain Defined Terms</w:t>
            </w:r>
          </w:p>
        </w:tc>
        <w:tc>
          <w:tcPr>
            <w:tcW w:w="6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b w:val="1"/>
                <w:bCs w:val="1"/>
                <w:color w:val="auto"/>
              </w:rPr>
              <w:t>1</w:t>
            </w:r>
          </w:p>
        </w:tc>
      </w:tr>
      <w:tr>
        <w:trPr>
          <w:trHeight w:val="446"/>
        </w:trPr>
        <w:tc>
          <w:tcPr>
            <w:tcW w:w="2200" w:type="dxa"/>
            <w:vAlign w:val="bottom"/>
          </w:tcPr>
          <w:p>
            <w:pPr>
              <w:ind w:left="880"/>
              <w:spacing w:after="0"/>
              <w:rPr>
                <w:sz w:val="20"/>
                <w:szCs w:val="20"/>
                <w:color w:val="auto"/>
              </w:rPr>
            </w:pPr>
            <w:r>
              <w:rPr>
                <w:rFonts w:ascii="Arial" w:cs="Arial" w:eastAsia="Arial" w:hAnsi="Arial"/>
                <w:sz w:val="20"/>
                <w:szCs w:val="20"/>
                <w:b w:val="1"/>
                <w:bCs w:val="1"/>
                <w:color w:val="auto"/>
              </w:rPr>
              <w:t>Section 1.2</w:t>
            </w:r>
          </w:p>
        </w:tc>
        <w:tc>
          <w:tcPr>
            <w:tcW w:w="8620" w:type="dxa"/>
            <w:vAlign w:val="bottom"/>
            <w:gridSpan w:val="2"/>
          </w:tcPr>
          <w:p>
            <w:pPr>
              <w:ind w:left="300"/>
              <w:spacing w:after="0"/>
              <w:rPr>
                <w:sz w:val="20"/>
                <w:szCs w:val="20"/>
                <w:color w:val="auto"/>
              </w:rPr>
            </w:pPr>
            <w:r>
              <w:rPr>
                <w:rFonts w:ascii="Arial" w:cs="Arial" w:eastAsia="Arial" w:hAnsi="Arial"/>
                <w:sz w:val="20"/>
                <w:szCs w:val="20"/>
                <w:b w:val="1"/>
                <w:bCs w:val="1"/>
                <w:color w:val="auto"/>
              </w:rPr>
              <w:t>Accounting Terms and Determinations</w:t>
            </w:r>
          </w:p>
        </w:tc>
        <w:tc>
          <w:tcPr>
            <w:tcW w:w="420" w:type="dxa"/>
            <w:vAlign w:val="bottom"/>
          </w:tcPr>
          <w:p>
            <w:pPr>
              <w:jc w:val="right"/>
              <w:spacing w:after="0"/>
              <w:rPr>
                <w:sz w:val="20"/>
                <w:szCs w:val="20"/>
                <w:color w:val="auto"/>
              </w:rPr>
            </w:pPr>
            <w:r>
              <w:rPr>
                <w:rFonts w:ascii="Arial" w:cs="Arial" w:eastAsia="Arial" w:hAnsi="Arial"/>
                <w:sz w:val="20"/>
                <w:szCs w:val="20"/>
                <w:b w:val="1"/>
                <w:bCs w:val="1"/>
                <w:color w:val="auto"/>
              </w:rPr>
              <w:t>26</w:t>
            </w:r>
          </w:p>
        </w:tc>
      </w:tr>
      <w:tr>
        <w:trPr>
          <w:trHeight w:val="445"/>
        </w:trPr>
        <w:tc>
          <w:tcPr>
            <w:tcW w:w="2200" w:type="dxa"/>
            <w:vAlign w:val="bottom"/>
          </w:tcPr>
          <w:p>
            <w:pPr>
              <w:ind w:left="880"/>
              <w:spacing w:after="0"/>
              <w:rPr>
                <w:sz w:val="20"/>
                <w:szCs w:val="20"/>
                <w:color w:val="auto"/>
              </w:rPr>
            </w:pPr>
            <w:r>
              <w:rPr>
                <w:rFonts w:ascii="Arial" w:cs="Arial" w:eastAsia="Arial" w:hAnsi="Arial"/>
                <w:sz w:val="20"/>
                <w:szCs w:val="20"/>
                <w:b w:val="1"/>
                <w:bCs w:val="1"/>
                <w:color w:val="auto"/>
              </w:rPr>
              <w:t>Section 1.3</w:t>
            </w:r>
          </w:p>
        </w:tc>
        <w:tc>
          <w:tcPr>
            <w:tcW w:w="8620" w:type="dxa"/>
            <w:vAlign w:val="bottom"/>
            <w:gridSpan w:val="2"/>
          </w:tcPr>
          <w:p>
            <w:pPr>
              <w:ind w:left="300"/>
              <w:spacing w:after="0"/>
              <w:rPr>
                <w:sz w:val="20"/>
                <w:szCs w:val="20"/>
                <w:color w:val="auto"/>
              </w:rPr>
            </w:pPr>
            <w:r>
              <w:rPr>
                <w:rFonts w:ascii="Arial" w:cs="Arial" w:eastAsia="Arial" w:hAnsi="Arial"/>
                <w:sz w:val="20"/>
                <w:szCs w:val="20"/>
                <w:b w:val="1"/>
                <w:bCs w:val="1"/>
                <w:color w:val="auto"/>
              </w:rPr>
              <w:t>Other Definitional and Interpretive Provisions</w:t>
            </w:r>
          </w:p>
        </w:tc>
        <w:tc>
          <w:tcPr>
            <w:tcW w:w="420" w:type="dxa"/>
            <w:vAlign w:val="bottom"/>
          </w:tcPr>
          <w:p>
            <w:pPr>
              <w:jc w:val="right"/>
              <w:spacing w:after="0"/>
              <w:rPr>
                <w:sz w:val="20"/>
                <w:szCs w:val="20"/>
                <w:color w:val="auto"/>
              </w:rPr>
            </w:pPr>
            <w:r>
              <w:rPr>
                <w:rFonts w:ascii="Arial" w:cs="Arial" w:eastAsia="Arial" w:hAnsi="Arial"/>
                <w:sz w:val="20"/>
                <w:szCs w:val="20"/>
                <w:b w:val="1"/>
                <w:bCs w:val="1"/>
                <w:color w:val="auto"/>
              </w:rPr>
              <w:t>27</w:t>
            </w:r>
          </w:p>
        </w:tc>
      </w:tr>
      <w:tr>
        <w:trPr>
          <w:trHeight w:val="419"/>
        </w:trPr>
        <w:tc>
          <w:tcPr>
            <w:tcW w:w="2200" w:type="dxa"/>
            <w:vAlign w:val="bottom"/>
          </w:tcPr>
          <w:p>
            <w:pPr>
              <w:ind w:left="880"/>
              <w:spacing w:after="0"/>
              <w:rPr>
                <w:sz w:val="20"/>
                <w:szCs w:val="20"/>
                <w:color w:val="auto"/>
              </w:rPr>
            </w:pPr>
            <w:r>
              <w:rPr>
                <w:rFonts w:ascii="Arial" w:cs="Arial" w:eastAsia="Arial" w:hAnsi="Arial"/>
                <w:sz w:val="20"/>
                <w:szCs w:val="20"/>
                <w:b w:val="1"/>
                <w:bCs w:val="1"/>
                <w:color w:val="auto"/>
              </w:rPr>
              <w:t>Section 1.4</w:t>
            </w:r>
          </w:p>
        </w:tc>
        <w:tc>
          <w:tcPr>
            <w:tcW w:w="2500" w:type="dxa"/>
            <w:vAlign w:val="bottom"/>
          </w:tcPr>
          <w:p>
            <w:pPr>
              <w:ind w:left="300"/>
              <w:spacing w:after="0"/>
              <w:rPr>
                <w:sz w:val="20"/>
                <w:szCs w:val="20"/>
                <w:color w:val="auto"/>
              </w:rPr>
            </w:pPr>
            <w:r>
              <w:rPr>
                <w:rFonts w:ascii="Arial" w:cs="Arial" w:eastAsia="Arial" w:hAnsi="Arial"/>
                <w:sz w:val="20"/>
                <w:szCs w:val="20"/>
                <w:b w:val="1"/>
                <w:bCs w:val="1"/>
                <w:color w:val="auto"/>
                <w:w w:val="95"/>
              </w:rPr>
              <w:t>Settlement and Funding</w:t>
            </w:r>
          </w:p>
        </w:tc>
        <w:tc>
          <w:tcPr>
            <w:tcW w:w="6120" w:type="dxa"/>
            <w:vAlign w:val="bottom"/>
          </w:tcPr>
          <w:p>
            <w:pPr>
              <w:jc w:val="right"/>
              <w:spacing w:after="0"/>
              <w:rPr>
                <w:sz w:val="20"/>
                <w:szCs w:val="20"/>
                <w:color w:val="auto"/>
              </w:rPr>
            </w:pPr>
            <w:r>
              <w:rPr>
                <w:rFonts w:ascii="Arial" w:cs="Arial" w:eastAsia="Arial" w:hAnsi="Arial"/>
                <w:sz w:val="20"/>
                <w:szCs w:val="20"/>
                <w:b w:val="1"/>
                <w:bCs w:val="1"/>
                <w:color w:val="auto"/>
                <w:w w:val="94"/>
              </w:rPr>
              <w:t>Mechanics.  Unless otherwise specified herein, the settlement of all</w:t>
            </w:r>
          </w:p>
        </w:tc>
        <w:tc>
          <w:tcPr>
            <w:tcW w:w="420" w:type="dxa"/>
            <w:vAlign w:val="bottom"/>
          </w:tcPr>
          <w:p>
            <w:pPr>
              <w:jc w:val="right"/>
              <w:spacing w:after="0"/>
              <w:rPr>
                <w:sz w:val="20"/>
                <w:szCs w:val="20"/>
                <w:color w:val="auto"/>
              </w:rPr>
            </w:pPr>
            <w:r>
              <w:rPr>
                <w:rFonts w:ascii="Arial" w:cs="Arial" w:eastAsia="Arial" w:hAnsi="Arial"/>
                <w:sz w:val="20"/>
                <w:szCs w:val="20"/>
                <w:b w:val="1"/>
                <w:bCs w:val="1"/>
                <w:color w:val="auto"/>
              </w:rPr>
              <w:t>27</w:t>
            </w:r>
          </w:p>
        </w:tc>
      </w:tr>
      <w:tr>
        <w:trPr>
          <w:trHeight w:val="229"/>
        </w:trPr>
        <w:tc>
          <w:tcPr>
            <w:tcW w:w="2200" w:type="dxa"/>
            <w:vAlign w:val="bottom"/>
          </w:tcPr>
          <w:p>
            <w:pPr>
              <w:spacing w:after="0"/>
              <w:rPr>
                <w:sz w:val="19"/>
                <w:szCs w:val="19"/>
                <w:color w:val="auto"/>
              </w:rPr>
            </w:pPr>
          </w:p>
        </w:tc>
        <w:tc>
          <w:tcPr>
            <w:tcW w:w="8620" w:type="dxa"/>
            <w:vAlign w:val="bottom"/>
            <w:gridSpan w:val="2"/>
          </w:tcPr>
          <w:p>
            <w:pPr>
              <w:ind w:left="300"/>
              <w:spacing w:after="0"/>
              <w:rPr>
                <w:sz w:val="20"/>
                <w:szCs w:val="20"/>
                <w:color w:val="auto"/>
              </w:rPr>
            </w:pPr>
            <w:r>
              <w:rPr>
                <w:rFonts w:ascii="Arial" w:cs="Arial" w:eastAsia="Arial" w:hAnsi="Arial"/>
                <w:sz w:val="20"/>
                <w:szCs w:val="20"/>
                <w:b w:val="1"/>
                <w:bCs w:val="1"/>
                <w:color w:val="auto"/>
                <w:w w:val="91"/>
              </w:rPr>
              <w:t>payments and fundings hereunder between or among the parties hereto shall be made in lawful</w:t>
            </w:r>
          </w:p>
        </w:tc>
        <w:tc>
          <w:tcPr>
            <w:tcW w:w="420" w:type="dxa"/>
            <w:vAlign w:val="bottom"/>
          </w:tcPr>
          <w:p>
            <w:pPr>
              <w:spacing w:after="0"/>
              <w:rPr>
                <w:sz w:val="19"/>
                <w:szCs w:val="19"/>
                <w:color w:val="auto"/>
              </w:rPr>
            </w:pPr>
          </w:p>
        </w:tc>
      </w:tr>
      <w:tr>
        <w:trPr>
          <w:trHeight w:val="256"/>
        </w:trPr>
        <w:tc>
          <w:tcPr>
            <w:tcW w:w="2200" w:type="dxa"/>
            <w:vAlign w:val="bottom"/>
          </w:tcPr>
          <w:p>
            <w:pPr>
              <w:spacing w:after="0"/>
              <w:rPr>
                <w:sz w:val="22"/>
                <w:szCs w:val="22"/>
                <w:color w:val="auto"/>
              </w:rPr>
            </w:pPr>
          </w:p>
        </w:tc>
        <w:tc>
          <w:tcPr>
            <w:tcW w:w="8620" w:type="dxa"/>
            <w:vAlign w:val="bottom"/>
            <w:gridSpan w:val="2"/>
          </w:tcPr>
          <w:p>
            <w:pPr>
              <w:ind w:left="300"/>
              <w:spacing w:after="0"/>
              <w:rPr>
                <w:sz w:val="20"/>
                <w:szCs w:val="20"/>
                <w:color w:val="auto"/>
              </w:rPr>
            </w:pPr>
            <w:r>
              <w:rPr>
                <w:rFonts w:ascii="Arial" w:cs="Arial" w:eastAsia="Arial" w:hAnsi="Arial"/>
                <w:sz w:val="20"/>
                <w:szCs w:val="20"/>
                <w:b w:val="1"/>
                <w:bCs w:val="1"/>
                <w:color w:val="auto"/>
              </w:rPr>
              <w:t>money of the United States and in immediately available funds.</w:t>
            </w:r>
          </w:p>
        </w:tc>
        <w:tc>
          <w:tcPr>
            <w:tcW w:w="420" w:type="dxa"/>
            <w:vAlign w:val="bottom"/>
          </w:tcPr>
          <w:p>
            <w:pPr>
              <w:spacing w:after="0"/>
              <w:rPr>
                <w:sz w:val="22"/>
                <w:szCs w:val="22"/>
                <w:color w:val="auto"/>
              </w:rPr>
            </w:pPr>
          </w:p>
        </w:tc>
      </w:tr>
      <w:tr>
        <w:trPr>
          <w:trHeight w:val="419"/>
        </w:trPr>
        <w:tc>
          <w:tcPr>
            <w:tcW w:w="2200" w:type="dxa"/>
            <w:vAlign w:val="bottom"/>
          </w:tcPr>
          <w:p>
            <w:pPr>
              <w:ind w:left="880"/>
              <w:spacing w:after="0"/>
              <w:rPr>
                <w:sz w:val="20"/>
                <w:szCs w:val="20"/>
                <w:color w:val="auto"/>
              </w:rPr>
            </w:pPr>
            <w:r>
              <w:rPr>
                <w:rFonts w:ascii="Arial" w:cs="Arial" w:eastAsia="Arial" w:hAnsi="Arial"/>
                <w:sz w:val="20"/>
                <w:szCs w:val="20"/>
                <w:b w:val="1"/>
                <w:bCs w:val="1"/>
                <w:color w:val="auto"/>
              </w:rPr>
              <w:t>Section 1.5</w:t>
            </w:r>
          </w:p>
        </w:tc>
        <w:tc>
          <w:tcPr>
            <w:tcW w:w="2500" w:type="dxa"/>
            <w:vAlign w:val="bottom"/>
          </w:tcPr>
          <w:p>
            <w:pPr>
              <w:ind w:left="300"/>
              <w:spacing w:after="0"/>
              <w:rPr>
                <w:sz w:val="20"/>
                <w:szCs w:val="20"/>
                <w:color w:val="auto"/>
              </w:rPr>
            </w:pPr>
            <w:r>
              <w:rPr>
                <w:rFonts w:ascii="Arial" w:cs="Arial" w:eastAsia="Arial" w:hAnsi="Arial"/>
                <w:sz w:val="20"/>
                <w:szCs w:val="20"/>
                <w:b w:val="1"/>
                <w:bCs w:val="1"/>
                <w:color w:val="auto"/>
                <w:w w:val="98"/>
              </w:rPr>
              <w:t>Time is of the Essence.</w:t>
            </w:r>
          </w:p>
        </w:tc>
        <w:tc>
          <w:tcPr>
            <w:tcW w:w="6120" w:type="dxa"/>
            <w:vAlign w:val="bottom"/>
          </w:tcPr>
          <w:p>
            <w:pPr>
              <w:jc w:val="right"/>
              <w:spacing w:after="0"/>
              <w:rPr>
                <w:sz w:val="20"/>
                <w:szCs w:val="20"/>
                <w:color w:val="auto"/>
              </w:rPr>
            </w:pPr>
            <w:r>
              <w:rPr>
                <w:rFonts w:ascii="Arial" w:cs="Arial" w:eastAsia="Arial" w:hAnsi="Arial"/>
                <w:sz w:val="20"/>
                <w:szCs w:val="20"/>
                <w:b w:val="1"/>
                <w:bCs w:val="1"/>
                <w:color w:val="auto"/>
                <w:w w:val="96"/>
              </w:rPr>
              <w:t>Time is of the essence in Borrower’s and each other Credit Party’s</w:t>
            </w:r>
          </w:p>
        </w:tc>
        <w:tc>
          <w:tcPr>
            <w:tcW w:w="420" w:type="dxa"/>
            <w:vAlign w:val="bottom"/>
          </w:tcPr>
          <w:p>
            <w:pPr>
              <w:jc w:val="right"/>
              <w:spacing w:after="0"/>
              <w:rPr>
                <w:sz w:val="20"/>
                <w:szCs w:val="20"/>
                <w:color w:val="auto"/>
              </w:rPr>
            </w:pPr>
            <w:r>
              <w:rPr>
                <w:rFonts w:ascii="Arial" w:cs="Arial" w:eastAsia="Arial" w:hAnsi="Arial"/>
                <w:sz w:val="20"/>
                <w:szCs w:val="20"/>
                <w:b w:val="1"/>
                <w:bCs w:val="1"/>
                <w:color w:val="auto"/>
              </w:rPr>
              <w:t>27</w:t>
            </w:r>
          </w:p>
        </w:tc>
      </w:tr>
      <w:tr>
        <w:trPr>
          <w:trHeight w:val="256"/>
        </w:trPr>
        <w:tc>
          <w:tcPr>
            <w:tcW w:w="2200" w:type="dxa"/>
            <w:vAlign w:val="bottom"/>
          </w:tcPr>
          <w:p>
            <w:pPr>
              <w:spacing w:after="0"/>
              <w:rPr>
                <w:sz w:val="22"/>
                <w:szCs w:val="22"/>
                <w:color w:val="auto"/>
              </w:rPr>
            </w:pPr>
          </w:p>
        </w:tc>
        <w:tc>
          <w:tcPr>
            <w:tcW w:w="8620" w:type="dxa"/>
            <w:vAlign w:val="bottom"/>
            <w:gridSpan w:val="2"/>
          </w:tcPr>
          <w:p>
            <w:pPr>
              <w:ind w:left="300"/>
              <w:spacing w:after="0"/>
              <w:rPr>
                <w:sz w:val="20"/>
                <w:szCs w:val="20"/>
                <w:color w:val="auto"/>
              </w:rPr>
            </w:pPr>
            <w:r>
              <w:rPr>
                <w:rFonts w:ascii="Arial" w:cs="Arial" w:eastAsia="Arial" w:hAnsi="Arial"/>
                <w:sz w:val="20"/>
                <w:szCs w:val="20"/>
                <w:b w:val="1"/>
                <w:bCs w:val="1"/>
                <w:color w:val="auto"/>
              </w:rPr>
              <w:t>performance under this Agreement and all other Financing Documents.</w:t>
            </w:r>
          </w:p>
        </w:tc>
        <w:tc>
          <w:tcPr>
            <w:tcW w:w="420" w:type="dxa"/>
            <w:vAlign w:val="bottom"/>
          </w:tcPr>
          <w:p>
            <w:pPr>
              <w:spacing w:after="0"/>
              <w:rPr>
                <w:sz w:val="22"/>
                <w:szCs w:val="22"/>
                <w:color w:val="auto"/>
              </w:rPr>
            </w:pPr>
          </w:p>
        </w:tc>
      </w:tr>
      <w:tr>
        <w:trPr>
          <w:trHeight w:val="419"/>
        </w:trPr>
        <w:tc>
          <w:tcPr>
            <w:tcW w:w="2200" w:type="dxa"/>
            <w:vAlign w:val="bottom"/>
          </w:tcPr>
          <w:p>
            <w:pPr>
              <w:ind w:left="880"/>
              <w:spacing w:after="0"/>
              <w:rPr>
                <w:sz w:val="20"/>
                <w:szCs w:val="20"/>
                <w:color w:val="auto"/>
              </w:rPr>
            </w:pPr>
            <w:r>
              <w:rPr>
                <w:rFonts w:ascii="Arial" w:cs="Arial" w:eastAsia="Arial" w:hAnsi="Arial"/>
                <w:sz w:val="20"/>
                <w:szCs w:val="20"/>
                <w:b w:val="1"/>
                <w:bCs w:val="1"/>
                <w:color w:val="auto"/>
              </w:rPr>
              <w:t>Section 1.6</w:t>
            </w:r>
          </w:p>
        </w:tc>
        <w:tc>
          <w:tcPr>
            <w:tcW w:w="8620" w:type="dxa"/>
            <w:vAlign w:val="bottom"/>
            <w:gridSpan w:val="2"/>
          </w:tcPr>
          <w:p>
            <w:pPr>
              <w:ind w:left="300"/>
              <w:spacing w:after="0"/>
              <w:rPr>
                <w:sz w:val="20"/>
                <w:szCs w:val="20"/>
                <w:color w:val="auto"/>
              </w:rPr>
            </w:pPr>
            <w:r>
              <w:rPr>
                <w:rFonts w:ascii="Arial" w:cs="Arial" w:eastAsia="Arial" w:hAnsi="Arial"/>
                <w:sz w:val="20"/>
                <w:szCs w:val="20"/>
                <w:b w:val="1"/>
                <w:bCs w:val="1"/>
                <w:color w:val="auto"/>
                <w:w w:val="87"/>
              </w:rPr>
              <w:t>Time of Day. Unless otherwise specified, all references herein to times of day shall be references to</w:t>
            </w:r>
          </w:p>
        </w:tc>
        <w:tc>
          <w:tcPr>
            <w:tcW w:w="420" w:type="dxa"/>
            <w:vAlign w:val="bottom"/>
          </w:tcPr>
          <w:p>
            <w:pPr>
              <w:jc w:val="right"/>
              <w:spacing w:after="0"/>
              <w:rPr>
                <w:sz w:val="20"/>
                <w:szCs w:val="20"/>
                <w:color w:val="auto"/>
              </w:rPr>
            </w:pPr>
            <w:r>
              <w:rPr>
                <w:rFonts w:ascii="Arial" w:cs="Arial" w:eastAsia="Arial" w:hAnsi="Arial"/>
                <w:sz w:val="20"/>
                <w:szCs w:val="20"/>
                <w:b w:val="1"/>
                <w:bCs w:val="1"/>
                <w:color w:val="auto"/>
              </w:rPr>
              <w:t>27</w:t>
            </w:r>
          </w:p>
        </w:tc>
      </w:tr>
      <w:tr>
        <w:trPr>
          <w:trHeight w:val="256"/>
        </w:trPr>
        <w:tc>
          <w:tcPr>
            <w:tcW w:w="2200" w:type="dxa"/>
            <w:vAlign w:val="bottom"/>
          </w:tcPr>
          <w:p>
            <w:pPr>
              <w:spacing w:after="0"/>
              <w:rPr>
                <w:sz w:val="22"/>
                <w:szCs w:val="22"/>
                <w:color w:val="auto"/>
              </w:rPr>
            </w:pPr>
          </w:p>
        </w:tc>
        <w:tc>
          <w:tcPr>
            <w:tcW w:w="8620" w:type="dxa"/>
            <w:vAlign w:val="bottom"/>
            <w:gridSpan w:val="2"/>
          </w:tcPr>
          <w:p>
            <w:pPr>
              <w:ind w:left="300"/>
              <w:spacing w:after="0"/>
              <w:rPr>
                <w:sz w:val="20"/>
                <w:szCs w:val="20"/>
                <w:color w:val="auto"/>
              </w:rPr>
            </w:pPr>
            <w:r>
              <w:rPr>
                <w:rFonts w:ascii="Arial" w:cs="Arial" w:eastAsia="Arial" w:hAnsi="Arial"/>
                <w:sz w:val="20"/>
                <w:szCs w:val="20"/>
                <w:b w:val="1"/>
                <w:bCs w:val="1"/>
                <w:color w:val="auto"/>
              </w:rPr>
              <w:t>Eastern time (daylight savings or standard, as applicable).</w:t>
            </w:r>
          </w:p>
        </w:tc>
        <w:tc>
          <w:tcPr>
            <w:tcW w:w="420" w:type="dxa"/>
            <w:vAlign w:val="bottom"/>
          </w:tcPr>
          <w:p>
            <w:pPr>
              <w:spacing w:after="0"/>
              <w:rPr>
                <w:sz w:val="22"/>
                <w:szCs w:val="22"/>
                <w:color w:val="auto"/>
              </w:rPr>
            </w:pPr>
          </w:p>
        </w:tc>
      </w:tr>
      <w:tr>
        <w:trPr>
          <w:trHeight w:val="446"/>
        </w:trPr>
        <w:tc>
          <w:tcPr>
            <w:tcW w:w="2200" w:type="dxa"/>
            <w:vAlign w:val="bottom"/>
          </w:tcPr>
          <w:p>
            <w:pPr>
              <w:spacing w:after="0"/>
              <w:rPr>
                <w:sz w:val="20"/>
                <w:szCs w:val="20"/>
                <w:color w:val="auto"/>
              </w:rPr>
            </w:pPr>
            <w:r>
              <w:rPr>
                <w:rFonts w:ascii="Arial" w:cs="Arial" w:eastAsia="Arial" w:hAnsi="Arial"/>
                <w:sz w:val="20"/>
                <w:szCs w:val="20"/>
                <w:b w:val="1"/>
                <w:bCs w:val="1"/>
                <w:color w:val="auto"/>
              </w:rPr>
              <w:t>ARTICLE 2 - LOANS</w:t>
            </w:r>
          </w:p>
        </w:tc>
        <w:tc>
          <w:tcPr>
            <w:tcW w:w="250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b w:val="1"/>
                <w:bCs w:val="1"/>
                <w:color w:val="auto"/>
              </w:rPr>
              <w:t>28</w:t>
            </w:r>
          </w:p>
        </w:tc>
      </w:tr>
      <w:tr>
        <w:trPr>
          <w:trHeight w:val="445"/>
        </w:trPr>
        <w:tc>
          <w:tcPr>
            <w:tcW w:w="2200" w:type="dxa"/>
            <w:vAlign w:val="bottom"/>
          </w:tcPr>
          <w:p>
            <w:pPr>
              <w:ind w:left="880"/>
              <w:spacing w:after="0"/>
              <w:rPr>
                <w:sz w:val="20"/>
                <w:szCs w:val="20"/>
                <w:color w:val="auto"/>
              </w:rPr>
            </w:pPr>
            <w:r>
              <w:rPr>
                <w:rFonts w:ascii="Arial" w:cs="Arial" w:eastAsia="Arial" w:hAnsi="Arial"/>
                <w:sz w:val="20"/>
                <w:szCs w:val="20"/>
                <w:b w:val="1"/>
                <w:bCs w:val="1"/>
                <w:color w:val="auto"/>
              </w:rPr>
              <w:t>Section 2.1</w:t>
            </w:r>
          </w:p>
        </w:tc>
        <w:tc>
          <w:tcPr>
            <w:tcW w:w="2500" w:type="dxa"/>
            <w:vAlign w:val="bottom"/>
          </w:tcPr>
          <w:p>
            <w:pPr>
              <w:ind w:left="300"/>
              <w:spacing w:after="0"/>
              <w:rPr>
                <w:sz w:val="20"/>
                <w:szCs w:val="20"/>
                <w:color w:val="auto"/>
              </w:rPr>
            </w:pPr>
            <w:r>
              <w:rPr>
                <w:rFonts w:ascii="Arial" w:cs="Arial" w:eastAsia="Arial" w:hAnsi="Arial"/>
                <w:sz w:val="20"/>
                <w:szCs w:val="20"/>
                <w:b w:val="1"/>
                <w:bCs w:val="1"/>
                <w:color w:val="auto"/>
              </w:rPr>
              <w:t>Loans.</w:t>
            </w:r>
          </w:p>
        </w:tc>
        <w:tc>
          <w:tcPr>
            <w:tcW w:w="6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b w:val="1"/>
                <w:bCs w:val="1"/>
                <w:color w:val="auto"/>
              </w:rPr>
              <w:t>28</w:t>
            </w:r>
          </w:p>
        </w:tc>
      </w:tr>
      <w:tr>
        <w:trPr>
          <w:trHeight w:val="446"/>
        </w:trPr>
        <w:tc>
          <w:tcPr>
            <w:tcW w:w="2200" w:type="dxa"/>
            <w:vAlign w:val="bottom"/>
          </w:tcPr>
          <w:p>
            <w:pPr>
              <w:ind w:left="880"/>
              <w:spacing w:after="0"/>
              <w:rPr>
                <w:sz w:val="20"/>
                <w:szCs w:val="20"/>
                <w:color w:val="auto"/>
              </w:rPr>
            </w:pPr>
            <w:r>
              <w:rPr>
                <w:rFonts w:ascii="Arial" w:cs="Arial" w:eastAsia="Arial" w:hAnsi="Arial"/>
                <w:sz w:val="20"/>
                <w:szCs w:val="20"/>
                <w:b w:val="1"/>
                <w:bCs w:val="1"/>
                <w:color w:val="auto"/>
              </w:rPr>
              <w:t>Section 2.2</w:t>
            </w:r>
          </w:p>
        </w:tc>
        <w:tc>
          <w:tcPr>
            <w:tcW w:w="8620" w:type="dxa"/>
            <w:vAlign w:val="bottom"/>
            <w:gridSpan w:val="2"/>
          </w:tcPr>
          <w:p>
            <w:pPr>
              <w:ind w:left="300"/>
              <w:spacing w:after="0"/>
              <w:rPr>
                <w:sz w:val="20"/>
                <w:szCs w:val="20"/>
                <w:color w:val="auto"/>
              </w:rPr>
            </w:pPr>
            <w:r>
              <w:rPr>
                <w:rFonts w:ascii="Arial" w:cs="Arial" w:eastAsia="Arial" w:hAnsi="Arial"/>
                <w:sz w:val="20"/>
                <w:szCs w:val="20"/>
                <w:b w:val="1"/>
                <w:bCs w:val="1"/>
                <w:color w:val="auto"/>
              </w:rPr>
              <w:t>Interest, Interest Calculations and Certain Fees.</w:t>
            </w:r>
          </w:p>
        </w:tc>
        <w:tc>
          <w:tcPr>
            <w:tcW w:w="420" w:type="dxa"/>
            <w:vAlign w:val="bottom"/>
          </w:tcPr>
          <w:p>
            <w:pPr>
              <w:jc w:val="right"/>
              <w:spacing w:after="0"/>
              <w:rPr>
                <w:sz w:val="20"/>
                <w:szCs w:val="20"/>
                <w:color w:val="auto"/>
              </w:rPr>
            </w:pPr>
            <w:r>
              <w:rPr>
                <w:rFonts w:ascii="Arial" w:cs="Arial" w:eastAsia="Arial" w:hAnsi="Arial"/>
                <w:sz w:val="20"/>
                <w:szCs w:val="20"/>
                <w:b w:val="1"/>
                <w:bCs w:val="1"/>
                <w:color w:val="auto"/>
              </w:rPr>
              <w:t>31</w:t>
            </w:r>
          </w:p>
        </w:tc>
      </w:tr>
      <w:tr>
        <w:trPr>
          <w:trHeight w:val="445"/>
        </w:trPr>
        <w:tc>
          <w:tcPr>
            <w:tcW w:w="2200" w:type="dxa"/>
            <w:vAlign w:val="bottom"/>
          </w:tcPr>
          <w:p>
            <w:pPr>
              <w:ind w:left="880"/>
              <w:spacing w:after="0"/>
              <w:rPr>
                <w:sz w:val="20"/>
                <w:szCs w:val="20"/>
                <w:color w:val="auto"/>
              </w:rPr>
            </w:pPr>
            <w:r>
              <w:rPr>
                <w:rFonts w:ascii="Arial" w:cs="Arial" w:eastAsia="Arial" w:hAnsi="Arial"/>
                <w:sz w:val="20"/>
                <w:szCs w:val="20"/>
                <w:b w:val="1"/>
                <w:bCs w:val="1"/>
                <w:color w:val="auto"/>
              </w:rPr>
              <w:t>Section 2.3</w:t>
            </w:r>
          </w:p>
        </w:tc>
        <w:tc>
          <w:tcPr>
            <w:tcW w:w="2500" w:type="dxa"/>
            <w:vAlign w:val="bottom"/>
          </w:tcPr>
          <w:p>
            <w:pPr>
              <w:ind w:left="300"/>
              <w:spacing w:after="0"/>
              <w:rPr>
                <w:sz w:val="20"/>
                <w:szCs w:val="20"/>
                <w:color w:val="auto"/>
              </w:rPr>
            </w:pPr>
            <w:r>
              <w:rPr>
                <w:rFonts w:ascii="Arial" w:cs="Arial" w:eastAsia="Arial" w:hAnsi="Arial"/>
                <w:sz w:val="20"/>
                <w:szCs w:val="20"/>
                <w:b w:val="1"/>
                <w:bCs w:val="1"/>
                <w:color w:val="auto"/>
              </w:rPr>
              <w:t>Notes</w:t>
            </w:r>
          </w:p>
        </w:tc>
        <w:tc>
          <w:tcPr>
            <w:tcW w:w="6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b w:val="1"/>
                <w:bCs w:val="1"/>
                <w:color w:val="auto"/>
              </w:rPr>
              <w:t>32</w:t>
            </w:r>
          </w:p>
        </w:tc>
      </w:tr>
      <w:tr>
        <w:trPr>
          <w:trHeight w:val="445"/>
        </w:trPr>
        <w:tc>
          <w:tcPr>
            <w:tcW w:w="2200" w:type="dxa"/>
            <w:vAlign w:val="bottom"/>
          </w:tcPr>
          <w:p>
            <w:pPr>
              <w:ind w:left="880"/>
              <w:spacing w:after="0"/>
              <w:rPr>
                <w:sz w:val="20"/>
                <w:szCs w:val="20"/>
                <w:color w:val="auto"/>
              </w:rPr>
            </w:pPr>
            <w:r>
              <w:rPr>
                <w:rFonts w:ascii="Arial" w:cs="Arial" w:eastAsia="Arial" w:hAnsi="Arial"/>
                <w:sz w:val="20"/>
                <w:szCs w:val="20"/>
                <w:b w:val="1"/>
                <w:bCs w:val="1"/>
                <w:color w:val="auto"/>
              </w:rPr>
              <w:t>Section 2.4</w:t>
            </w:r>
          </w:p>
        </w:tc>
        <w:tc>
          <w:tcPr>
            <w:tcW w:w="2500" w:type="dxa"/>
            <w:vAlign w:val="bottom"/>
          </w:tcPr>
          <w:p>
            <w:pPr>
              <w:ind w:left="300"/>
              <w:spacing w:after="0"/>
              <w:rPr>
                <w:sz w:val="20"/>
                <w:szCs w:val="20"/>
                <w:color w:val="auto"/>
              </w:rPr>
            </w:pPr>
            <w:r>
              <w:rPr>
                <w:rFonts w:ascii="Arial" w:cs="Arial" w:eastAsia="Arial" w:hAnsi="Arial"/>
                <w:sz w:val="20"/>
                <w:szCs w:val="20"/>
                <w:b w:val="1"/>
                <w:bCs w:val="1"/>
                <w:color w:val="auto"/>
              </w:rPr>
              <w:t>Reserved.</w:t>
            </w:r>
          </w:p>
        </w:tc>
        <w:tc>
          <w:tcPr>
            <w:tcW w:w="6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b w:val="1"/>
                <w:bCs w:val="1"/>
                <w:color w:val="auto"/>
              </w:rPr>
              <w:t>32</w:t>
            </w:r>
          </w:p>
        </w:tc>
      </w:tr>
      <w:tr>
        <w:trPr>
          <w:trHeight w:val="445"/>
        </w:trPr>
        <w:tc>
          <w:tcPr>
            <w:tcW w:w="2200" w:type="dxa"/>
            <w:vAlign w:val="bottom"/>
          </w:tcPr>
          <w:p>
            <w:pPr>
              <w:ind w:left="880"/>
              <w:spacing w:after="0"/>
              <w:rPr>
                <w:sz w:val="20"/>
                <w:szCs w:val="20"/>
                <w:color w:val="auto"/>
              </w:rPr>
            </w:pPr>
            <w:r>
              <w:rPr>
                <w:rFonts w:ascii="Arial" w:cs="Arial" w:eastAsia="Arial" w:hAnsi="Arial"/>
                <w:sz w:val="20"/>
                <w:szCs w:val="20"/>
                <w:b w:val="1"/>
                <w:bCs w:val="1"/>
                <w:color w:val="auto"/>
              </w:rPr>
              <w:t>Section 2.5</w:t>
            </w:r>
          </w:p>
        </w:tc>
        <w:tc>
          <w:tcPr>
            <w:tcW w:w="2500" w:type="dxa"/>
            <w:vAlign w:val="bottom"/>
          </w:tcPr>
          <w:p>
            <w:pPr>
              <w:ind w:left="300"/>
              <w:spacing w:after="0"/>
              <w:rPr>
                <w:sz w:val="20"/>
                <w:szCs w:val="20"/>
                <w:color w:val="auto"/>
              </w:rPr>
            </w:pPr>
            <w:r>
              <w:rPr>
                <w:rFonts w:ascii="Arial" w:cs="Arial" w:eastAsia="Arial" w:hAnsi="Arial"/>
                <w:sz w:val="20"/>
                <w:szCs w:val="20"/>
                <w:b w:val="1"/>
                <w:bCs w:val="1"/>
                <w:color w:val="auto"/>
              </w:rPr>
              <w:t>Reserved.</w:t>
            </w:r>
          </w:p>
        </w:tc>
        <w:tc>
          <w:tcPr>
            <w:tcW w:w="6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b w:val="1"/>
                <w:bCs w:val="1"/>
                <w:color w:val="auto"/>
              </w:rPr>
              <w:t>32</w:t>
            </w:r>
          </w:p>
        </w:tc>
      </w:tr>
      <w:tr>
        <w:trPr>
          <w:trHeight w:val="445"/>
        </w:trPr>
        <w:tc>
          <w:tcPr>
            <w:tcW w:w="2200" w:type="dxa"/>
            <w:vAlign w:val="bottom"/>
          </w:tcPr>
          <w:p>
            <w:pPr>
              <w:ind w:left="880"/>
              <w:spacing w:after="0"/>
              <w:rPr>
                <w:sz w:val="20"/>
                <w:szCs w:val="20"/>
                <w:color w:val="auto"/>
              </w:rPr>
            </w:pPr>
            <w:r>
              <w:rPr>
                <w:rFonts w:ascii="Arial" w:cs="Arial" w:eastAsia="Arial" w:hAnsi="Arial"/>
                <w:sz w:val="20"/>
                <w:szCs w:val="20"/>
                <w:b w:val="1"/>
                <w:bCs w:val="1"/>
                <w:color w:val="auto"/>
              </w:rPr>
              <w:t>Section 2.6</w:t>
            </w:r>
          </w:p>
        </w:tc>
        <w:tc>
          <w:tcPr>
            <w:tcW w:w="8620" w:type="dxa"/>
            <w:vAlign w:val="bottom"/>
            <w:gridSpan w:val="2"/>
          </w:tcPr>
          <w:p>
            <w:pPr>
              <w:ind w:left="300"/>
              <w:spacing w:after="0"/>
              <w:rPr>
                <w:sz w:val="20"/>
                <w:szCs w:val="20"/>
                <w:color w:val="auto"/>
              </w:rPr>
            </w:pPr>
            <w:r>
              <w:rPr>
                <w:rFonts w:ascii="Arial" w:cs="Arial" w:eastAsia="Arial" w:hAnsi="Arial"/>
                <w:sz w:val="20"/>
                <w:szCs w:val="20"/>
                <w:b w:val="1"/>
                <w:bCs w:val="1"/>
                <w:color w:val="auto"/>
              </w:rPr>
              <w:t>General Provisions Regarding Payment; Loan Account.</w:t>
            </w:r>
          </w:p>
        </w:tc>
        <w:tc>
          <w:tcPr>
            <w:tcW w:w="420" w:type="dxa"/>
            <w:vAlign w:val="bottom"/>
          </w:tcPr>
          <w:p>
            <w:pPr>
              <w:jc w:val="right"/>
              <w:spacing w:after="0"/>
              <w:rPr>
                <w:sz w:val="20"/>
                <w:szCs w:val="20"/>
                <w:color w:val="auto"/>
              </w:rPr>
            </w:pPr>
            <w:r>
              <w:rPr>
                <w:rFonts w:ascii="Arial" w:cs="Arial" w:eastAsia="Arial" w:hAnsi="Arial"/>
                <w:sz w:val="20"/>
                <w:szCs w:val="20"/>
                <w:b w:val="1"/>
                <w:bCs w:val="1"/>
                <w:color w:val="auto"/>
              </w:rPr>
              <w:t>32</w:t>
            </w:r>
          </w:p>
        </w:tc>
      </w:tr>
      <w:tr>
        <w:trPr>
          <w:trHeight w:val="446"/>
        </w:trPr>
        <w:tc>
          <w:tcPr>
            <w:tcW w:w="2200" w:type="dxa"/>
            <w:vAlign w:val="bottom"/>
          </w:tcPr>
          <w:p>
            <w:pPr>
              <w:ind w:left="880"/>
              <w:spacing w:after="0"/>
              <w:rPr>
                <w:sz w:val="20"/>
                <w:szCs w:val="20"/>
                <w:color w:val="auto"/>
              </w:rPr>
            </w:pPr>
            <w:r>
              <w:rPr>
                <w:rFonts w:ascii="Arial" w:cs="Arial" w:eastAsia="Arial" w:hAnsi="Arial"/>
                <w:sz w:val="20"/>
                <w:szCs w:val="20"/>
                <w:b w:val="1"/>
                <w:bCs w:val="1"/>
                <w:color w:val="auto"/>
              </w:rPr>
              <w:t>Section 2.7</w:t>
            </w:r>
          </w:p>
        </w:tc>
        <w:tc>
          <w:tcPr>
            <w:tcW w:w="2500" w:type="dxa"/>
            <w:vAlign w:val="bottom"/>
          </w:tcPr>
          <w:p>
            <w:pPr>
              <w:ind w:left="300"/>
              <w:spacing w:after="0"/>
              <w:rPr>
                <w:sz w:val="20"/>
                <w:szCs w:val="20"/>
                <w:color w:val="auto"/>
              </w:rPr>
            </w:pPr>
            <w:r>
              <w:rPr>
                <w:rFonts w:ascii="Arial" w:cs="Arial" w:eastAsia="Arial" w:hAnsi="Arial"/>
                <w:sz w:val="20"/>
                <w:szCs w:val="20"/>
                <w:b w:val="1"/>
                <w:bCs w:val="1"/>
                <w:color w:val="auto"/>
              </w:rPr>
              <w:t>Maximum Interest</w:t>
            </w:r>
          </w:p>
        </w:tc>
        <w:tc>
          <w:tcPr>
            <w:tcW w:w="6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b w:val="1"/>
                <w:bCs w:val="1"/>
                <w:color w:val="auto"/>
              </w:rPr>
              <w:t>33</w:t>
            </w:r>
          </w:p>
        </w:tc>
      </w:tr>
      <w:tr>
        <w:trPr>
          <w:trHeight w:val="445"/>
        </w:trPr>
        <w:tc>
          <w:tcPr>
            <w:tcW w:w="2200" w:type="dxa"/>
            <w:vAlign w:val="bottom"/>
          </w:tcPr>
          <w:p>
            <w:pPr>
              <w:ind w:left="880"/>
              <w:spacing w:after="0"/>
              <w:rPr>
                <w:sz w:val="20"/>
                <w:szCs w:val="20"/>
                <w:color w:val="auto"/>
              </w:rPr>
            </w:pPr>
            <w:r>
              <w:rPr>
                <w:rFonts w:ascii="Arial" w:cs="Arial" w:eastAsia="Arial" w:hAnsi="Arial"/>
                <w:sz w:val="20"/>
                <w:szCs w:val="20"/>
                <w:b w:val="1"/>
                <w:bCs w:val="1"/>
                <w:color w:val="auto"/>
              </w:rPr>
              <w:t>Section 2.8</w:t>
            </w:r>
          </w:p>
        </w:tc>
        <w:tc>
          <w:tcPr>
            <w:tcW w:w="2500" w:type="dxa"/>
            <w:vAlign w:val="bottom"/>
          </w:tcPr>
          <w:p>
            <w:pPr>
              <w:ind w:left="300"/>
              <w:spacing w:after="0"/>
              <w:rPr>
                <w:sz w:val="20"/>
                <w:szCs w:val="20"/>
                <w:color w:val="auto"/>
              </w:rPr>
            </w:pPr>
            <w:r>
              <w:rPr>
                <w:rFonts w:ascii="Arial" w:cs="Arial" w:eastAsia="Arial" w:hAnsi="Arial"/>
                <w:sz w:val="20"/>
                <w:szCs w:val="20"/>
                <w:b w:val="1"/>
                <w:bCs w:val="1"/>
                <w:color w:val="auto"/>
                <w:w w:val="89"/>
              </w:rPr>
              <w:t>Taxes; Capital Adequacy.</w:t>
            </w:r>
          </w:p>
        </w:tc>
        <w:tc>
          <w:tcPr>
            <w:tcW w:w="6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b w:val="1"/>
                <w:bCs w:val="1"/>
                <w:color w:val="auto"/>
              </w:rPr>
              <w:t>33</w:t>
            </w:r>
          </w:p>
        </w:tc>
      </w:tr>
      <w:tr>
        <w:trPr>
          <w:trHeight w:val="445"/>
        </w:trPr>
        <w:tc>
          <w:tcPr>
            <w:tcW w:w="2200" w:type="dxa"/>
            <w:vAlign w:val="bottom"/>
          </w:tcPr>
          <w:p>
            <w:pPr>
              <w:ind w:left="880"/>
              <w:spacing w:after="0"/>
              <w:rPr>
                <w:sz w:val="20"/>
                <w:szCs w:val="20"/>
                <w:color w:val="auto"/>
              </w:rPr>
            </w:pPr>
            <w:r>
              <w:rPr>
                <w:rFonts w:ascii="Arial" w:cs="Arial" w:eastAsia="Arial" w:hAnsi="Arial"/>
                <w:sz w:val="20"/>
                <w:szCs w:val="20"/>
                <w:b w:val="1"/>
                <w:bCs w:val="1"/>
                <w:color w:val="auto"/>
              </w:rPr>
              <w:t>Section 2.9</w:t>
            </w:r>
          </w:p>
        </w:tc>
        <w:tc>
          <w:tcPr>
            <w:tcW w:w="8620" w:type="dxa"/>
            <w:vAlign w:val="bottom"/>
            <w:gridSpan w:val="2"/>
          </w:tcPr>
          <w:p>
            <w:pPr>
              <w:ind w:left="300"/>
              <w:spacing w:after="0"/>
              <w:rPr>
                <w:sz w:val="20"/>
                <w:szCs w:val="20"/>
                <w:color w:val="auto"/>
              </w:rPr>
            </w:pPr>
            <w:r>
              <w:rPr>
                <w:rFonts w:ascii="Arial" w:cs="Arial" w:eastAsia="Arial" w:hAnsi="Arial"/>
                <w:sz w:val="20"/>
                <w:szCs w:val="20"/>
                <w:b w:val="1"/>
                <w:bCs w:val="1"/>
                <w:color w:val="auto"/>
              </w:rPr>
              <w:t>Appointment of Borrower Representative.</w:t>
            </w:r>
          </w:p>
        </w:tc>
        <w:tc>
          <w:tcPr>
            <w:tcW w:w="420" w:type="dxa"/>
            <w:vAlign w:val="bottom"/>
          </w:tcPr>
          <w:p>
            <w:pPr>
              <w:jc w:val="right"/>
              <w:spacing w:after="0"/>
              <w:rPr>
                <w:sz w:val="20"/>
                <w:szCs w:val="20"/>
                <w:color w:val="auto"/>
              </w:rPr>
            </w:pPr>
            <w:r>
              <w:rPr>
                <w:rFonts w:ascii="Arial" w:cs="Arial" w:eastAsia="Arial" w:hAnsi="Arial"/>
                <w:sz w:val="20"/>
                <w:szCs w:val="20"/>
                <w:b w:val="1"/>
                <w:bCs w:val="1"/>
                <w:color w:val="auto"/>
              </w:rPr>
              <w:t>37</w:t>
            </w:r>
          </w:p>
        </w:tc>
      </w:tr>
      <w:tr>
        <w:trPr>
          <w:trHeight w:val="445"/>
        </w:trPr>
        <w:tc>
          <w:tcPr>
            <w:tcW w:w="2200" w:type="dxa"/>
            <w:vAlign w:val="bottom"/>
          </w:tcPr>
          <w:p>
            <w:pPr>
              <w:ind w:left="880"/>
              <w:spacing w:after="0"/>
              <w:rPr>
                <w:sz w:val="20"/>
                <w:szCs w:val="20"/>
                <w:color w:val="auto"/>
              </w:rPr>
            </w:pPr>
            <w:r>
              <w:rPr>
                <w:rFonts w:ascii="Arial" w:cs="Arial" w:eastAsia="Arial" w:hAnsi="Arial"/>
                <w:sz w:val="20"/>
                <w:szCs w:val="20"/>
                <w:b w:val="1"/>
                <w:bCs w:val="1"/>
                <w:color w:val="auto"/>
              </w:rPr>
              <w:t>Section 2.10</w:t>
            </w:r>
          </w:p>
        </w:tc>
        <w:tc>
          <w:tcPr>
            <w:tcW w:w="8620" w:type="dxa"/>
            <w:vAlign w:val="bottom"/>
            <w:gridSpan w:val="2"/>
          </w:tcPr>
          <w:p>
            <w:pPr>
              <w:ind w:left="300"/>
              <w:spacing w:after="0"/>
              <w:rPr>
                <w:sz w:val="20"/>
                <w:szCs w:val="20"/>
                <w:color w:val="auto"/>
              </w:rPr>
            </w:pPr>
            <w:r>
              <w:rPr>
                <w:rFonts w:ascii="Arial" w:cs="Arial" w:eastAsia="Arial" w:hAnsi="Arial"/>
                <w:sz w:val="20"/>
                <w:szCs w:val="20"/>
                <w:b w:val="1"/>
                <w:bCs w:val="1"/>
                <w:color w:val="auto"/>
              </w:rPr>
              <w:t>Joint and Several Liability; Rights of Contribution; Subordination and Subrogation.</w:t>
            </w:r>
          </w:p>
        </w:tc>
        <w:tc>
          <w:tcPr>
            <w:tcW w:w="420" w:type="dxa"/>
            <w:vAlign w:val="bottom"/>
          </w:tcPr>
          <w:p>
            <w:pPr>
              <w:jc w:val="right"/>
              <w:spacing w:after="0"/>
              <w:rPr>
                <w:sz w:val="20"/>
                <w:szCs w:val="20"/>
                <w:color w:val="auto"/>
              </w:rPr>
            </w:pPr>
            <w:r>
              <w:rPr>
                <w:rFonts w:ascii="Arial" w:cs="Arial" w:eastAsia="Arial" w:hAnsi="Arial"/>
                <w:sz w:val="20"/>
                <w:szCs w:val="20"/>
                <w:b w:val="1"/>
                <w:bCs w:val="1"/>
                <w:color w:val="auto"/>
              </w:rPr>
              <w:t>38</w:t>
            </w:r>
          </w:p>
        </w:tc>
      </w:tr>
      <w:tr>
        <w:trPr>
          <w:trHeight w:val="445"/>
        </w:trPr>
        <w:tc>
          <w:tcPr>
            <w:tcW w:w="2200" w:type="dxa"/>
            <w:vAlign w:val="bottom"/>
          </w:tcPr>
          <w:p>
            <w:pPr>
              <w:ind w:left="880"/>
              <w:spacing w:after="0"/>
              <w:rPr>
                <w:sz w:val="20"/>
                <w:szCs w:val="20"/>
                <w:color w:val="auto"/>
              </w:rPr>
            </w:pPr>
            <w:r>
              <w:rPr>
                <w:rFonts w:ascii="Arial" w:cs="Arial" w:eastAsia="Arial" w:hAnsi="Arial"/>
                <w:sz w:val="20"/>
                <w:szCs w:val="20"/>
                <w:b w:val="1"/>
                <w:bCs w:val="1"/>
                <w:color w:val="auto"/>
              </w:rPr>
              <w:t>Section 2.11</w:t>
            </w:r>
          </w:p>
        </w:tc>
        <w:tc>
          <w:tcPr>
            <w:tcW w:w="2500" w:type="dxa"/>
            <w:vAlign w:val="bottom"/>
          </w:tcPr>
          <w:p>
            <w:pPr>
              <w:ind w:left="300"/>
              <w:spacing w:after="0"/>
              <w:rPr>
                <w:sz w:val="20"/>
                <w:szCs w:val="20"/>
                <w:color w:val="auto"/>
              </w:rPr>
            </w:pPr>
            <w:r>
              <w:rPr>
                <w:rFonts w:ascii="Arial" w:cs="Arial" w:eastAsia="Arial" w:hAnsi="Arial"/>
                <w:sz w:val="20"/>
                <w:szCs w:val="20"/>
                <w:b w:val="1"/>
                <w:bCs w:val="1"/>
                <w:color w:val="auto"/>
              </w:rPr>
              <w:t>Reserved</w:t>
            </w:r>
          </w:p>
        </w:tc>
        <w:tc>
          <w:tcPr>
            <w:tcW w:w="6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b w:val="1"/>
                <w:bCs w:val="1"/>
                <w:color w:val="auto"/>
              </w:rPr>
              <w:t>40</w:t>
            </w:r>
          </w:p>
        </w:tc>
      </w:tr>
      <w:tr>
        <w:trPr>
          <w:trHeight w:val="445"/>
        </w:trPr>
        <w:tc>
          <w:tcPr>
            <w:tcW w:w="2200" w:type="dxa"/>
            <w:vAlign w:val="bottom"/>
          </w:tcPr>
          <w:p>
            <w:pPr>
              <w:ind w:left="880"/>
              <w:spacing w:after="0"/>
              <w:rPr>
                <w:sz w:val="20"/>
                <w:szCs w:val="20"/>
                <w:color w:val="auto"/>
              </w:rPr>
            </w:pPr>
            <w:r>
              <w:rPr>
                <w:rFonts w:ascii="Arial" w:cs="Arial" w:eastAsia="Arial" w:hAnsi="Arial"/>
                <w:sz w:val="20"/>
                <w:szCs w:val="20"/>
                <w:b w:val="1"/>
                <w:bCs w:val="1"/>
                <w:color w:val="auto"/>
              </w:rPr>
              <w:t>Section 2.12</w:t>
            </w:r>
          </w:p>
        </w:tc>
        <w:tc>
          <w:tcPr>
            <w:tcW w:w="8620" w:type="dxa"/>
            <w:vAlign w:val="bottom"/>
            <w:gridSpan w:val="2"/>
          </w:tcPr>
          <w:p>
            <w:pPr>
              <w:ind w:left="300"/>
              <w:spacing w:after="0"/>
              <w:rPr>
                <w:sz w:val="20"/>
                <w:szCs w:val="20"/>
                <w:color w:val="auto"/>
              </w:rPr>
            </w:pPr>
            <w:r>
              <w:rPr>
                <w:rFonts w:ascii="Arial" w:cs="Arial" w:eastAsia="Arial" w:hAnsi="Arial"/>
                <w:sz w:val="20"/>
                <w:szCs w:val="20"/>
                <w:b w:val="1"/>
                <w:bCs w:val="1"/>
                <w:color w:val="auto"/>
              </w:rPr>
              <w:t>Termination; Restriction on Termination.</w:t>
            </w:r>
          </w:p>
        </w:tc>
        <w:tc>
          <w:tcPr>
            <w:tcW w:w="420" w:type="dxa"/>
            <w:vAlign w:val="bottom"/>
          </w:tcPr>
          <w:p>
            <w:pPr>
              <w:jc w:val="right"/>
              <w:spacing w:after="0"/>
              <w:rPr>
                <w:sz w:val="20"/>
                <w:szCs w:val="20"/>
                <w:color w:val="auto"/>
              </w:rPr>
            </w:pPr>
            <w:r>
              <w:rPr>
                <w:rFonts w:ascii="Arial" w:cs="Arial" w:eastAsia="Arial" w:hAnsi="Arial"/>
                <w:sz w:val="20"/>
                <w:szCs w:val="20"/>
                <w:b w:val="1"/>
                <w:bCs w:val="1"/>
                <w:color w:val="auto"/>
              </w:rPr>
              <w:t>40</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56"/>
        </w:trPr>
        <w:tc>
          <w:tcPr>
            <w:tcW w:w="9860" w:type="dxa"/>
            <w:vAlign w:val="bottom"/>
            <w:gridSpan w:val="2"/>
          </w:tcPr>
          <w:p>
            <w:pPr>
              <w:spacing w:after="0"/>
              <w:rPr>
                <w:sz w:val="20"/>
                <w:szCs w:val="20"/>
                <w:color w:val="auto"/>
              </w:rPr>
            </w:pPr>
            <w:r>
              <w:rPr>
                <w:rFonts w:ascii="Arial" w:cs="Arial" w:eastAsia="Arial" w:hAnsi="Arial"/>
                <w:sz w:val="20"/>
                <w:szCs w:val="20"/>
                <w:b w:val="1"/>
                <w:bCs w:val="1"/>
                <w:color w:val="auto"/>
              </w:rPr>
              <w:t>ARTICLE 3 - REPRESENTATIONS AND WARRANTIES</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40</w:t>
            </w:r>
          </w:p>
        </w:tc>
      </w:tr>
      <w:tr>
        <w:trPr>
          <w:trHeight w:val="446"/>
        </w:trPr>
        <w:tc>
          <w:tcPr>
            <w:tcW w:w="2180" w:type="dxa"/>
            <w:vAlign w:val="bottom"/>
          </w:tcPr>
          <w:p>
            <w:pPr>
              <w:ind w:left="880"/>
              <w:spacing w:after="0"/>
              <w:rPr>
                <w:sz w:val="20"/>
                <w:szCs w:val="20"/>
                <w:color w:val="auto"/>
              </w:rPr>
            </w:pPr>
            <w:r>
              <w:rPr>
                <w:rFonts w:ascii="Arial" w:cs="Arial" w:eastAsia="Arial" w:hAnsi="Arial"/>
                <w:sz w:val="20"/>
                <w:szCs w:val="20"/>
                <w:b w:val="1"/>
                <w:bCs w:val="1"/>
                <w:color w:val="auto"/>
              </w:rPr>
              <w:t>Section 3.1</w:t>
            </w:r>
          </w:p>
        </w:tc>
        <w:tc>
          <w:tcPr>
            <w:tcW w:w="7680" w:type="dxa"/>
            <w:vAlign w:val="bottom"/>
          </w:tcPr>
          <w:p>
            <w:pPr>
              <w:ind w:left="320"/>
              <w:spacing w:after="0"/>
              <w:rPr>
                <w:sz w:val="20"/>
                <w:szCs w:val="20"/>
                <w:color w:val="auto"/>
              </w:rPr>
            </w:pPr>
            <w:r>
              <w:rPr>
                <w:rFonts w:ascii="Arial" w:cs="Arial" w:eastAsia="Arial" w:hAnsi="Arial"/>
                <w:sz w:val="20"/>
                <w:szCs w:val="20"/>
                <w:b w:val="1"/>
                <w:bCs w:val="1"/>
                <w:color w:val="auto"/>
              </w:rPr>
              <w:t>Existence and Power</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40</w:t>
            </w:r>
          </w:p>
        </w:tc>
      </w:tr>
      <w:tr>
        <w:trPr>
          <w:trHeight w:val="445"/>
        </w:trPr>
        <w:tc>
          <w:tcPr>
            <w:tcW w:w="2180" w:type="dxa"/>
            <w:vAlign w:val="bottom"/>
          </w:tcPr>
          <w:p>
            <w:pPr>
              <w:ind w:left="880"/>
              <w:spacing w:after="0"/>
              <w:rPr>
                <w:sz w:val="20"/>
                <w:szCs w:val="20"/>
                <w:color w:val="auto"/>
              </w:rPr>
            </w:pPr>
            <w:r>
              <w:rPr>
                <w:rFonts w:ascii="Arial" w:cs="Arial" w:eastAsia="Arial" w:hAnsi="Arial"/>
                <w:sz w:val="20"/>
                <w:szCs w:val="20"/>
                <w:b w:val="1"/>
                <w:bCs w:val="1"/>
                <w:color w:val="auto"/>
              </w:rPr>
              <w:t>Section 3.2</w:t>
            </w:r>
          </w:p>
        </w:tc>
        <w:tc>
          <w:tcPr>
            <w:tcW w:w="7680" w:type="dxa"/>
            <w:vAlign w:val="bottom"/>
          </w:tcPr>
          <w:p>
            <w:pPr>
              <w:ind w:left="320"/>
              <w:spacing w:after="0"/>
              <w:rPr>
                <w:sz w:val="20"/>
                <w:szCs w:val="20"/>
                <w:color w:val="auto"/>
              </w:rPr>
            </w:pPr>
            <w:r>
              <w:rPr>
                <w:rFonts w:ascii="Arial" w:cs="Arial" w:eastAsia="Arial" w:hAnsi="Arial"/>
                <w:sz w:val="20"/>
                <w:szCs w:val="20"/>
                <w:b w:val="1"/>
                <w:bCs w:val="1"/>
                <w:color w:val="auto"/>
              </w:rPr>
              <w:t>Organization and Governmental Authorization; No Contravention</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41</w:t>
            </w:r>
          </w:p>
        </w:tc>
      </w:tr>
      <w:tr>
        <w:trPr>
          <w:trHeight w:val="446"/>
        </w:trPr>
        <w:tc>
          <w:tcPr>
            <w:tcW w:w="2180" w:type="dxa"/>
            <w:vAlign w:val="bottom"/>
          </w:tcPr>
          <w:p>
            <w:pPr>
              <w:ind w:left="880"/>
              <w:spacing w:after="0"/>
              <w:rPr>
                <w:sz w:val="20"/>
                <w:szCs w:val="20"/>
                <w:color w:val="auto"/>
              </w:rPr>
            </w:pPr>
            <w:r>
              <w:rPr>
                <w:rFonts w:ascii="Arial" w:cs="Arial" w:eastAsia="Arial" w:hAnsi="Arial"/>
                <w:sz w:val="20"/>
                <w:szCs w:val="20"/>
                <w:b w:val="1"/>
                <w:bCs w:val="1"/>
                <w:color w:val="auto"/>
              </w:rPr>
              <w:t>Section 3.3</w:t>
            </w:r>
          </w:p>
        </w:tc>
        <w:tc>
          <w:tcPr>
            <w:tcW w:w="7680" w:type="dxa"/>
            <w:vAlign w:val="bottom"/>
          </w:tcPr>
          <w:p>
            <w:pPr>
              <w:ind w:left="320"/>
              <w:spacing w:after="0"/>
              <w:rPr>
                <w:sz w:val="20"/>
                <w:szCs w:val="20"/>
                <w:color w:val="auto"/>
              </w:rPr>
            </w:pPr>
            <w:r>
              <w:rPr>
                <w:rFonts w:ascii="Arial" w:cs="Arial" w:eastAsia="Arial" w:hAnsi="Arial"/>
                <w:sz w:val="20"/>
                <w:szCs w:val="20"/>
                <w:b w:val="1"/>
                <w:bCs w:val="1"/>
                <w:color w:val="auto"/>
              </w:rPr>
              <w:t>Binding Effect</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41</w:t>
            </w:r>
          </w:p>
        </w:tc>
      </w:tr>
      <w:tr>
        <w:trPr>
          <w:trHeight w:val="446"/>
        </w:trPr>
        <w:tc>
          <w:tcPr>
            <w:tcW w:w="2180" w:type="dxa"/>
            <w:vAlign w:val="bottom"/>
          </w:tcPr>
          <w:p>
            <w:pPr>
              <w:ind w:left="880"/>
              <w:spacing w:after="0"/>
              <w:rPr>
                <w:sz w:val="20"/>
                <w:szCs w:val="20"/>
                <w:color w:val="auto"/>
              </w:rPr>
            </w:pPr>
            <w:r>
              <w:rPr>
                <w:rFonts w:ascii="Arial" w:cs="Arial" w:eastAsia="Arial" w:hAnsi="Arial"/>
                <w:sz w:val="20"/>
                <w:szCs w:val="20"/>
                <w:b w:val="1"/>
                <w:bCs w:val="1"/>
                <w:color w:val="auto"/>
              </w:rPr>
              <w:t>Section 3.4</w:t>
            </w:r>
          </w:p>
        </w:tc>
        <w:tc>
          <w:tcPr>
            <w:tcW w:w="7680" w:type="dxa"/>
            <w:vAlign w:val="bottom"/>
          </w:tcPr>
          <w:p>
            <w:pPr>
              <w:ind w:left="320"/>
              <w:spacing w:after="0"/>
              <w:rPr>
                <w:sz w:val="20"/>
                <w:szCs w:val="20"/>
                <w:color w:val="auto"/>
              </w:rPr>
            </w:pPr>
            <w:r>
              <w:rPr>
                <w:rFonts w:ascii="Arial" w:cs="Arial" w:eastAsia="Arial" w:hAnsi="Arial"/>
                <w:sz w:val="20"/>
                <w:szCs w:val="20"/>
                <w:b w:val="1"/>
                <w:bCs w:val="1"/>
                <w:color w:val="auto"/>
              </w:rPr>
              <w:t>Capitalization</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41</w:t>
            </w:r>
          </w:p>
        </w:tc>
      </w:tr>
      <w:tr>
        <w:trPr>
          <w:trHeight w:val="445"/>
        </w:trPr>
        <w:tc>
          <w:tcPr>
            <w:tcW w:w="2180" w:type="dxa"/>
            <w:vAlign w:val="bottom"/>
          </w:tcPr>
          <w:p>
            <w:pPr>
              <w:ind w:left="880"/>
              <w:spacing w:after="0"/>
              <w:rPr>
                <w:sz w:val="20"/>
                <w:szCs w:val="20"/>
                <w:color w:val="auto"/>
              </w:rPr>
            </w:pPr>
            <w:r>
              <w:rPr>
                <w:rFonts w:ascii="Arial" w:cs="Arial" w:eastAsia="Arial" w:hAnsi="Arial"/>
                <w:sz w:val="20"/>
                <w:szCs w:val="20"/>
                <w:b w:val="1"/>
                <w:bCs w:val="1"/>
                <w:color w:val="auto"/>
              </w:rPr>
              <w:t>Section 3.5</w:t>
            </w:r>
          </w:p>
        </w:tc>
        <w:tc>
          <w:tcPr>
            <w:tcW w:w="7680" w:type="dxa"/>
            <w:vAlign w:val="bottom"/>
          </w:tcPr>
          <w:p>
            <w:pPr>
              <w:ind w:left="320"/>
              <w:spacing w:after="0"/>
              <w:rPr>
                <w:sz w:val="20"/>
                <w:szCs w:val="20"/>
                <w:color w:val="auto"/>
              </w:rPr>
            </w:pPr>
            <w:r>
              <w:rPr>
                <w:rFonts w:ascii="Arial" w:cs="Arial" w:eastAsia="Arial" w:hAnsi="Arial"/>
                <w:sz w:val="20"/>
                <w:szCs w:val="20"/>
                <w:b w:val="1"/>
                <w:bCs w:val="1"/>
                <w:color w:val="auto"/>
              </w:rPr>
              <w:t>Financial Information</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41</w:t>
            </w:r>
          </w:p>
        </w:tc>
      </w:tr>
      <w:tr>
        <w:trPr>
          <w:trHeight w:val="446"/>
        </w:trPr>
        <w:tc>
          <w:tcPr>
            <w:tcW w:w="2180" w:type="dxa"/>
            <w:vAlign w:val="bottom"/>
          </w:tcPr>
          <w:p>
            <w:pPr>
              <w:ind w:left="880"/>
              <w:spacing w:after="0"/>
              <w:rPr>
                <w:sz w:val="20"/>
                <w:szCs w:val="20"/>
                <w:color w:val="auto"/>
              </w:rPr>
            </w:pPr>
            <w:r>
              <w:rPr>
                <w:rFonts w:ascii="Arial" w:cs="Arial" w:eastAsia="Arial" w:hAnsi="Arial"/>
                <w:sz w:val="20"/>
                <w:szCs w:val="20"/>
                <w:b w:val="1"/>
                <w:bCs w:val="1"/>
                <w:color w:val="auto"/>
              </w:rPr>
              <w:t>Section 3.6</w:t>
            </w:r>
          </w:p>
        </w:tc>
        <w:tc>
          <w:tcPr>
            <w:tcW w:w="7680" w:type="dxa"/>
            <w:vAlign w:val="bottom"/>
          </w:tcPr>
          <w:p>
            <w:pPr>
              <w:ind w:left="320"/>
              <w:spacing w:after="0"/>
              <w:rPr>
                <w:sz w:val="20"/>
                <w:szCs w:val="20"/>
                <w:color w:val="auto"/>
              </w:rPr>
            </w:pPr>
            <w:r>
              <w:rPr>
                <w:rFonts w:ascii="Arial" w:cs="Arial" w:eastAsia="Arial" w:hAnsi="Arial"/>
                <w:sz w:val="20"/>
                <w:szCs w:val="20"/>
                <w:b w:val="1"/>
                <w:bCs w:val="1"/>
                <w:color w:val="auto"/>
              </w:rPr>
              <w:t>Litigation</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41</w:t>
            </w:r>
          </w:p>
        </w:tc>
      </w:tr>
      <w:tr>
        <w:trPr>
          <w:trHeight w:val="445"/>
        </w:trPr>
        <w:tc>
          <w:tcPr>
            <w:tcW w:w="2180" w:type="dxa"/>
            <w:vAlign w:val="bottom"/>
          </w:tcPr>
          <w:p>
            <w:pPr>
              <w:ind w:left="880"/>
              <w:spacing w:after="0"/>
              <w:rPr>
                <w:sz w:val="20"/>
                <w:szCs w:val="20"/>
                <w:color w:val="auto"/>
              </w:rPr>
            </w:pPr>
            <w:r>
              <w:rPr>
                <w:rFonts w:ascii="Arial" w:cs="Arial" w:eastAsia="Arial" w:hAnsi="Arial"/>
                <w:sz w:val="20"/>
                <w:szCs w:val="20"/>
                <w:b w:val="1"/>
                <w:bCs w:val="1"/>
                <w:color w:val="auto"/>
              </w:rPr>
              <w:t>Section 3.7</w:t>
            </w:r>
          </w:p>
        </w:tc>
        <w:tc>
          <w:tcPr>
            <w:tcW w:w="7680" w:type="dxa"/>
            <w:vAlign w:val="bottom"/>
          </w:tcPr>
          <w:p>
            <w:pPr>
              <w:ind w:left="320"/>
              <w:spacing w:after="0"/>
              <w:rPr>
                <w:sz w:val="20"/>
                <w:szCs w:val="20"/>
                <w:color w:val="auto"/>
              </w:rPr>
            </w:pPr>
            <w:r>
              <w:rPr>
                <w:rFonts w:ascii="Arial" w:cs="Arial" w:eastAsia="Arial" w:hAnsi="Arial"/>
                <w:sz w:val="20"/>
                <w:szCs w:val="20"/>
                <w:b w:val="1"/>
                <w:bCs w:val="1"/>
                <w:color w:val="auto"/>
              </w:rPr>
              <w:t>Ownership of Property</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42</w:t>
            </w:r>
          </w:p>
        </w:tc>
      </w:tr>
      <w:tr>
        <w:trPr>
          <w:trHeight w:val="446"/>
        </w:trPr>
        <w:tc>
          <w:tcPr>
            <w:tcW w:w="2180" w:type="dxa"/>
            <w:vAlign w:val="bottom"/>
          </w:tcPr>
          <w:p>
            <w:pPr>
              <w:ind w:left="880"/>
              <w:spacing w:after="0"/>
              <w:rPr>
                <w:sz w:val="20"/>
                <w:szCs w:val="20"/>
                <w:color w:val="auto"/>
              </w:rPr>
            </w:pPr>
            <w:r>
              <w:rPr>
                <w:rFonts w:ascii="Arial" w:cs="Arial" w:eastAsia="Arial" w:hAnsi="Arial"/>
                <w:sz w:val="20"/>
                <w:szCs w:val="20"/>
                <w:b w:val="1"/>
                <w:bCs w:val="1"/>
                <w:color w:val="auto"/>
              </w:rPr>
              <w:t>Section 3.8</w:t>
            </w:r>
          </w:p>
        </w:tc>
        <w:tc>
          <w:tcPr>
            <w:tcW w:w="7680" w:type="dxa"/>
            <w:vAlign w:val="bottom"/>
          </w:tcPr>
          <w:p>
            <w:pPr>
              <w:ind w:left="320"/>
              <w:spacing w:after="0"/>
              <w:rPr>
                <w:sz w:val="20"/>
                <w:szCs w:val="20"/>
                <w:color w:val="auto"/>
              </w:rPr>
            </w:pPr>
            <w:r>
              <w:rPr>
                <w:rFonts w:ascii="Arial" w:cs="Arial" w:eastAsia="Arial" w:hAnsi="Arial"/>
                <w:sz w:val="20"/>
                <w:szCs w:val="20"/>
                <w:b w:val="1"/>
                <w:bCs w:val="1"/>
                <w:color w:val="auto"/>
              </w:rPr>
              <w:t>No Default</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42</w:t>
            </w:r>
          </w:p>
        </w:tc>
      </w:tr>
      <w:tr>
        <w:trPr>
          <w:trHeight w:val="445"/>
        </w:trPr>
        <w:tc>
          <w:tcPr>
            <w:tcW w:w="2180" w:type="dxa"/>
            <w:vAlign w:val="bottom"/>
          </w:tcPr>
          <w:p>
            <w:pPr>
              <w:ind w:left="880"/>
              <w:spacing w:after="0"/>
              <w:rPr>
                <w:sz w:val="20"/>
                <w:szCs w:val="20"/>
                <w:color w:val="auto"/>
              </w:rPr>
            </w:pPr>
            <w:r>
              <w:rPr>
                <w:rFonts w:ascii="Arial" w:cs="Arial" w:eastAsia="Arial" w:hAnsi="Arial"/>
                <w:sz w:val="20"/>
                <w:szCs w:val="20"/>
                <w:b w:val="1"/>
                <w:bCs w:val="1"/>
                <w:color w:val="auto"/>
              </w:rPr>
              <w:t>Section 3.9</w:t>
            </w:r>
          </w:p>
        </w:tc>
        <w:tc>
          <w:tcPr>
            <w:tcW w:w="7680" w:type="dxa"/>
            <w:vAlign w:val="bottom"/>
          </w:tcPr>
          <w:p>
            <w:pPr>
              <w:ind w:left="320"/>
              <w:spacing w:after="0"/>
              <w:rPr>
                <w:sz w:val="20"/>
                <w:szCs w:val="20"/>
                <w:color w:val="auto"/>
              </w:rPr>
            </w:pPr>
            <w:r>
              <w:rPr>
                <w:rFonts w:ascii="Arial" w:cs="Arial" w:eastAsia="Arial" w:hAnsi="Arial"/>
                <w:sz w:val="20"/>
                <w:szCs w:val="20"/>
                <w:b w:val="1"/>
                <w:bCs w:val="1"/>
                <w:color w:val="auto"/>
              </w:rPr>
              <w:t>Labor Matters</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42</w:t>
            </w:r>
          </w:p>
        </w:tc>
      </w:tr>
      <w:tr>
        <w:trPr>
          <w:trHeight w:val="446"/>
        </w:trPr>
        <w:tc>
          <w:tcPr>
            <w:tcW w:w="2180" w:type="dxa"/>
            <w:vAlign w:val="bottom"/>
          </w:tcPr>
          <w:p>
            <w:pPr>
              <w:ind w:left="880"/>
              <w:spacing w:after="0"/>
              <w:rPr>
                <w:sz w:val="20"/>
                <w:szCs w:val="20"/>
                <w:color w:val="auto"/>
              </w:rPr>
            </w:pPr>
            <w:r>
              <w:rPr>
                <w:rFonts w:ascii="Arial" w:cs="Arial" w:eastAsia="Arial" w:hAnsi="Arial"/>
                <w:sz w:val="20"/>
                <w:szCs w:val="20"/>
                <w:b w:val="1"/>
                <w:bCs w:val="1"/>
                <w:color w:val="auto"/>
              </w:rPr>
              <w:t>Section 3.10</w:t>
            </w:r>
          </w:p>
        </w:tc>
        <w:tc>
          <w:tcPr>
            <w:tcW w:w="7680" w:type="dxa"/>
            <w:vAlign w:val="bottom"/>
          </w:tcPr>
          <w:p>
            <w:pPr>
              <w:ind w:left="320"/>
              <w:spacing w:after="0"/>
              <w:rPr>
                <w:sz w:val="20"/>
                <w:szCs w:val="20"/>
                <w:color w:val="auto"/>
              </w:rPr>
            </w:pPr>
            <w:r>
              <w:rPr>
                <w:rFonts w:ascii="Arial" w:cs="Arial" w:eastAsia="Arial" w:hAnsi="Arial"/>
                <w:sz w:val="20"/>
                <w:szCs w:val="20"/>
                <w:b w:val="1"/>
                <w:bCs w:val="1"/>
                <w:color w:val="auto"/>
              </w:rPr>
              <w:t>Regulated Entities</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42</w:t>
            </w:r>
          </w:p>
        </w:tc>
      </w:tr>
      <w:tr>
        <w:trPr>
          <w:trHeight w:val="445"/>
        </w:trPr>
        <w:tc>
          <w:tcPr>
            <w:tcW w:w="2180" w:type="dxa"/>
            <w:vAlign w:val="bottom"/>
          </w:tcPr>
          <w:p>
            <w:pPr>
              <w:ind w:left="880"/>
              <w:spacing w:after="0"/>
              <w:rPr>
                <w:sz w:val="20"/>
                <w:szCs w:val="20"/>
                <w:color w:val="auto"/>
              </w:rPr>
            </w:pPr>
            <w:r>
              <w:rPr>
                <w:rFonts w:ascii="Arial" w:cs="Arial" w:eastAsia="Arial" w:hAnsi="Arial"/>
                <w:sz w:val="20"/>
                <w:szCs w:val="20"/>
                <w:b w:val="1"/>
                <w:bCs w:val="1"/>
                <w:color w:val="auto"/>
              </w:rPr>
              <w:t>Section 3.11</w:t>
            </w:r>
          </w:p>
        </w:tc>
        <w:tc>
          <w:tcPr>
            <w:tcW w:w="7680" w:type="dxa"/>
            <w:vAlign w:val="bottom"/>
          </w:tcPr>
          <w:p>
            <w:pPr>
              <w:ind w:left="320"/>
              <w:spacing w:after="0"/>
              <w:rPr>
                <w:sz w:val="20"/>
                <w:szCs w:val="20"/>
                <w:color w:val="auto"/>
              </w:rPr>
            </w:pPr>
            <w:r>
              <w:rPr>
                <w:rFonts w:ascii="Arial" w:cs="Arial" w:eastAsia="Arial" w:hAnsi="Arial"/>
                <w:sz w:val="20"/>
                <w:szCs w:val="20"/>
                <w:b w:val="1"/>
                <w:bCs w:val="1"/>
                <w:color w:val="auto"/>
              </w:rPr>
              <w:t>Margin Regulations</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42</w:t>
            </w:r>
          </w:p>
        </w:tc>
      </w:tr>
      <w:tr>
        <w:trPr>
          <w:trHeight w:val="446"/>
        </w:trPr>
        <w:tc>
          <w:tcPr>
            <w:tcW w:w="2180" w:type="dxa"/>
            <w:vAlign w:val="bottom"/>
          </w:tcPr>
          <w:p>
            <w:pPr>
              <w:ind w:left="880"/>
              <w:spacing w:after="0"/>
              <w:rPr>
                <w:sz w:val="20"/>
                <w:szCs w:val="20"/>
                <w:color w:val="auto"/>
              </w:rPr>
            </w:pPr>
            <w:r>
              <w:rPr>
                <w:rFonts w:ascii="Arial" w:cs="Arial" w:eastAsia="Arial" w:hAnsi="Arial"/>
                <w:sz w:val="20"/>
                <w:szCs w:val="20"/>
                <w:b w:val="1"/>
                <w:bCs w:val="1"/>
                <w:color w:val="auto"/>
              </w:rPr>
              <w:t>Section 3.12</w:t>
            </w:r>
          </w:p>
        </w:tc>
        <w:tc>
          <w:tcPr>
            <w:tcW w:w="7680" w:type="dxa"/>
            <w:vAlign w:val="bottom"/>
          </w:tcPr>
          <w:p>
            <w:pPr>
              <w:ind w:left="320"/>
              <w:spacing w:after="0"/>
              <w:rPr>
                <w:sz w:val="20"/>
                <w:szCs w:val="20"/>
                <w:color w:val="auto"/>
              </w:rPr>
            </w:pPr>
            <w:r>
              <w:rPr>
                <w:rFonts w:ascii="Arial" w:cs="Arial" w:eastAsia="Arial" w:hAnsi="Arial"/>
                <w:sz w:val="20"/>
                <w:szCs w:val="20"/>
                <w:b w:val="1"/>
                <w:bCs w:val="1"/>
                <w:color w:val="auto"/>
              </w:rPr>
              <w:t>Compliance With Laws; Anti-Terrorism Laws.</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42</w:t>
            </w:r>
          </w:p>
        </w:tc>
      </w:tr>
      <w:tr>
        <w:trPr>
          <w:trHeight w:val="446"/>
        </w:trPr>
        <w:tc>
          <w:tcPr>
            <w:tcW w:w="2180" w:type="dxa"/>
            <w:vAlign w:val="bottom"/>
          </w:tcPr>
          <w:p>
            <w:pPr>
              <w:ind w:left="880"/>
              <w:spacing w:after="0"/>
              <w:rPr>
                <w:sz w:val="20"/>
                <w:szCs w:val="20"/>
                <w:color w:val="auto"/>
              </w:rPr>
            </w:pPr>
            <w:r>
              <w:rPr>
                <w:rFonts w:ascii="Arial" w:cs="Arial" w:eastAsia="Arial" w:hAnsi="Arial"/>
                <w:sz w:val="20"/>
                <w:szCs w:val="20"/>
                <w:b w:val="1"/>
                <w:bCs w:val="1"/>
                <w:color w:val="auto"/>
              </w:rPr>
              <w:t>Section 3.13</w:t>
            </w:r>
          </w:p>
        </w:tc>
        <w:tc>
          <w:tcPr>
            <w:tcW w:w="7680" w:type="dxa"/>
            <w:vAlign w:val="bottom"/>
          </w:tcPr>
          <w:p>
            <w:pPr>
              <w:ind w:left="320"/>
              <w:spacing w:after="0"/>
              <w:rPr>
                <w:sz w:val="20"/>
                <w:szCs w:val="20"/>
                <w:color w:val="auto"/>
              </w:rPr>
            </w:pPr>
            <w:r>
              <w:rPr>
                <w:rFonts w:ascii="Arial" w:cs="Arial" w:eastAsia="Arial" w:hAnsi="Arial"/>
                <w:sz w:val="20"/>
                <w:szCs w:val="20"/>
                <w:b w:val="1"/>
                <w:bCs w:val="1"/>
                <w:color w:val="auto"/>
              </w:rPr>
              <w:t>Taxes</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43</w:t>
            </w:r>
          </w:p>
        </w:tc>
      </w:tr>
      <w:tr>
        <w:trPr>
          <w:trHeight w:val="445"/>
        </w:trPr>
        <w:tc>
          <w:tcPr>
            <w:tcW w:w="2180" w:type="dxa"/>
            <w:vAlign w:val="bottom"/>
          </w:tcPr>
          <w:p>
            <w:pPr>
              <w:ind w:left="880"/>
              <w:spacing w:after="0"/>
              <w:rPr>
                <w:sz w:val="20"/>
                <w:szCs w:val="20"/>
                <w:color w:val="auto"/>
              </w:rPr>
            </w:pPr>
            <w:r>
              <w:rPr>
                <w:rFonts w:ascii="Arial" w:cs="Arial" w:eastAsia="Arial" w:hAnsi="Arial"/>
                <w:sz w:val="20"/>
                <w:szCs w:val="20"/>
                <w:b w:val="1"/>
                <w:bCs w:val="1"/>
                <w:color w:val="auto"/>
              </w:rPr>
              <w:t>Section 3.14</w:t>
            </w:r>
          </w:p>
        </w:tc>
        <w:tc>
          <w:tcPr>
            <w:tcW w:w="7680" w:type="dxa"/>
            <w:vAlign w:val="bottom"/>
          </w:tcPr>
          <w:p>
            <w:pPr>
              <w:ind w:left="320"/>
              <w:spacing w:after="0"/>
              <w:rPr>
                <w:sz w:val="20"/>
                <w:szCs w:val="20"/>
                <w:color w:val="auto"/>
              </w:rPr>
            </w:pPr>
            <w:r>
              <w:rPr>
                <w:rFonts w:ascii="Arial" w:cs="Arial" w:eastAsia="Arial" w:hAnsi="Arial"/>
                <w:sz w:val="20"/>
                <w:szCs w:val="20"/>
                <w:b w:val="1"/>
                <w:bCs w:val="1"/>
                <w:color w:val="auto"/>
              </w:rPr>
              <w:t>Compliance with ERISA.</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43</w:t>
            </w:r>
          </w:p>
        </w:tc>
      </w:tr>
      <w:tr>
        <w:trPr>
          <w:trHeight w:val="445"/>
        </w:trPr>
        <w:tc>
          <w:tcPr>
            <w:tcW w:w="2180" w:type="dxa"/>
            <w:vAlign w:val="bottom"/>
          </w:tcPr>
          <w:p>
            <w:pPr>
              <w:ind w:left="880"/>
              <w:spacing w:after="0"/>
              <w:rPr>
                <w:sz w:val="20"/>
                <w:szCs w:val="20"/>
                <w:color w:val="auto"/>
              </w:rPr>
            </w:pPr>
            <w:r>
              <w:rPr>
                <w:rFonts w:ascii="Arial" w:cs="Arial" w:eastAsia="Arial" w:hAnsi="Arial"/>
                <w:sz w:val="20"/>
                <w:szCs w:val="20"/>
                <w:b w:val="1"/>
                <w:bCs w:val="1"/>
                <w:color w:val="auto"/>
              </w:rPr>
              <w:t>Section 3.15</w:t>
            </w:r>
          </w:p>
        </w:tc>
        <w:tc>
          <w:tcPr>
            <w:tcW w:w="7680" w:type="dxa"/>
            <w:vAlign w:val="bottom"/>
          </w:tcPr>
          <w:p>
            <w:pPr>
              <w:ind w:left="320"/>
              <w:spacing w:after="0"/>
              <w:rPr>
                <w:sz w:val="20"/>
                <w:szCs w:val="20"/>
                <w:color w:val="auto"/>
              </w:rPr>
            </w:pPr>
            <w:r>
              <w:rPr>
                <w:rFonts w:ascii="Arial" w:cs="Arial" w:eastAsia="Arial" w:hAnsi="Arial"/>
                <w:sz w:val="20"/>
                <w:szCs w:val="20"/>
                <w:b w:val="1"/>
                <w:bCs w:val="1"/>
                <w:color w:val="auto"/>
              </w:rPr>
              <w:t>Consummation of Financing Documents; Brokers</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44</w:t>
            </w:r>
          </w:p>
        </w:tc>
      </w:tr>
      <w:tr>
        <w:trPr>
          <w:trHeight w:val="446"/>
        </w:trPr>
        <w:tc>
          <w:tcPr>
            <w:tcW w:w="2180" w:type="dxa"/>
            <w:vAlign w:val="bottom"/>
          </w:tcPr>
          <w:p>
            <w:pPr>
              <w:ind w:left="880"/>
              <w:spacing w:after="0"/>
              <w:rPr>
                <w:sz w:val="20"/>
                <w:szCs w:val="20"/>
                <w:color w:val="auto"/>
              </w:rPr>
            </w:pPr>
            <w:r>
              <w:rPr>
                <w:rFonts w:ascii="Arial" w:cs="Arial" w:eastAsia="Arial" w:hAnsi="Arial"/>
                <w:sz w:val="20"/>
                <w:szCs w:val="20"/>
                <w:b w:val="1"/>
                <w:bCs w:val="1"/>
                <w:color w:val="auto"/>
              </w:rPr>
              <w:t>Section 3.16</w:t>
            </w:r>
          </w:p>
        </w:tc>
        <w:tc>
          <w:tcPr>
            <w:tcW w:w="7680" w:type="dxa"/>
            <w:vAlign w:val="bottom"/>
          </w:tcPr>
          <w:p>
            <w:pPr>
              <w:ind w:left="320"/>
              <w:spacing w:after="0"/>
              <w:rPr>
                <w:sz w:val="20"/>
                <w:szCs w:val="20"/>
                <w:color w:val="auto"/>
              </w:rPr>
            </w:pPr>
            <w:r>
              <w:rPr>
                <w:rFonts w:ascii="Arial" w:cs="Arial" w:eastAsia="Arial" w:hAnsi="Arial"/>
                <w:sz w:val="20"/>
                <w:szCs w:val="20"/>
                <w:b w:val="1"/>
                <w:bCs w:val="1"/>
                <w:color w:val="auto"/>
              </w:rPr>
              <w:t>Reserved</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44</w:t>
            </w:r>
          </w:p>
        </w:tc>
      </w:tr>
      <w:tr>
        <w:trPr>
          <w:trHeight w:val="445"/>
        </w:trPr>
        <w:tc>
          <w:tcPr>
            <w:tcW w:w="2180" w:type="dxa"/>
            <w:vAlign w:val="bottom"/>
          </w:tcPr>
          <w:p>
            <w:pPr>
              <w:ind w:left="880"/>
              <w:spacing w:after="0"/>
              <w:rPr>
                <w:sz w:val="20"/>
                <w:szCs w:val="20"/>
                <w:color w:val="auto"/>
              </w:rPr>
            </w:pPr>
            <w:r>
              <w:rPr>
                <w:rFonts w:ascii="Arial" w:cs="Arial" w:eastAsia="Arial" w:hAnsi="Arial"/>
                <w:sz w:val="20"/>
                <w:szCs w:val="20"/>
                <w:b w:val="1"/>
                <w:bCs w:val="1"/>
                <w:color w:val="auto"/>
              </w:rPr>
              <w:t>Section 3.17</w:t>
            </w:r>
          </w:p>
        </w:tc>
        <w:tc>
          <w:tcPr>
            <w:tcW w:w="7680" w:type="dxa"/>
            <w:vAlign w:val="bottom"/>
          </w:tcPr>
          <w:p>
            <w:pPr>
              <w:ind w:left="320"/>
              <w:spacing w:after="0"/>
              <w:rPr>
                <w:sz w:val="20"/>
                <w:szCs w:val="20"/>
                <w:color w:val="auto"/>
              </w:rPr>
            </w:pPr>
            <w:r>
              <w:rPr>
                <w:rFonts w:ascii="Arial" w:cs="Arial" w:eastAsia="Arial" w:hAnsi="Arial"/>
                <w:sz w:val="20"/>
                <w:szCs w:val="20"/>
                <w:b w:val="1"/>
                <w:bCs w:val="1"/>
                <w:color w:val="auto"/>
              </w:rPr>
              <w:t>Material Contracts</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44</w:t>
            </w:r>
          </w:p>
        </w:tc>
      </w:tr>
      <w:tr>
        <w:trPr>
          <w:trHeight w:val="445"/>
        </w:trPr>
        <w:tc>
          <w:tcPr>
            <w:tcW w:w="2180" w:type="dxa"/>
            <w:vAlign w:val="bottom"/>
          </w:tcPr>
          <w:p>
            <w:pPr>
              <w:ind w:left="880"/>
              <w:spacing w:after="0"/>
              <w:rPr>
                <w:sz w:val="20"/>
                <w:szCs w:val="20"/>
                <w:color w:val="auto"/>
              </w:rPr>
            </w:pPr>
            <w:r>
              <w:rPr>
                <w:rFonts w:ascii="Arial" w:cs="Arial" w:eastAsia="Arial" w:hAnsi="Arial"/>
                <w:sz w:val="20"/>
                <w:szCs w:val="20"/>
                <w:b w:val="1"/>
                <w:bCs w:val="1"/>
                <w:color w:val="auto"/>
              </w:rPr>
              <w:t>Section 3.18</w:t>
            </w:r>
          </w:p>
        </w:tc>
        <w:tc>
          <w:tcPr>
            <w:tcW w:w="7680" w:type="dxa"/>
            <w:vAlign w:val="bottom"/>
          </w:tcPr>
          <w:p>
            <w:pPr>
              <w:ind w:left="320"/>
              <w:spacing w:after="0"/>
              <w:rPr>
                <w:sz w:val="20"/>
                <w:szCs w:val="20"/>
                <w:color w:val="auto"/>
              </w:rPr>
            </w:pPr>
            <w:r>
              <w:rPr>
                <w:rFonts w:ascii="Arial" w:cs="Arial" w:eastAsia="Arial" w:hAnsi="Arial"/>
                <w:sz w:val="20"/>
                <w:szCs w:val="20"/>
                <w:b w:val="1"/>
                <w:bCs w:val="1"/>
                <w:color w:val="auto"/>
              </w:rPr>
              <w:t>Compliance with Environmental Requirements; No Hazardous Materials</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44</w:t>
            </w:r>
          </w:p>
        </w:tc>
      </w:tr>
      <w:tr>
        <w:trPr>
          <w:trHeight w:val="445"/>
        </w:trPr>
        <w:tc>
          <w:tcPr>
            <w:tcW w:w="2180" w:type="dxa"/>
            <w:vAlign w:val="bottom"/>
          </w:tcPr>
          <w:p>
            <w:pPr>
              <w:ind w:left="880"/>
              <w:spacing w:after="0"/>
              <w:rPr>
                <w:sz w:val="20"/>
                <w:szCs w:val="20"/>
                <w:color w:val="auto"/>
              </w:rPr>
            </w:pPr>
            <w:r>
              <w:rPr>
                <w:rFonts w:ascii="Arial" w:cs="Arial" w:eastAsia="Arial" w:hAnsi="Arial"/>
                <w:sz w:val="20"/>
                <w:szCs w:val="20"/>
                <w:b w:val="1"/>
                <w:bCs w:val="1"/>
                <w:color w:val="auto"/>
              </w:rPr>
              <w:t>Section 3.19</w:t>
            </w:r>
          </w:p>
        </w:tc>
        <w:tc>
          <w:tcPr>
            <w:tcW w:w="7680" w:type="dxa"/>
            <w:vAlign w:val="bottom"/>
          </w:tcPr>
          <w:p>
            <w:pPr>
              <w:ind w:left="320"/>
              <w:spacing w:after="0"/>
              <w:rPr>
                <w:sz w:val="20"/>
                <w:szCs w:val="20"/>
                <w:color w:val="auto"/>
              </w:rPr>
            </w:pPr>
            <w:r>
              <w:rPr>
                <w:rFonts w:ascii="Arial" w:cs="Arial" w:eastAsia="Arial" w:hAnsi="Arial"/>
                <w:sz w:val="20"/>
                <w:szCs w:val="20"/>
                <w:b w:val="1"/>
                <w:bCs w:val="1"/>
                <w:color w:val="auto"/>
              </w:rPr>
              <w:t>Intellectual Property and License Agreements</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45</w:t>
            </w:r>
          </w:p>
        </w:tc>
      </w:tr>
      <w:tr>
        <w:trPr>
          <w:trHeight w:val="445"/>
        </w:trPr>
        <w:tc>
          <w:tcPr>
            <w:tcW w:w="2180" w:type="dxa"/>
            <w:vAlign w:val="bottom"/>
          </w:tcPr>
          <w:p>
            <w:pPr>
              <w:ind w:left="880"/>
              <w:spacing w:after="0"/>
              <w:rPr>
                <w:sz w:val="20"/>
                <w:szCs w:val="20"/>
                <w:color w:val="auto"/>
              </w:rPr>
            </w:pPr>
            <w:r>
              <w:rPr>
                <w:rFonts w:ascii="Arial" w:cs="Arial" w:eastAsia="Arial" w:hAnsi="Arial"/>
                <w:sz w:val="20"/>
                <w:szCs w:val="20"/>
                <w:b w:val="1"/>
                <w:bCs w:val="1"/>
                <w:color w:val="auto"/>
              </w:rPr>
              <w:t>Section 3.20</w:t>
            </w:r>
          </w:p>
        </w:tc>
        <w:tc>
          <w:tcPr>
            <w:tcW w:w="7680" w:type="dxa"/>
            <w:vAlign w:val="bottom"/>
          </w:tcPr>
          <w:p>
            <w:pPr>
              <w:ind w:left="320"/>
              <w:spacing w:after="0"/>
              <w:rPr>
                <w:sz w:val="20"/>
                <w:szCs w:val="20"/>
                <w:color w:val="auto"/>
              </w:rPr>
            </w:pPr>
            <w:r>
              <w:rPr>
                <w:rFonts w:ascii="Arial" w:cs="Arial" w:eastAsia="Arial" w:hAnsi="Arial"/>
                <w:sz w:val="20"/>
                <w:szCs w:val="20"/>
                <w:b w:val="1"/>
                <w:bCs w:val="1"/>
                <w:color w:val="auto"/>
              </w:rPr>
              <w:t>Solvency</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45</w:t>
            </w:r>
          </w:p>
        </w:tc>
      </w:tr>
      <w:tr>
        <w:trPr>
          <w:trHeight w:val="445"/>
        </w:trPr>
        <w:tc>
          <w:tcPr>
            <w:tcW w:w="2180" w:type="dxa"/>
            <w:vAlign w:val="bottom"/>
          </w:tcPr>
          <w:p>
            <w:pPr>
              <w:ind w:left="880"/>
              <w:spacing w:after="0"/>
              <w:rPr>
                <w:sz w:val="20"/>
                <w:szCs w:val="20"/>
                <w:color w:val="auto"/>
              </w:rPr>
            </w:pPr>
            <w:r>
              <w:rPr>
                <w:rFonts w:ascii="Arial" w:cs="Arial" w:eastAsia="Arial" w:hAnsi="Arial"/>
                <w:sz w:val="20"/>
                <w:szCs w:val="20"/>
                <w:b w:val="1"/>
                <w:bCs w:val="1"/>
                <w:color w:val="auto"/>
              </w:rPr>
              <w:t>Section 3.21</w:t>
            </w:r>
          </w:p>
        </w:tc>
        <w:tc>
          <w:tcPr>
            <w:tcW w:w="7680" w:type="dxa"/>
            <w:vAlign w:val="bottom"/>
          </w:tcPr>
          <w:p>
            <w:pPr>
              <w:ind w:left="320"/>
              <w:spacing w:after="0"/>
              <w:rPr>
                <w:sz w:val="20"/>
                <w:szCs w:val="20"/>
                <w:color w:val="auto"/>
              </w:rPr>
            </w:pPr>
            <w:r>
              <w:rPr>
                <w:rFonts w:ascii="Arial" w:cs="Arial" w:eastAsia="Arial" w:hAnsi="Arial"/>
                <w:sz w:val="20"/>
                <w:szCs w:val="20"/>
                <w:b w:val="1"/>
                <w:bCs w:val="1"/>
                <w:color w:val="auto"/>
              </w:rPr>
              <w:t>Full Disclosure</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45</w:t>
            </w:r>
          </w:p>
        </w:tc>
      </w:tr>
      <w:tr>
        <w:trPr>
          <w:trHeight w:val="445"/>
        </w:trPr>
        <w:tc>
          <w:tcPr>
            <w:tcW w:w="2180" w:type="dxa"/>
            <w:vAlign w:val="bottom"/>
          </w:tcPr>
          <w:p>
            <w:pPr>
              <w:ind w:left="880"/>
              <w:spacing w:after="0"/>
              <w:rPr>
                <w:sz w:val="20"/>
                <w:szCs w:val="20"/>
                <w:color w:val="auto"/>
              </w:rPr>
            </w:pPr>
            <w:r>
              <w:rPr>
                <w:rFonts w:ascii="Arial" w:cs="Arial" w:eastAsia="Arial" w:hAnsi="Arial"/>
                <w:sz w:val="20"/>
                <w:szCs w:val="20"/>
                <w:b w:val="1"/>
                <w:bCs w:val="1"/>
                <w:color w:val="auto"/>
              </w:rPr>
              <w:t>Section 3.22</w:t>
            </w:r>
          </w:p>
        </w:tc>
        <w:tc>
          <w:tcPr>
            <w:tcW w:w="7680" w:type="dxa"/>
            <w:vAlign w:val="bottom"/>
          </w:tcPr>
          <w:p>
            <w:pPr>
              <w:ind w:left="320"/>
              <w:spacing w:after="0"/>
              <w:rPr>
                <w:sz w:val="20"/>
                <w:szCs w:val="20"/>
                <w:color w:val="auto"/>
              </w:rPr>
            </w:pPr>
            <w:r>
              <w:rPr>
                <w:rFonts w:ascii="Arial" w:cs="Arial" w:eastAsia="Arial" w:hAnsi="Arial"/>
                <w:sz w:val="20"/>
                <w:szCs w:val="20"/>
                <w:b w:val="1"/>
                <w:bCs w:val="1"/>
                <w:color w:val="auto"/>
              </w:rPr>
              <w:t>Interest Rate</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46</w:t>
            </w:r>
          </w:p>
        </w:tc>
      </w:tr>
      <w:tr>
        <w:trPr>
          <w:trHeight w:val="445"/>
        </w:trPr>
        <w:tc>
          <w:tcPr>
            <w:tcW w:w="2180" w:type="dxa"/>
            <w:vAlign w:val="bottom"/>
          </w:tcPr>
          <w:p>
            <w:pPr>
              <w:ind w:left="880"/>
              <w:spacing w:after="0"/>
              <w:rPr>
                <w:sz w:val="20"/>
                <w:szCs w:val="20"/>
                <w:color w:val="auto"/>
              </w:rPr>
            </w:pPr>
            <w:r>
              <w:rPr>
                <w:rFonts w:ascii="Arial" w:cs="Arial" w:eastAsia="Arial" w:hAnsi="Arial"/>
                <w:sz w:val="20"/>
                <w:szCs w:val="20"/>
                <w:b w:val="1"/>
                <w:bCs w:val="1"/>
                <w:color w:val="auto"/>
              </w:rPr>
              <w:t>Section 3.23</w:t>
            </w:r>
          </w:p>
        </w:tc>
        <w:tc>
          <w:tcPr>
            <w:tcW w:w="7680" w:type="dxa"/>
            <w:vAlign w:val="bottom"/>
          </w:tcPr>
          <w:p>
            <w:pPr>
              <w:ind w:left="320"/>
              <w:spacing w:after="0"/>
              <w:rPr>
                <w:sz w:val="20"/>
                <w:szCs w:val="20"/>
                <w:color w:val="auto"/>
              </w:rPr>
            </w:pPr>
            <w:r>
              <w:rPr>
                <w:rFonts w:ascii="Arial" w:cs="Arial" w:eastAsia="Arial" w:hAnsi="Arial"/>
                <w:sz w:val="20"/>
                <w:szCs w:val="20"/>
                <w:b w:val="1"/>
                <w:bCs w:val="1"/>
                <w:color w:val="auto"/>
              </w:rPr>
              <w:t>Subsidiaries</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46</w:t>
            </w:r>
          </w:p>
        </w:tc>
      </w:tr>
      <w:tr>
        <w:trPr>
          <w:trHeight w:val="446"/>
        </w:trPr>
        <w:tc>
          <w:tcPr>
            <w:tcW w:w="2180" w:type="dxa"/>
            <w:vAlign w:val="bottom"/>
          </w:tcPr>
          <w:p>
            <w:pPr>
              <w:ind w:left="880"/>
              <w:spacing w:after="0"/>
              <w:rPr>
                <w:sz w:val="20"/>
                <w:szCs w:val="20"/>
                <w:color w:val="auto"/>
              </w:rPr>
            </w:pPr>
            <w:r>
              <w:rPr>
                <w:rFonts w:ascii="Arial" w:cs="Arial" w:eastAsia="Arial" w:hAnsi="Arial"/>
                <w:sz w:val="20"/>
                <w:szCs w:val="20"/>
                <w:b w:val="1"/>
                <w:bCs w:val="1"/>
                <w:color w:val="auto"/>
              </w:rPr>
              <w:t>Section 3.24</w:t>
            </w:r>
          </w:p>
        </w:tc>
        <w:tc>
          <w:tcPr>
            <w:tcW w:w="7680" w:type="dxa"/>
            <w:vAlign w:val="bottom"/>
          </w:tcPr>
          <w:p>
            <w:pPr>
              <w:ind w:left="320"/>
              <w:spacing w:after="0"/>
              <w:rPr>
                <w:sz w:val="20"/>
                <w:szCs w:val="20"/>
                <w:color w:val="auto"/>
              </w:rPr>
            </w:pPr>
            <w:r>
              <w:rPr>
                <w:rFonts w:ascii="Arial" w:cs="Arial" w:eastAsia="Arial" w:hAnsi="Arial"/>
                <w:sz w:val="20"/>
                <w:szCs w:val="20"/>
                <w:b w:val="1"/>
                <w:bCs w:val="1"/>
                <w:color w:val="auto"/>
              </w:rPr>
              <w:t>Reserved</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46</w:t>
            </w:r>
          </w:p>
        </w:tc>
      </w:tr>
      <w:tr>
        <w:trPr>
          <w:trHeight w:val="445"/>
        </w:trPr>
        <w:tc>
          <w:tcPr>
            <w:tcW w:w="2180" w:type="dxa"/>
            <w:vAlign w:val="bottom"/>
          </w:tcPr>
          <w:p>
            <w:pPr>
              <w:ind w:left="880"/>
              <w:spacing w:after="0"/>
              <w:rPr>
                <w:sz w:val="20"/>
                <w:szCs w:val="20"/>
                <w:color w:val="auto"/>
              </w:rPr>
            </w:pPr>
            <w:r>
              <w:rPr>
                <w:rFonts w:ascii="Arial" w:cs="Arial" w:eastAsia="Arial" w:hAnsi="Arial"/>
                <w:sz w:val="20"/>
                <w:szCs w:val="20"/>
                <w:b w:val="1"/>
                <w:bCs w:val="1"/>
                <w:color w:val="auto"/>
              </w:rPr>
              <w:t>Section 3.25</w:t>
            </w:r>
          </w:p>
        </w:tc>
        <w:tc>
          <w:tcPr>
            <w:tcW w:w="7680" w:type="dxa"/>
            <w:vAlign w:val="bottom"/>
          </w:tcPr>
          <w:p>
            <w:pPr>
              <w:ind w:left="320"/>
              <w:spacing w:after="0"/>
              <w:rPr>
                <w:sz w:val="20"/>
                <w:szCs w:val="20"/>
                <w:color w:val="auto"/>
              </w:rPr>
            </w:pPr>
            <w:r>
              <w:rPr>
                <w:rFonts w:ascii="Arial" w:cs="Arial" w:eastAsia="Arial" w:hAnsi="Arial"/>
                <w:sz w:val="20"/>
                <w:szCs w:val="20"/>
                <w:b w:val="1"/>
                <w:bCs w:val="1"/>
                <w:color w:val="auto"/>
              </w:rPr>
              <w:t>Accuracy of Schedules</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46</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56"/>
        </w:trPr>
        <w:tc>
          <w:tcPr>
            <w:tcW w:w="10920" w:type="dxa"/>
            <w:vAlign w:val="bottom"/>
            <w:gridSpan w:val="2"/>
          </w:tcPr>
          <w:p>
            <w:pPr>
              <w:spacing w:after="0"/>
              <w:rPr>
                <w:sz w:val="20"/>
                <w:szCs w:val="20"/>
                <w:color w:val="auto"/>
              </w:rPr>
            </w:pPr>
            <w:r>
              <w:rPr>
                <w:rFonts w:ascii="Arial" w:cs="Arial" w:eastAsia="Arial" w:hAnsi="Arial"/>
                <w:sz w:val="20"/>
                <w:szCs w:val="20"/>
                <w:b w:val="1"/>
                <w:bCs w:val="1"/>
                <w:color w:val="auto"/>
              </w:rPr>
              <w:t>ARTICLE 4 - AFFIRMATIVE COVENANTS</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46</w:t>
            </w:r>
          </w:p>
        </w:tc>
      </w:tr>
      <w:tr>
        <w:trPr>
          <w:trHeight w:val="446"/>
        </w:trPr>
        <w:tc>
          <w:tcPr>
            <w:tcW w:w="2180" w:type="dxa"/>
            <w:vAlign w:val="bottom"/>
          </w:tcPr>
          <w:p>
            <w:pPr>
              <w:ind w:left="880"/>
              <w:spacing w:after="0"/>
              <w:rPr>
                <w:sz w:val="20"/>
                <w:szCs w:val="20"/>
                <w:color w:val="auto"/>
              </w:rPr>
            </w:pPr>
            <w:r>
              <w:rPr>
                <w:rFonts w:ascii="Arial" w:cs="Arial" w:eastAsia="Arial" w:hAnsi="Arial"/>
                <w:sz w:val="20"/>
                <w:szCs w:val="20"/>
                <w:b w:val="1"/>
                <w:bCs w:val="1"/>
                <w:color w:val="auto"/>
              </w:rPr>
              <w:t>Section 4.1</w:t>
            </w:r>
          </w:p>
        </w:tc>
        <w:tc>
          <w:tcPr>
            <w:tcW w:w="8740" w:type="dxa"/>
            <w:vAlign w:val="bottom"/>
          </w:tcPr>
          <w:p>
            <w:pPr>
              <w:ind w:left="320"/>
              <w:spacing w:after="0"/>
              <w:rPr>
                <w:sz w:val="20"/>
                <w:szCs w:val="20"/>
                <w:color w:val="auto"/>
              </w:rPr>
            </w:pPr>
            <w:r>
              <w:rPr>
                <w:rFonts w:ascii="Arial" w:cs="Arial" w:eastAsia="Arial" w:hAnsi="Arial"/>
                <w:sz w:val="20"/>
                <w:szCs w:val="20"/>
                <w:b w:val="1"/>
                <w:bCs w:val="1"/>
                <w:color w:val="auto"/>
              </w:rPr>
              <w:t>Financial Statements and Other Reports</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46</w:t>
            </w:r>
          </w:p>
        </w:tc>
      </w:tr>
      <w:tr>
        <w:trPr>
          <w:trHeight w:val="445"/>
        </w:trPr>
        <w:tc>
          <w:tcPr>
            <w:tcW w:w="2180" w:type="dxa"/>
            <w:vAlign w:val="bottom"/>
          </w:tcPr>
          <w:p>
            <w:pPr>
              <w:ind w:left="880"/>
              <w:spacing w:after="0"/>
              <w:rPr>
                <w:sz w:val="20"/>
                <w:szCs w:val="20"/>
                <w:color w:val="auto"/>
              </w:rPr>
            </w:pPr>
            <w:r>
              <w:rPr>
                <w:rFonts w:ascii="Arial" w:cs="Arial" w:eastAsia="Arial" w:hAnsi="Arial"/>
                <w:sz w:val="20"/>
                <w:szCs w:val="20"/>
                <w:b w:val="1"/>
                <w:bCs w:val="1"/>
                <w:color w:val="auto"/>
              </w:rPr>
              <w:t>Section 4.2</w:t>
            </w:r>
          </w:p>
        </w:tc>
        <w:tc>
          <w:tcPr>
            <w:tcW w:w="8740" w:type="dxa"/>
            <w:vAlign w:val="bottom"/>
          </w:tcPr>
          <w:p>
            <w:pPr>
              <w:ind w:left="320"/>
              <w:spacing w:after="0"/>
              <w:rPr>
                <w:sz w:val="20"/>
                <w:szCs w:val="20"/>
                <w:color w:val="auto"/>
              </w:rPr>
            </w:pPr>
            <w:r>
              <w:rPr>
                <w:rFonts w:ascii="Arial" w:cs="Arial" w:eastAsia="Arial" w:hAnsi="Arial"/>
                <w:sz w:val="20"/>
                <w:szCs w:val="20"/>
                <w:b w:val="1"/>
                <w:bCs w:val="1"/>
                <w:color w:val="auto"/>
              </w:rPr>
              <w:t>Payment and Performance of Obligations</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47</w:t>
            </w:r>
          </w:p>
        </w:tc>
      </w:tr>
      <w:tr>
        <w:trPr>
          <w:trHeight w:val="446"/>
        </w:trPr>
        <w:tc>
          <w:tcPr>
            <w:tcW w:w="2180" w:type="dxa"/>
            <w:vAlign w:val="bottom"/>
          </w:tcPr>
          <w:p>
            <w:pPr>
              <w:ind w:left="880"/>
              <w:spacing w:after="0"/>
              <w:rPr>
                <w:sz w:val="20"/>
                <w:szCs w:val="20"/>
                <w:color w:val="auto"/>
              </w:rPr>
            </w:pPr>
            <w:r>
              <w:rPr>
                <w:rFonts w:ascii="Arial" w:cs="Arial" w:eastAsia="Arial" w:hAnsi="Arial"/>
                <w:sz w:val="20"/>
                <w:szCs w:val="20"/>
                <w:b w:val="1"/>
                <w:bCs w:val="1"/>
                <w:color w:val="auto"/>
              </w:rPr>
              <w:t>Section 4.3</w:t>
            </w:r>
          </w:p>
        </w:tc>
        <w:tc>
          <w:tcPr>
            <w:tcW w:w="8740" w:type="dxa"/>
            <w:vAlign w:val="bottom"/>
          </w:tcPr>
          <w:p>
            <w:pPr>
              <w:ind w:left="320"/>
              <w:spacing w:after="0"/>
              <w:rPr>
                <w:sz w:val="20"/>
                <w:szCs w:val="20"/>
                <w:color w:val="auto"/>
              </w:rPr>
            </w:pPr>
            <w:r>
              <w:rPr>
                <w:rFonts w:ascii="Arial" w:cs="Arial" w:eastAsia="Arial" w:hAnsi="Arial"/>
                <w:sz w:val="20"/>
                <w:szCs w:val="20"/>
                <w:b w:val="1"/>
                <w:bCs w:val="1"/>
                <w:color w:val="auto"/>
              </w:rPr>
              <w:t>Maintenance of Existence</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47</w:t>
            </w:r>
          </w:p>
        </w:tc>
      </w:tr>
      <w:tr>
        <w:trPr>
          <w:trHeight w:val="446"/>
        </w:trPr>
        <w:tc>
          <w:tcPr>
            <w:tcW w:w="2180" w:type="dxa"/>
            <w:vAlign w:val="bottom"/>
          </w:tcPr>
          <w:p>
            <w:pPr>
              <w:ind w:left="880"/>
              <w:spacing w:after="0"/>
              <w:rPr>
                <w:sz w:val="20"/>
                <w:szCs w:val="20"/>
                <w:color w:val="auto"/>
              </w:rPr>
            </w:pPr>
            <w:r>
              <w:rPr>
                <w:rFonts w:ascii="Arial" w:cs="Arial" w:eastAsia="Arial" w:hAnsi="Arial"/>
                <w:sz w:val="20"/>
                <w:szCs w:val="20"/>
                <w:b w:val="1"/>
                <w:bCs w:val="1"/>
                <w:color w:val="auto"/>
              </w:rPr>
              <w:t>Section 4.4</w:t>
            </w:r>
          </w:p>
        </w:tc>
        <w:tc>
          <w:tcPr>
            <w:tcW w:w="8740" w:type="dxa"/>
            <w:vAlign w:val="bottom"/>
          </w:tcPr>
          <w:p>
            <w:pPr>
              <w:ind w:left="320"/>
              <w:spacing w:after="0"/>
              <w:rPr>
                <w:sz w:val="20"/>
                <w:szCs w:val="20"/>
                <w:color w:val="auto"/>
              </w:rPr>
            </w:pPr>
            <w:r>
              <w:rPr>
                <w:rFonts w:ascii="Arial" w:cs="Arial" w:eastAsia="Arial" w:hAnsi="Arial"/>
                <w:sz w:val="20"/>
                <w:szCs w:val="20"/>
                <w:b w:val="1"/>
                <w:bCs w:val="1"/>
                <w:color w:val="auto"/>
              </w:rPr>
              <w:t>Maintenance of Property; Insurance</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47</w:t>
            </w:r>
          </w:p>
        </w:tc>
      </w:tr>
      <w:tr>
        <w:trPr>
          <w:trHeight w:val="445"/>
        </w:trPr>
        <w:tc>
          <w:tcPr>
            <w:tcW w:w="2180" w:type="dxa"/>
            <w:vAlign w:val="bottom"/>
          </w:tcPr>
          <w:p>
            <w:pPr>
              <w:ind w:left="880"/>
              <w:spacing w:after="0"/>
              <w:rPr>
                <w:sz w:val="20"/>
                <w:szCs w:val="20"/>
                <w:color w:val="auto"/>
              </w:rPr>
            </w:pPr>
            <w:r>
              <w:rPr>
                <w:rFonts w:ascii="Arial" w:cs="Arial" w:eastAsia="Arial" w:hAnsi="Arial"/>
                <w:sz w:val="20"/>
                <w:szCs w:val="20"/>
                <w:b w:val="1"/>
                <w:bCs w:val="1"/>
                <w:color w:val="auto"/>
              </w:rPr>
              <w:t>Section 4.5</w:t>
            </w:r>
          </w:p>
        </w:tc>
        <w:tc>
          <w:tcPr>
            <w:tcW w:w="8740" w:type="dxa"/>
            <w:vAlign w:val="bottom"/>
          </w:tcPr>
          <w:p>
            <w:pPr>
              <w:ind w:left="320"/>
              <w:spacing w:after="0"/>
              <w:rPr>
                <w:sz w:val="20"/>
                <w:szCs w:val="20"/>
                <w:color w:val="auto"/>
              </w:rPr>
            </w:pPr>
            <w:r>
              <w:rPr>
                <w:rFonts w:ascii="Arial" w:cs="Arial" w:eastAsia="Arial" w:hAnsi="Arial"/>
                <w:sz w:val="20"/>
                <w:szCs w:val="20"/>
                <w:b w:val="1"/>
                <w:bCs w:val="1"/>
                <w:color w:val="auto"/>
              </w:rPr>
              <w:t>Compliance with Laws and Material Contracts</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49</w:t>
            </w:r>
          </w:p>
        </w:tc>
      </w:tr>
      <w:tr>
        <w:trPr>
          <w:trHeight w:val="446"/>
        </w:trPr>
        <w:tc>
          <w:tcPr>
            <w:tcW w:w="2180" w:type="dxa"/>
            <w:vAlign w:val="bottom"/>
          </w:tcPr>
          <w:p>
            <w:pPr>
              <w:ind w:left="880"/>
              <w:spacing w:after="0"/>
              <w:rPr>
                <w:sz w:val="20"/>
                <w:szCs w:val="20"/>
                <w:color w:val="auto"/>
              </w:rPr>
            </w:pPr>
            <w:r>
              <w:rPr>
                <w:rFonts w:ascii="Arial" w:cs="Arial" w:eastAsia="Arial" w:hAnsi="Arial"/>
                <w:sz w:val="20"/>
                <w:szCs w:val="20"/>
                <w:b w:val="1"/>
                <w:bCs w:val="1"/>
                <w:color w:val="auto"/>
              </w:rPr>
              <w:t>Section 4.6</w:t>
            </w:r>
          </w:p>
        </w:tc>
        <w:tc>
          <w:tcPr>
            <w:tcW w:w="8740" w:type="dxa"/>
            <w:vAlign w:val="bottom"/>
          </w:tcPr>
          <w:p>
            <w:pPr>
              <w:ind w:left="320"/>
              <w:spacing w:after="0"/>
              <w:rPr>
                <w:sz w:val="20"/>
                <w:szCs w:val="20"/>
                <w:color w:val="auto"/>
              </w:rPr>
            </w:pPr>
            <w:r>
              <w:rPr>
                <w:rFonts w:ascii="Arial" w:cs="Arial" w:eastAsia="Arial" w:hAnsi="Arial"/>
                <w:sz w:val="20"/>
                <w:szCs w:val="20"/>
                <w:b w:val="1"/>
                <w:bCs w:val="1"/>
                <w:color w:val="auto"/>
              </w:rPr>
              <w:t>Inspection of Property, Books and Records</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49</w:t>
            </w:r>
          </w:p>
        </w:tc>
      </w:tr>
      <w:tr>
        <w:trPr>
          <w:trHeight w:val="445"/>
        </w:trPr>
        <w:tc>
          <w:tcPr>
            <w:tcW w:w="2180" w:type="dxa"/>
            <w:vAlign w:val="bottom"/>
          </w:tcPr>
          <w:p>
            <w:pPr>
              <w:ind w:left="880"/>
              <w:spacing w:after="0"/>
              <w:rPr>
                <w:sz w:val="20"/>
                <w:szCs w:val="20"/>
                <w:color w:val="auto"/>
              </w:rPr>
            </w:pPr>
            <w:r>
              <w:rPr>
                <w:rFonts w:ascii="Arial" w:cs="Arial" w:eastAsia="Arial" w:hAnsi="Arial"/>
                <w:sz w:val="20"/>
                <w:szCs w:val="20"/>
                <w:b w:val="1"/>
                <w:bCs w:val="1"/>
                <w:color w:val="auto"/>
              </w:rPr>
              <w:t>Section 4.7</w:t>
            </w:r>
          </w:p>
        </w:tc>
        <w:tc>
          <w:tcPr>
            <w:tcW w:w="8740" w:type="dxa"/>
            <w:vAlign w:val="bottom"/>
          </w:tcPr>
          <w:p>
            <w:pPr>
              <w:ind w:left="320"/>
              <w:spacing w:after="0"/>
              <w:rPr>
                <w:sz w:val="20"/>
                <w:szCs w:val="20"/>
                <w:color w:val="auto"/>
              </w:rPr>
            </w:pPr>
            <w:r>
              <w:rPr>
                <w:rFonts w:ascii="Arial" w:cs="Arial" w:eastAsia="Arial" w:hAnsi="Arial"/>
                <w:sz w:val="20"/>
                <w:szCs w:val="20"/>
                <w:b w:val="1"/>
                <w:bCs w:val="1"/>
                <w:color w:val="auto"/>
              </w:rPr>
              <w:t>Use of Proceeds</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49</w:t>
            </w:r>
          </w:p>
        </w:tc>
      </w:tr>
      <w:tr>
        <w:trPr>
          <w:trHeight w:val="446"/>
        </w:trPr>
        <w:tc>
          <w:tcPr>
            <w:tcW w:w="2180" w:type="dxa"/>
            <w:vAlign w:val="bottom"/>
          </w:tcPr>
          <w:p>
            <w:pPr>
              <w:ind w:left="880"/>
              <w:spacing w:after="0"/>
              <w:rPr>
                <w:sz w:val="20"/>
                <w:szCs w:val="20"/>
                <w:color w:val="auto"/>
              </w:rPr>
            </w:pPr>
            <w:r>
              <w:rPr>
                <w:rFonts w:ascii="Arial" w:cs="Arial" w:eastAsia="Arial" w:hAnsi="Arial"/>
                <w:sz w:val="20"/>
                <w:szCs w:val="20"/>
                <w:b w:val="1"/>
                <w:bCs w:val="1"/>
                <w:color w:val="auto"/>
              </w:rPr>
              <w:t>Section 4.8</w:t>
            </w:r>
          </w:p>
        </w:tc>
        <w:tc>
          <w:tcPr>
            <w:tcW w:w="8740" w:type="dxa"/>
            <w:vAlign w:val="bottom"/>
          </w:tcPr>
          <w:p>
            <w:pPr>
              <w:ind w:left="320"/>
              <w:spacing w:after="0"/>
              <w:rPr>
                <w:sz w:val="20"/>
                <w:szCs w:val="20"/>
                <w:color w:val="auto"/>
              </w:rPr>
            </w:pPr>
            <w:r>
              <w:rPr>
                <w:rFonts w:ascii="Arial" w:cs="Arial" w:eastAsia="Arial" w:hAnsi="Arial"/>
                <w:sz w:val="20"/>
                <w:szCs w:val="20"/>
                <w:b w:val="1"/>
                <w:bCs w:val="1"/>
                <w:color w:val="auto"/>
              </w:rPr>
              <w:t>Estoppel Certificates</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49</w:t>
            </w:r>
          </w:p>
        </w:tc>
      </w:tr>
      <w:tr>
        <w:trPr>
          <w:trHeight w:val="445"/>
        </w:trPr>
        <w:tc>
          <w:tcPr>
            <w:tcW w:w="2180" w:type="dxa"/>
            <w:vAlign w:val="bottom"/>
          </w:tcPr>
          <w:p>
            <w:pPr>
              <w:ind w:left="880"/>
              <w:spacing w:after="0"/>
              <w:rPr>
                <w:sz w:val="20"/>
                <w:szCs w:val="20"/>
                <w:color w:val="auto"/>
              </w:rPr>
            </w:pPr>
            <w:r>
              <w:rPr>
                <w:rFonts w:ascii="Arial" w:cs="Arial" w:eastAsia="Arial" w:hAnsi="Arial"/>
                <w:sz w:val="20"/>
                <w:szCs w:val="20"/>
                <w:b w:val="1"/>
                <w:bCs w:val="1"/>
                <w:color w:val="auto"/>
              </w:rPr>
              <w:t>Section 4.9</w:t>
            </w:r>
          </w:p>
        </w:tc>
        <w:tc>
          <w:tcPr>
            <w:tcW w:w="8740" w:type="dxa"/>
            <w:vAlign w:val="bottom"/>
          </w:tcPr>
          <w:p>
            <w:pPr>
              <w:ind w:left="320"/>
              <w:spacing w:after="0"/>
              <w:rPr>
                <w:sz w:val="20"/>
                <w:szCs w:val="20"/>
                <w:color w:val="auto"/>
              </w:rPr>
            </w:pPr>
            <w:r>
              <w:rPr>
                <w:rFonts w:ascii="Arial" w:cs="Arial" w:eastAsia="Arial" w:hAnsi="Arial"/>
                <w:sz w:val="20"/>
                <w:szCs w:val="20"/>
                <w:b w:val="1"/>
                <w:bCs w:val="1"/>
                <w:color w:val="auto"/>
              </w:rPr>
              <w:t>Notices of Material Contracts, Litigation and Defaults.</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50</w:t>
            </w:r>
          </w:p>
        </w:tc>
      </w:tr>
      <w:tr>
        <w:trPr>
          <w:trHeight w:val="419"/>
        </w:trPr>
        <w:tc>
          <w:tcPr>
            <w:tcW w:w="2180" w:type="dxa"/>
            <w:vAlign w:val="bottom"/>
          </w:tcPr>
          <w:p>
            <w:pPr>
              <w:ind w:left="880"/>
              <w:spacing w:after="0"/>
              <w:rPr>
                <w:sz w:val="20"/>
                <w:szCs w:val="20"/>
                <w:color w:val="auto"/>
              </w:rPr>
            </w:pPr>
            <w:r>
              <w:rPr>
                <w:rFonts w:ascii="Arial" w:cs="Arial" w:eastAsia="Arial" w:hAnsi="Arial"/>
                <w:sz w:val="20"/>
                <w:szCs w:val="20"/>
                <w:b w:val="1"/>
                <w:bCs w:val="1"/>
                <w:color w:val="auto"/>
              </w:rPr>
              <w:t>Section 4.10</w:t>
            </w:r>
          </w:p>
        </w:tc>
        <w:tc>
          <w:tcPr>
            <w:tcW w:w="8740" w:type="dxa"/>
            <w:vAlign w:val="bottom"/>
          </w:tcPr>
          <w:p>
            <w:pPr>
              <w:ind w:left="320"/>
              <w:spacing w:after="0"/>
              <w:rPr>
                <w:sz w:val="20"/>
                <w:szCs w:val="20"/>
                <w:color w:val="auto"/>
              </w:rPr>
            </w:pPr>
            <w:r>
              <w:rPr>
                <w:rFonts w:ascii="Arial" w:cs="Arial" w:eastAsia="Arial" w:hAnsi="Arial"/>
                <w:sz w:val="20"/>
                <w:szCs w:val="20"/>
                <w:b w:val="1"/>
                <w:bCs w:val="1"/>
                <w:color w:val="auto"/>
                <w:w w:val="92"/>
              </w:rPr>
              <w:t>Hazardous Materials; Remediation. If any release or disposal of Hazardous Materials shall occur</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50</w:t>
            </w:r>
          </w:p>
        </w:tc>
      </w:tr>
      <w:tr>
        <w:trPr>
          <w:trHeight w:val="230"/>
        </w:trPr>
        <w:tc>
          <w:tcPr>
            <w:tcW w:w="2180" w:type="dxa"/>
            <w:vAlign w:val="bottom"/>
          </w:tcPr>
          <w:p>
            <w:pPr>
              <w:spacing w:after="0"/>
              <w:rPr>
                <w:sz w:val="19"/>
                <w:szCs w:val="19"/>
                <w:color w:val="auto"/>
              </w:rPr>
            </w:pPr>
          </w:p>
        </w:tc>
        <w:tc>
          <w:tcPr>
            <w:tcW w:w="8740" w:type="dxa"/>
            <w:vAlign w:val="bottom"/>
          </w:tcPr>
          <w:p>
            <w:pPr>
              <w:ind w:left="320"/>
              <w:spacing w:after="0"/>
              <w:rPr>
                <w:sz w:val="20"/>
                <w:szCs w:val="20"/>
                <w:color w:val="auto"/>
              </w:rPr>
            </w:pPr>
            <w:r>
              <w:rPr>
                <w:rFonts w:ascii="Arial" w:cs="Arial" w:eastAsia="Arial" w:hAnsi="Arial"/>
                <w:sz w:val="20"/>
                <w:szCs w:val="20"/>
                <w:b w:val="1"/>
                <w:bCs w:val="1"/>
                <w:color w:val="auto"/>
                <w:w w:val="90"/>
              </w:rPr>
              <w:t>or shall have occurred on any real property owned or leased by a Credit Party or any other assets</w:t>
            </w:r>
          </w:p>
        </w:tc>
        <w:tc>
          <w:tcPr>
            <w:tcW w:w="320" w:type="dxa"/>
            <w:vAlign w:val="bottom"/>
          </w:tcPr>
          <w:p>
            <w:pPr>
              <w:spacing w:after="0"/>
              <w:rPr>
                <w:sz w:val="19"/>
                <w:szCs w:val="19"/>
                <w:color w:val="auto"/>
              </w:rPr>
            </w:pPr>
          </w:p>
        </w:tc>
      </w:tr>
      <w:tr>
        <w:trPr>
          <w:trHeight w:val="229"/>
        </w:trPr>
        <w:tc>
          <w:tcPr>
            <w:tcW w:w="2180" w:type="dxa"/>
            <w:vAlign w:val="bottom"/>
          </w:tcPr>
          <w:p>
            <w:pPr>
              <w:spacing w:after="0"/>
              <w:rPr>
                <w:sz w:val="19"/>
                <w:szCs w:val="19"/>
                <w:color w:val="auto"/>
              </w:rPr>
            </w:pPr>
          </w:p>
        </w:tc>
        <w:tc>
          <w:tcPr>
            <w:tcW w:w="8740" w:type="dxa"/>
            <w:vAlign w:val="bottom"/>
          </w:tcPr>
          <w:p>
            <w:pPr>
              <w:ind w:left="320"/>
              <w:spacing w:after="0"/>
              <w:rPr>
                <w:sz w:val="20"/>
                <w:szCs w:val="20"/>
                <w:color w:val="auto"/>
              </w:rPr>
            </w:pPr>
            <w:r>
              <w:rPr>
                <w:rFonts w:ascii="Arial" w:cs="Arial" w:eastAsia="Arial" w:hAnsi="Arial"/>
                <w:sz w:val="20"/>
                <w:szCs w:val="20"/>
                <w:b w:val="1"/>
                <w:bCs w:val="1"/>
                <w:color w:val="auto"/>
                <w:w w:val="95"/>
              </w:rPr>
              <w:t>of any Borrower or any other Credit Party, such Borrower will cause, or direct the applicable</w:t>
            </w:r>
          </w:p>
        </w:tc>
        <w:tc>
          <w:tcPr>
            <w:tcW w:w="320" w:type="dxa"/>
            <w:vAlign w:val="bottom"/>
          </w:tcPr>
          <w:p>
            <w:pPr>
              <w:spacing w:after="0"/>
              <w:rPr>
                <w:sz w:val="19"/>
                <w:szCs w:val="19"/>
                <w:color w:val="auto"/>
              </w:rPr>
            </w:pPr>
          </w:p>
        </w:tc>
      </w:tr>
      <w:tr>
        <w:trPr>
          <w:trHeight w:val="230"/>
        </w:trPr>
        <w:tc>
          <w:tcPr>
            <w:tcW w:w="2180" w:type="dxa"/>
            <w:vAlign w:val="bottom"/>
          </w:tcPr>
          <w:p>
            <w:pPr>
              <w:spacing w:after="0"/>
              <w:rPr>
                <w:sz w:val="19"/>
                <w:szCs w:val="19"/>
                <w:color w:val="auto"/>
              </w:rPr>
            </w:pPr>
          </w:p>
        </w:tc>
        <w:tc>
          <w:tcPr>
            <w:tcW w:w="8740" w:type="dxa"/>
            <w:vAlign w:val="bottom"/>
          </w:tcPr>
          <w:p>
            <w:pPr>
              <w:ind w:left="320"/>
              <w:spacing w:after="0"/>
              <w:rPr>
                <w:sz w:val="20"/>
                <w:szCs w:val="20"/>
                <w:color w:val="auto"/>
              </w:rPr>
            </w:pPr>
            <w:r>
              <w:rPr>
                <w:rFonts w:ascii="Arial" w:cs="Arial" w:eastAsia="Arial" w:hAnsi="Arial"/>
                <w:sz w:val="20"/>
                <w:szCs w:val="20"/>
                <w:b w:val="1"/>
                <w:bCs w:val="1"/>
                <w:color w:val="auto"/>
                <w:w w:val="91"/>
              </w:rPr>
              <w:t>Credit Party to cause, the prompt containment and removal of such Hazardous Materials and the</w:t>
            </w:r>
          </w:p>
        </w:tc>
        <w:tc>
          <w:tcPr>
            <w:tcW w:w="320" w:type="dxa"/>
            <w:vAlign w:val="bottom"/>
          </w:tcPr>
          <w:p>
            <w:pPr>
              <w:spacing w:after="0"/>
              <w:rPr>
                <w:sz w:val="19"/>
                <w:szCs w:val="19"/>
                <w:color w:val="auto"/>
              </w:rPr>
            </w:pPr>
          </w:p>
        </w:tc>
      </w:tr>
      <w:tr>
        <w:trPr>
          <w:trHeight w:val="229"/>
        </w:trPr>
        <w:tc>
          <w:tcPr>
            <w:tcW w:w="2180" w:type="dxa"/>
            <w:vAlign w:val="bottom"/>
          </w:tcPr>
          <w:p>
            <w:pPr>
              <w:spacing w:after="0"/>
              <w:rPr>
                <w:sz w:val="19"/>
                <w:szCs w:val="19"/>
                <w:color w:val="auto"/>
              </w:rPr>
            </w:pPr>
          </w:p>
        </w:tc>
        <w:tc>
          <w:tcPr>
            <w:tcW w:w="8740" w:type="dxa"/>
            <w:vAlign w:val="bottom"/>
          </w:tcPr>
          <w:p>
            <w:pPr>
              <w:ind w:left="320"/>
              <w:spacing w:after="0"/>
              <w:rPr>
                <w:sz w:val="20"/>
                <w:szCs w:val="20"/>
                <w:color w:val="auto"/>
              </w:rPr>
            </w:pPr>
            <w:r>
              <w:rPr>
                <w:rFonts w:ascii="Arial" w:cs="Arial" w:eastAsia="Arial" w:hAnsi="Arial"/>
                <w:sz w:val="20"/>
                <w:szCs w:val="20"/>
                <w:b w:val="1"/>
                <w:bCs w:val="1"/>
                <w:color w:val="auto"/>
                <w:w w:val="98"/>
              </w:rPr>
              <w:t>remediation of such real property or other assets to the extent required to comply with all</w:t>
            </w:r>
          </w:p>
        </w:tc>
        <w:tc>
          <w:tcPr>
            <w:tcW w:w="320" w:type="dxa"/>
            <w:vAlign w:val="bottom"/>
          </w:tcPr>
          <w:p>
            <w:pPr>
              <w:spacing w:after="0"/>
              <w:rPr>
                <w:sz w:val="19"/>
                <w:szCs w:val="19"/>
                <w:color w:val="auto"/>
              </w:rPr>
            </w:pPr>
          </w:p>
        </w:tc>
      </w:tr>
      <w:tr>
        <w:trPr>
          <w:trHeight w:val="229"/>
        </w:trPr>
        <w:tc>
          <w:tcPr>
            <w:tcW w:w="2180" w:type="dxa"/>
            <w:vAlign w:val="bottom"/>
          </w:tcPr>
          <w:p>
            <w:pPr>
              <w:spacing w:after="0"/>
              <w:rPr>
                <w:sz w:val="19"/>
                <w:szCs w:val="19"/>
                <w:color w:val="auto"/>
              </w:rPr>
            </w:pPr>
          </w:p>
        </w:tc>
        <w:tc>
          <w:tcPr>
            <w:tcW w:w="8740" w:type="dxa"/>
            <w:vAlign w:val="bottom"/>
          </w:tcPr>
          <w:p>
            <w:pPr>
              <w:ind w:left="320"/>
              <w:spacing w:after="0"/>
              <w:rPr>
                <w:sz w:val="20"/>
                <w:szCs w:val="20"/>
                <w:color w:val="auto"/>
              </w:rPr>
            </w:pPr>
            <w:r>
              <w:rPr>
                <w:rFonts w:ascii="Arial" w:cs="Arial" w:eastAsia="Arial" w:hAnsi="Arial"/>
                <w:sz w:val="20"/>
                <w:szCs w:val="20"/>
                <w:b w:val="1"/>
                <w:bCs w:val="1"/>
                <w:color w:val="auto"/>
                <w:w w:val="93"/>
              </w:rPr>
              <w:t>applicable Environmental Laws and to preserve the value of such real property or other assets</w:t>
            </w:r>
          </w:p>
        </w:tc>
        <w:tc>
          <w:tcPr>
            <w:tcW w:w="320" w:type="dxa"/>
            <w:vAlign w:val="bottom"/>
          </w:tcPr>
          <w:p>
            <w:pPr>
              <w:spacing w:after="0"/>
              <w:rPr>
                <w:sz w:val="19"/>
                <w:szCs w:val="19"/>
                <w:color w:val="auto"/>
              </w:rPr>
            </w:pPr>
          </w:p>
        </w:tc>
      </w:tr>
      <w:tr>
        <w:trPr>
          <w:trHeight w:val="230"/>
        </w:trPr>
        <w:tc>
          <w:tcPr>
            <w:tcW w:w="2180" w:type="dxa"/>
            <w:vAlign w:val="bottom"/>
          </w:tcPr>
          <w:p>
            <w:pPr>
              <w:spacing w:after="0"/>
              <w:rPr>
                <w:sz w:val="19"/>
                <w:szCs w:val="19"/>
                <w:color w:val="auto"/>
              </w:rPr>
            </w:pPr>
          </w:p>
        </w:tc>
        <w:tc>
          <w:tcPr>
            <w:tcW w:w="8740" w:type="dxa"/>
            <w:vAlign w:val="bottom"/>
          </w:tcPr>
          <w:p>
            <w:pPr>
              <w:ind w:left="320"/>
              <w:spacing w:after="0"/>
              <w:rPr>
                <w:sz w:val="20"/>
                <w:szCs w:val="20"/>
                <w:color w:val="auto"/>
              </w:rPr>
            </w:pPr>
            <w:r>
              <w:rPr>
                <w:rFonts w:ascii="Arial" w:cs="Arial" w:eastAsia="Arial" w:hAnsi="Arial"/>
                <w:sz w:val="20"/>
                <w:szCs w:val="20"/>
                <w:b w:val="1"/>
                <w:bCs w:val="1"/>
                <w:color w:val="auto"/>
                <w:w w:val="97"/>
              </w:rPr>
              <w:t>except as would not reasonably be expected to result in a Material Adverse Effect.  Without</w:t>
            </w:r>
          </w:p>
        </w:tc>
        <w:tc>
          <w:tcPr>
            <w:tcW w:w="320" w:type="dxa"/>
            <w:vAlign w:val="bottom"/>
          </w:tcPr>
          <w:p>
            <w:pPr>
              <w:spacing w:after="0"/>
              <w:rPr>
                <w:sz w:val="19"/>
                <w:szCs w:val="19"/>
                <w:color w:val="auto"/>
              </w:rPr>
            </w:pPr>
          </w:p>
        </w:tc>
      </w:tr>
      <w:tr>
        <w:trPr>
          <w:trHeight w:val="229"/>
        </w:trPr>
        <w:tc>
          <w:tcPr>
            <w:tcW w:w="2180" w:type="dxa"/>
            <w:vAlign w:val="bottom"/>
          </w:tcPr>
          <w:p>
            <w:pPr>
              <w:spacing w:after="0"/>
              <w:rPr>
                <w:sz w:val="19"/>
                <w:szCs w:val="19"/>
                <w:color w:val="auto"/>
              </w:rPr>
            </w:pPr>
          </w:p>
        </w:tc>
        <w:tc>
          <w:tcPr>
            <w:tcW w:w="8740" w:type="dxa"/>
            <w:vAlign w:val="bottom"/>
          </w:tcPr>
          <w:p>
            <w:pPr>
              <w:ind w:left="320"/>
              <w:spacing w:after="0"/>
              <w:rPr>
                <w:sz w:val="20"/>
                <w:szCs w:val="20"/>
                <w:color w:val="auto"/>
              </w:rPr>
            </w:pPr>
            <w:r>
              <w:rPr>
                <w:rFonts w:ascii="Arial" w:cs="Arial" w:eastAsia="Arial" w:hAnsi="Arial"/>
                <w:sz w:val="20"/>
                <w:szCs w:val="20"/>
                <w:b w:val="1"/>
                <w:bCs w:val="1"/>
                <w:color w:val="auto"/>
                <w:w w:val="93"/>
              </w:rPr>
              <w:t>limiting the generality of the foregoing, each Borrower shall, and shall cause each other Credit</w:t>
            </w:r>
          </w:p>
        </w:tc>
        <w:tc>
          <w:tcPr>
            <w:tcW w:w="320" w:type="dxa"/>
            <w:vAlign w:val="bottom"/>
          </w:tcPr>
          <w:p>
            <w:pPr>
              <w:spacing w:after="0"/>
              <w:rPr>
                <w:sz w:val="19"/>
                <w:szCs w:val="19"/>
                <w:color w:val="auto"/>
              </w:rPr>
            </w:pPr>
          </w:p>
        </w:tc>
      </w:tr>
      <w:tr>
        <w:trPr>
          <w:trHeight w:val="230"/>
        </w:trPr>
        <w:tc>
          <w:tcPr>
            <w:tcW w:w="2180" w:type="dxa"/>
            <w:vAlign w:val="bottom"/>
          </w:tcPr>
          <w:p>
            <w:pPr>
              <w:spacing w:after="0"/>
              <w:rPr>
                <w:sz w:val="19"/>
                <w:szCs w:val="19"/>
                <w:color w:val="auto"/>
              </w:rPr>
            </w:pPr>
          </w:p>
        </w:tc>
        <w:tc>
          <w:tcPr>
            <w:tcW w:w="8740" w:type="dxa"/>
            <w:vAlign w:val="bottom"/>
          </w:tcPr>
          <w:p>
            <w:pPr>
              <w:ind w:left="320"/>
              <w:spacing w:after="0"/>
              <w:rPr>
                <w:sz w:val="20"/>
                <w:szCs w:val="20"/>
                <w:color w:val="auto"/>
              </w:rPr>
            </w:pPr>
            <w:r>
              <w:rPr>
                <w:rFonts w:ascii="Arial" w:cs="Arial" w:eastAsia="Arial" w:hAnsi="Arial"/>
                <w:sz w:val="20"/>
                <w:szCs w:val="20"/>
                <w:b w:val="1"/>
                <w:bCs w:val="1"/>
                <w:color w:val="auto"/>
                <w:w w:val="91"/>
              </w:rPr>
              <w:t>Party to, comply with each Environmental Law requiring the performance at any real property by</w:t>
            </w:r>
          </w:p>
        </w:tc>
        <w:tc>
          <w:tcPr>
            <w:tcW w:w="320" w:type="dxa"/>
            <w:vAlign w:val="bottom"/>
          </w:tcPr>
          <w:p>
            <w:pPr>
              <w:spacing w:after="0"/>
              <w:rPr>
                <w:sz w:val="19"/>
                <w:szCs w:val="19"/>
                <w:color w:val="auto"/>
              </w:rPr>
            </w:pPr>
          </w:p>
        </w:tc>
      </w:tr>
      <w:tr>
        <w:trPr>
          <w:trHeight w:val="230"/>
        </w:trPr>
        <w:tc>
          <w:tcPr>
            <w:tcW w:w="2180" w:type="dxa"/>
            <w:vAlign w:val="bottom"/>
          </w:tcPr>
          <w:p>
            <w:pPr>
              <w:spacing w:after="0"/>
              <w:rPr>
                <w:sz w:val="19"/>
                <w:szCs w:val="19"/>
                <w:color w:val="auto"/>
              </w:rPr>
            </w:pPr>
          </w:p>
        </w:tc>
        <w:tc>
          <w:tcPr>
            <w:tcW w:w="8740" w:type="dxa"/>
            <w:vAlign w:val="bottom"/>
          </w:tcPr>
          <w:p>
            <w:pPr>
              <w:ind w:left="320"/>
              <w:spacing w:after="0"/>
              <w:rPr>
                <w:sz w:val="20"/>
                <w:szCs w:val="20"/>
                <w:color w:val="auto"/>
              </w:rPr>
            </w:pPr>
            <w:r>
              <w:rPr>
                <w:rFonts w:ascii="Arial" w:cs="Arial" w:eastAsia="Arial" w:hAnsi="Arial"/>
                <w:sz w:val="20"/>
                <w:szCs w:val="20"/>
                <w:b w:val="1"/>
                <w:bCs w:val="1"/>
                <w:color w:val="auto"/>
                <w:w w:val="95"/>
              </w:rPr>
              <w:t>any Credit Party of activities in response to the release or threatened release of a Hazardous</w:t>
            </w:r>
          </w:p>
        </w:tc>
        <w:tc>
          <w:tcPr>
            <w:tcW w:w="320" w:type="dxa"/>
            <w:vAlign w:val="bottom"/>
          </w:tcPr>
          <w:p>
            <w:pPr>
              <w:spacing w:after="0"/>
              <w:rPr>
                <w:sz w:val="19"/>
                <w:szCs w:val="19"/>
                <w:color w:val="auto"/>
              </w:rPr>
            </w:pPr>
          </w:p>
        </w:tc>
      </w:tr>
      <w:tr>
        <w:trPr>
          <w:trHeight w:val="256"/>
        </w:trPr>
        <w:tc>
          <w:tcPr>
            <w:tcW w:w="2180" w:type="dxa"/>
            <w:vAlign w:val="bottom"/>
          </w:tcPr>
          <w:p>
            <w:pPr>
              <w:spacing w:after="0"/>
              <w:rPr>
                <w:sz w:val="22"/>
                <w:szCs w:val="22"/>
                <w:color w:val="auto"/>
              </w:rPr>
            </w:pPr>
          </w:p>
        </w:tc>
        <w:tc>
          <w:tcPr>
            <w:tcW w:w="8740" w:type="dxa"/>
            <w:vAlign w:val="bottom"/>
          </w:tcPr>
          <w:p>
            <w:pPr>
              <w:ind w:left="320"/>
              <w:spacing w:after="0"/>
              <w:rPr>
                <w:sz w:val="20"/>
                <w:szCs w:val="20"/>
                <w:color w:val="auto"/>
              </w:rPr>
            </w:pPr>
            <w:r>
              <w:rPr>
                <w:rFonts w:ascii="Arial" w:cs="Arial" w:eastAsia="Arial" w:hAnsi="Arial"/>
                <w:sz w:val="20"/>
                <w:szCs w:val="20"/>
                <w:b w:val="1"/>
                <w:bCs w:val="1"/>
                <w:color w:val="auto"/>
              </w:rPr>
              <w:t>Material except as would not reasonably be expected to have a Material Adverse Effect.</w:t>
            </w:r>
          </w:p>
        </w:tc>
        <w:tc>
          <w:tcPr>
            <w:tcW w:w="320" w:type="dxa"/>
            <w:vAlign w:val="bottom"/>
          </w:tcPr>
          <w:p>
            <w:pPr>
              <w:spacing w:after="0"/>
              <w:rPr>
                <w:sz w:val="22"/>
                <w:szCs w:val="22"/>
                <w:color w:val="auto"/>
              </w:rPr>
            </w:pPr>
          </w:p>
        </w:tc>
      </w:tr>
      <w:tr>
        <w:trPr>
          <w:trHeight w:val="446"/>
        </w:trPr>
        <w:tc>
          <w:tcPr>
            <w:tcW w:w="2180" w:type="dxa"/>
            <w:vAlign w:val="bottom"/>
          </w:tcPr>
          <w:p>
            <w:pPr>
              <w:ind w:left="880"/>
              <w:spacing w:after="0"/>
              <w:rPr>
                <w:sz w:val="20"/>
                <w:szCs w:val="20"/>
                <w:color w:val="auto"/>
              </w:rPr>
            </w:pPr>
            <w:r>
              <w:rPr>
                <w:rFonts w:ascii="Arial" w:cs="Arial" w:eastAsia="Arial" w:hAnsi="Arial"/>
                <w:sz w:val="20"/>
                <w:szCs w:val="20"/>
                <w:b w:val="1"/>
                <w:bCs w:val="1"/>
                <w:color w:val="auto"/>
              </w:rPr>
              <w:t>Section 4.11</w:t>
            </w:r>
          </w:p>
        </w:tc>
        <w:tc>
          <w:tcPr>
            <w:tcW w:w="8740" w:type="dxa"/>
            <w:vAlign w:val="bottom"/>
          </w:tcPr>
          <w:p>
            <w:pPr>
              <w:ind w:left="320"/>
              <w:spacing w:after="0"/>
              <w:rPr>
                <w:sz w:val="20"/>
                <w:szCs w:val="20"/>
                <w:color w:val="auto"/>
              </w:rPr>
            </w:pPr>
            <w:r>
              <w:rPr>
                <w:rFonts w:ascii="Arial" w:cs="Arial" w:eastAsia="Arial" w:hAnsi="Arial"/>
                <w:sz w:val="20"/>
                <w:szCs w:val="20"/>
                <w:b w:val="1"/>
                <w:bCs w:val="1"/>
                <w:color w:val="auto"/>
              </w:rPr>
              <w:t>Further Assurances.</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51</w:t>
            </w:r>
          </w:p>
        </w:tc>
      </w:tr>
      <w:tr>
        <w:trPr>
          <w:trHeight w:val="445"/>
        </w:trPr>
        <w:tc>
          <w:tcPr>
            <w:tcW w:w="2180" w:type="dxa"/>
            <w:vAlign w:val="bottom"/>
          </w:tcPr>
          <w:p>
            <w:pPr>
              <w:ind w:left="880"/>
              <w:spacing w:after="0"/>
              <w:rPr>
                <w:sz w:val="20"/>
                <w:szCs w:val="20"/>
                <w:color w:val="auto"/>
              </w:rPr>
            </w:pPr>
            <w:r>
              <w:rPr>
                <w:rFonts w:ascii="Arial" w:cs="Arial" w:eastAsia="Arial" w:hAnsi="Arial"/>
                <w:sz w:val="20"/>
                <w:szCs w:val="20"/>
                <w:b w:val="1"/>
                <w:bCs w:val="1"/>
                <w:color w:val="auto"/>
              </w:rPr>
              <w:t>Section 4.12</w:t>
            </w:r>
          </w:p>
        </w:tc>
        <w:tc>
          <w:tcPr>
            <w:tcW w:w="8740" w:type="dxa"/>
            <w:vAlign w:val="bottom"/>
          </w:tcPr>
          <w:p>
            <w:pPr>
              <w:ind w:left="320"/>
              <w:spacing w:after="0"/>
              <w:rPr>
                <w:sz w:val="20"/>
                <w:szCs w:val="20"/>
                <w:color w:val="auto"/>
              </w:rPr>
            </w:pPr>
            <w:r>
              <w:rPr>
                <w:rFonts w:ascii="Arial" w:cs="Arial" w:eastAsia="Arial" w:hAnsi="Arial"/>
                <w:sz w:val="20"/>
                <w:szCs w:val="20"/>
                <w:b w:val="1"/>
                <w:bCs w:val="1"/>
                <w:color w:val="auto"/>
              </w:rPr>
              <w:t>Reserved</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52</w:t>
            </w:r>
          </w:p>
        </w:tc>
      </w:tr>
      <w:tr>
        <w:trPr>
          <w:trHeight w:val="445"/>
        </w:trPr>
        <w:tc>
          <w:tcPr>
            <w:tcW w:w="2180" w:type="dxa"/>
            <w:vAlign w:val="bottom"/>
          </w:tcPr>
          <w:p>
            <w:pPr>
              <w:ind w:left="880"/>
              <w:spacing w:after="0"/>
              <w:rPr>
                <w:sz w:val="20"/>
                <w:szCs w:val="20"/>
                <w:color w:val="auto"/>
              </w:rPr>
            </w:pPr>
            <w:r>
              <w:rPr>
                <w:rFonts w:ascii="Arial" w:cs="Arial" w:eastAsia="Arial" w:hAnsi="Arial"/>
                <w:sz w:val="20"/>
                <w:szCs w:val="20"/>
                <w:b w:val="1"/>
                <w:bCs w:val="1"/>
                <w:color w:val="auto"/>
              </w:rPr>
              <w:t>Section 4.13</w:t>
            </w:r>
          </w:p>
        </w:tc>
        <w:tc>
          <w:tcPr>
            <w:tcW w:w="8740" w:type="dxa"/>
            <w:vAlign w:val="bottom"/>
          </w:tcPr>
          <w:p>
            <w:pPr>
              <w:ind w:left="320"/>
              <w:spacing w:after="0"/>
              <w:rPr>
                <w:sz w:val="20"/>
                <w:szCs w:val="20"/>
                <w:color w:val="auto"/>
              </w:rPr>
            </w:pPr>
            <w:r>
              <w:rPr>
                <w:rFonts w:ascii="Arial" w:cs="Arial" w:eastAsia="Arial" w:hAnsi="Arial"/>
                <w:sz w:val="20"/>
                <w:szCs w:val="20"/>
                <w:b w:val="1"/>
                <w:bCs w:val="1"/>
                <w:color w:val="auto"/>
              </w:rPr>
              <w:t>Power of Attorney</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52</w:t>
            </w:r>
          </w:p>
        </w:tc>
      </w:tr>
      <w:tr>
        <w:trPr>
          <w:trHeight w:val="445"/>
        </w:trPr>
        <w:tc>
          <w:tcPr>
            <w:tcW w:w="2180" w:type="dxa"/>
            <w:vAlign w:val="bottom"/>
          </w:tcPr>
          <w:p>
            <w:pPr>
              <w:ind w:left="880"/>
              <w:spacing w:after="0"/>
              <w:rPr>
                <w:sz w:val="20"/>
                <w:szCs w:val="20"/>
                <w:color w:val="auto"/>
              </w:rPr>
            </w:pPr>
            <w:r>
              <w:rPr>
                <w:rFonts w:ascii="Arial" w:cs="Arial" w:eastAsia="Arial" w:hAnsi="Arial"/>
                <w:sz w:val="20"/>
                <w:szCs w:val="20"/>
                <w:b w:val="1"/>
                <w:bCs w:val="1"/>
                <w:color w:val="auto"/>
              </w:rPr>
              <w:t>Section 4.14</w:t>
            </w:r>
          </w:p>
        </w:tc>
        <w:tc>
          <w:tcPr>
            <w:tcW w:w="8740" w:type="dxa"/>
            <w:vAlign w:val="bottom"/>
          </w:tcPr>
          <w:p>
            <w:pPr>
              <w:ind w:left="320"/>
              <w:spacing w:after="0"/>
              <w:rPr>
                <w:sz w:val="20"/>
                <w:szCs w:val="20"/>
                <w:color w:val="auto"/>
              </w:rPr>
            </w:pPr>
            <w:r>
              <w:rPr>
                <w:rFonts w:ascii="Arial" w:cs="Arial" w:eastAsia="Arial" w:hAnsi="Arial"/>
                <w:sz w:val="20"/>
                <w:szCs w:val="20"/>
                <w:b w:val="1"/>
                <w:bCs w:val="1"/>
                <w:color w:val="auto"/>
              </w:rPr>
              <w:t>Reserved</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53</w:t>
            </w:r>
          </w:p>
        </w:tc>
      </w:tr>
      <w:tr>
        <w:trPr>
          <w:trHeight w:val="445"/>
        </w:trPr>
        <w:tc>
          <w:tcPr>
            <w:tcW w:w="2180" w:type="dxa"/>
            <w:vAlign w:val="bottom"/>
          </w:tcPr>
          <w:p>
            <w:pPr>
              <w:ind w:left="880"/>
              <w:spacing w:after="0"/>
              <w:rPr>
                <w:sz w:val="20"/>
                <w:szCs w:val="20"/>
                <w:color w:val="auto"/>
              </w:rPr>
            </w:pPr>
            <w:r>
              <w:rPr>
                <w:rFonts w:ascii="Arial" w:cs="Arial" w:eastAsia="Arial" w:hAnsi="Arial"/>
                <w:sz w:val="20"/>
                <w:szCs w:val="20"/>
                <w:b w:val="1"/>
                <w:bCs w:val="1"/>
                <w:color w:val="auto"/>
              </w:rPr>
              <w:t>Section 4.15</w:t>
            </w:r>
          </w:p>
        </w:tc>
        <w:tc>
          <w:tcPr>
            <w:tcW w:w="8740" w:type="dxa"/>
            <w:vAlign w:val="bottom"/>
          </w:tcPr>
          <w:p>
            <w:pPr>
              <w:ind w:left="320"/>
              <w:spacing w:after="0"/>
              <w:rPr>
                <w:sz w:val="20"/>
                <w:szCs w:val="20"/>
                <w:color w:val="auto"/>
              </w:rPr>
            </w:pPr>
            <w:r>
              <w:rPr>
                <w:rFonts w:ascii="Arial" w:cs="Arial" w:eastAsia="Arial" w:hAnsi="Arial"/>
                <w:sz w:val="20"/>
                <w:szCs w:val="20"/>
                <w:b w:val="1"/>
                <w:bCs w:val="1"/>
                <w:color w:val="auto"/>
              </w:rPr>
              <w:t>Schedule Updates</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53</w:t>
            </w:r>
          </w:p>
        </w:tc>
      </w:tr>
      <w:tr>
        <w:trPr>
          <w:trHeight w:val="445"/>
        </w:trPr>
        <w:tc>
          <w:tcPr>
            <w:tcW w:w="2180" w:type="dxa"/>
            <w:vAlign w:val="bottom"/>
          </w:tcPr>
          <w:p>
            <w:pPr>
              <w:ind w:left="880"/>
              <w:spacing w:after="0"/>
              <w:rPr>
                <w:sz w:val="20"/>
                <w:szCs w:val="20"/>
                <w:color w:val="auto"/>
              </w:rPr>
            </w:pPr>
            <w:r>
              <w:rPr>
                <w:rFonts w:ascii="Arial" w:cs="Arial" w:eastAsia="Arial" w:hAnsi="Arial"/>
                <w:sz w:val="20"/>
                <w:szCs w:val="20"/>
                <w:b w:val="1"/>
                <w:bCs w:val="1"/>
                <w:color w:val="auto"/>
              </w:rPr>
              <w:t>Section 4.16</w:t>
            </w:r>
          </w:p>
        </w:tc>
        <w:tc>
          <w:tcPr>
            <w:tcW w:w="8740" w:type="dxa"/>
            <w:vAlign w:val="bottom"/>
          </w:tcPr>
          <w:p>
            <w:pPr>
              <w:ind w:left="320"/>
              <w:spacing w:after="0"/>
              <w:rPr>
                <w:sz w:val="20"/>
                <w:szCs w:val="20"/>
                <w:color w:val="auto"/>
              </w:rPr>
            </w:pPr>
            <w:r>
              <w:rPr>
                <w:rFonts w:ascii="Arial" w:cs="Arial" w:eastAsia="Arial" w:hAnsi="Arial"/>
                <w:sz w:val="20"/>
                <w:szCs w:val="20"/>
                <w:b w:val="1"/>
                <w:bCs w:val="1"/>
                <w:color w:val="auto"/>
              </w:rPr>
              <w:t>Intellectual Property and Licensing</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53</w:t>
            </w:r>
          </w:p>
        </w:tc>
      </w:tr>
      <w:tr>
        <w:trPr>
          <w:trHeight w:val="445"/>
        </w:trPr>
        <w:tc>
          <w:tcPr>
            <w:tcW w:w="2180" w:type="dxa"/>
            <w:vAlign w:val="bottom"/>
          </w:tcPr>
          <w:p>
            <w:pPr>
              <w:ind w:left="880"/>
              <w:spacing w:after="0"/>
              <w:rPr>
                <w:sz w:val="20"/>
                <w:szCs w:val="20"/>
                <w:color w:val="auto"/>
              </w:rPr>
            </w:pPr>
            <w:r>
              <w:rPr>
                <w:rFonts w:ascii="Arial" w:cs="Arial" w:eastAsia="Arial" w:hAnsi="Arial"/>
                <w:sz w:val="20"/>
                <w:szCs w:val="20"/>
                <w:b w:val="1"/>
                <w:bCs w:val="1"/>
                <w:color w:val="auto"/>
              </w:rPr>
              <w:t>Section 4.17</w:t>
            </w:r>
          </w:p>
        </w:tc>
        <w:tc>
          <w:tcPr>
            <w:tcW w:w="8740" w:type="dxa"/>
            <w:vAlign w:val="bottom"/>
          </w:tcPr>
          <w:p>
            <w:pPr>
              <w:ind w:left="320"/>
              <w:spacing w:after="0"/>
              <w:rPr>
                <w:sz w:val="20"/>
                <w:szCs w:val="20"/>
                <w:color w:val="auto"/>
              </w:rPr>
            </w:pPr>
            <w:r>
              <w:rPr>
                <w:rFonts w:ascii="Arial" w:cs="Arial" w:eastAsia="Arial" w:hAnsi="Arial"/>
                <w:sz w:val="20"/>
                <w:szCs w:val="20"/>
                <w:b w:val="1"/>
                <w:bCs w:val="1"/>
                <w:color w:val="auto"/>
              </w:rPr>
              <w:t>Regulatory Reporting and Covenants.</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54</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iii</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56"/>
        </w:trPr>
        <w:tc>
          <w:tcPr>
            <w:tcW w:w="9860" w:type="dxa"/>
            <w:vAlign w:val="bottom"/>
            <w:gridSpan w:val="2"/>
          </w:tcPr>
          <w:p>
            <w:pPr>
              <w:spacing w:after="0"/>
              <w:rPr>
                <w:sz w:val="20"/>
                <w:szCs w:val="20"/>
                <w:color w:val="auto"/>
              </w:rPr>
            </w:pPr>
            <w:r>
              <w:rPr>
                <w:rFonts w:ascii="Arial" w:cs="Arial" w:eastAsia="Arial" w:hAnsi="Arial"/>
                <w:sz w:val="20"/>
                <w:szCs w:val="20"/>
                <w:b w:val="1"/>
                <w:bCs w:val="1"/>
                <w:color w:val="auto"/>
              </w:rPr>
              <w:t>ARTICLE 5 - NEGATIVE COVENANTS</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55</w:t>
            </w:r>
          </w:p>
        </w:tc>
      </w:tr>
      <w:tr>
        <w:trPr>
          <w:trHeight w:val="446"/>
        </w:trPr>
        <w:tc>
          <w:tcPr>
            <w:tcW w:w="2500" w:type="dxa"/>
            <w:vAlign w:val="bottom"/>
          </w:tcPr>
          <w:p>
            <w:pPr>
              <w:ind w:left="880"/>
              <w:spacing w:after="0"/>
              <w:rPr>
                <w:sz w:val="20"/>
                <w:szCs w:val="20"/>
                <w:color w:val="auto"/>
              </w:rPr>
            </w:pPr>
            <w:r>
              <w:rPr>
                <w:rFonts w:ascii="Arial" w:cs="Arial" w:eastAsia="Arial" w:hAnsi="Arial"/>
                <w:sz w:val="20"/>
                <w:szCs w:val="20"/>
                <w:b w:val="1"/>
                <w:bCs w:val="1"/>
                <w:color w:val="auto"/>
              </w:rPr>
              <w:t>Section 5.1</w:t>
            </w:r>
          </w:p>
        </w:tc>
        <w:tc>
          <w:tcPr>
            <w:tcW w:w="7360" w:type="dxa"/>
            <w:vAlign w:val="bottom"/>
          </w:tcPr>
          <w:p>
            <w:pPr>
              <w:spacing w:after="0"/>
              <w:rPr>
                <w:sz w:val="20"/>
                <w:szCs w:val="20"/>
                <w:color w:val="auto"/>
              </w:rPr>
            </w:pPr>
            <w:r>
              <w:rPr>
                <w:rFonts w:ascii="Arial" w:cs="Arial" w:eastAsia="Arial" w:hAnsi="Arial"/>
                <w:sz w:val="20"/>
                <w:szCs w:val="20"/>
                <w:b w:val="1"/>
                <w:bCs w:val="1"/>
                <w:color w:val="auto"/>
              </w:rPr>
              <w:t>Debt; Contingent Obligations</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55</w:t>
            </w:r>
          </w:p>
        </w:tc>
      </w:tr>
      <w:tr>
        <w:trPr>
          <w:trHeight w:val="446"/>
        </w:trPr>
        <w:tc>
          <w:tcPr>
            <w:tcW w:w="2500" w:type="dxa"/>
            <w:vAlign w:val="bottom"/>
          </w:tcPr>
          <w:p>
            <w:pPr>
              <w:ind w:left="880"/>
              <w:spacing w:after="0"/>
              <w:rPr>
                <w:sz w:val="20"/>
                <w:szCs w:val="20"/>
                <w:color w:val="auto"/>
              </w:rPr>
            </w:pPr>
            <w:r>
              <w:rPr>
                <w:rFonts w:ascii="Arial" w:cs="Arial" w:eastAsia="Arial" w:hAnsi="Arial"/>
                <w:sz w:val="20"/>
                <w:szCs w:val="20"/>
                <w:b w:val="1"/>
                <w:bCs w:val="1"/>
                <w:color w:val="auto"/>
              </w:rPr>
              <w:t>Section 5.2</w:t>
            </w:r>
          </w:p>
        </w:tc>
        <w:tc>
          <w:tcPr>
            <w:tcW w:w="7360" w:type="dxa"/>
            <w:vAlign w:val="bottom"/>
          </w:tcPr>
          <w:p>
            <w:pPr>
              <w:spacing w:after="0"/>
              <w:rPr>
                <w:sz w:val="20"/>
                <w:szCs w:val="20"/>
                <w:color w:val="auto"/>
              </w:rPr>
            </w:pPr>
            <w:r>
              <w:rPr>
                <w:rFonts w:ascii="Arial" w:cs="Arial" w:eastAsia="Arial" w:hAnsi="Arial"/>
                <w:sz w:val="20"/>
                <w:szCs w:val="20"/>
                <w:b w:val="1"/>
                <w:bCs w:val="1"/>
                <w:color w:val="auto"/>
              </w:rPr>
              <w:t>Liens</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55</w:t>
            </w:r>
          </w:p>
        </w:tc>
      </w:tr>
      <w:tr>
        <w:trPr>
          <w:trHeight w:val="445"/>
        </w:trPr>
        <w:tc>
          <w:tcPr>
            <w:tcW w:w="2500" w:type="dxa"/>
            <w:vAlign w:val="bottom"/>
          </w:tcPr>
          <w:p>
            <w:pPr>
              <w:ind w:left="880"/>
              <w:spacing w:after="0"/>
              <w:rPr>
                <w:sz w:val="20"/>
                <w:szCs w:val="20"/>
                <w:color w:val="auto"/>
              </w:rPr>
            </w:pPr>
            <w:r>
              <w:rPr>
                <w:rFonts w:ascii="Arial" w:cs="Arial" w:eastAsia="Arial" w:hAnsi="Arial"/>
                <w:sz w:val="20"/>
                <w:szCs w:val="20"/>
                <w:b w:val="1"/>
                <w:bCs w:val="1"/>
                <w:color w:val="auto"/>
              </w:rPr>
              <w:t>Section 5.3</w:t>
            </w:r>
          </w:p>
        </w:tc>
        <w:tc>
          <w:tcPr>
            <w:tcW w:w="7360" w:type="dxa"/>
            <w:vAlign w:val="bottom"/>
          </w:tcPr>
          <w:p>
            <w:pPr>
              <w:spacing w:after="0"/>
              <w:rPr>
                <w:sz w:val="20"/>
                <w:szCs w:val="20"/>
                <w:color w:val="auto"/>
              </w:rPr>
            </w:pPr>
            <w:r>
              <w:rPr>
                <w:rFonts w:ascii="Arial" w:cs="Arial" w:eastAsia="Arial" w:hAnsi="Arial"/>
                <w:sz w:val="20"/>
                <w:szCs w:val="20"/>
                <w:b w:val="1"/>
                <w:bCs w:val="1"/>
                <w:color w:val="auto"/>
              </w:rPr>
              <w:t>Distributions</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55</w:t>
            </w:r>
          </w:p>
        </w:tc>
      </w:tr>
      <w:tr>
        <w:trPr>
          <w:trHeight w:val="446"/>
        </w:trPr>
        <w:tc>
          <w:tcPr>
            <w:tcW w:w="2500" w:type="dxa"/>
            <w:vAlign w:val="bottom"/>
          </w:tcPr>
          <w:p>
            <w:pPr>
              <w:ind w:left="880"/>
              <w:spacing w:after="0"/>
              <w:rPr>
                <w:sz w:val="20"/>
                <w:szCs w:val="20"/>
                <w:color w:val="auto"/>
              </w:rPr>
            </w:pPr>
            <w:r>
              <w:rPr>
                <w:rFonts w:ascii="Arial" w:cs="Arial" w:eastAsia="Arial" w:hAnsi="Arial"/>
                <w:sz w:val="20"/>
                <w:szCs w:val="20"/>
                <w:b w:val="1"/>
                <w:bCs w:val="1"/>
                <w:color w:val="auto"/>
              </w:rPr>
              <w:t>Section 5.4</w:t>
            </w:r>
          </w:p>
        </w:tc>
        <w:tc>
          <w:tcPr>
            <w:tcW w:w="7360" w:type="dxa"/>
            <w:vAlign w:val="bottom"/>
          </w:tcPr>
          <w:p>
            <w:pPr>
              <w:spacing w:after="0"/>
              <w:rPr>
                <w:sz w:val="20"/>
                <w:szCs w:val="20"/>
                <w:color w:val="auto"/>
              </w:rPr>
            </w:pPr>
            <w:r>
              <w:rPr>
                <w:rFonts w:ascii="Arial" w:cs="Arial" w:eastAsia="Arial" w:hAnsi="Arial"/>
                <w:sz w:val="20"/>
                <w:szCs w:val="20"/>
                <w:b w:val="1"/>
                <w:bCs w:val="1"/>
                <w:color w:val="auto"/>
              </w:rPr>
              <w:t>Restrictive Agreements</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55</w:t>
            </w:r>
          </w:p>
        </w:tc>
      </w:tr>
      <w:tr>
        <w:trPr>
          <w:trHeight w:val="445"/>
        </w:trPr>
        <w:tc>
          <w:tcPr>
            <w:tcW w:w="2500" w:type="dxa"/>
            <w:vAlign w:val="bottom"/>
          </w:tcPr>
          <w:p>
            <w:pPr>
              <w:ind w:left="880"/>
              <w:spacing w:after="0"/>
              <w:rPr>
                <w:sz w:val="20"/>
                <w:szCs w:val="20"/>
                <w:color w:val="auto"/>
              </w:rPr>
            </w:pPr>
            <w:r>
              <w:rPr>
                <w:rFonts w:ascii="Arial" w:cs="Arial" w:eastAsia="Arial" w:hAnsi="Arial"/>
                <w:sz w:val="20"/>
                <w:szCs w:val="20"/>
                <w:b w:val="1"/>
                <w:bCs w:val="1"/>
                <w:color w:val="auto"/>
              </w:rPr>
              <w:t>Section 5.5</w:t>
            </w:r>
          </w:p>
        </w:tc>
        <w:tc>
          <w:tcPr>
            <w:tcW w:w="7360" w:type="dxa"/>
            <w:vAlign w:val="bottom"/>
          </w:tcPr>
          <w:p>
            <w:pPr>
              <w:spacing w:after="0"/>
              <w:rPr>
                <w:sz w:val="20"/>
                <w:szCs w:val="20"/>
                <w:color w:val="auto"/>
              </w:rPr>
            </w:pPr>
            <w:r>
              <w:rPr>
                <w:rFonts w:ascii="Arial" w:cs="Arial" w:eastAsia="Arial" w:hAnsi="Arial"/>
                <w:sz w:val="20"/>
                <w:szCs w:val="20"/>
                <w:b w:val="1"/>
                <w:bCs w:val="1"/>
                <w:color w:val="auto"/>
              </w:rPr>
              <w:t>Payments and Modifications of Subordinated Debt</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56</w:t>
            </w:r>
          </w:p>
        </w:tc>
      </w:tr>
      <w:tr>
        <w:trPr>
          <w:trHeight w:val="446"/>
        </w:trPr>
        <w:tc>
          <w:tcPr>
            <w:tcW w:w="2500" w:type="dxa"/>
            <w:vAlign w:val="bottom"/>
          </w:tcPr>
          <w:p>
            <w:pPr>
              <w:ind w:left="880"/>
              <w:spacing w:after="0"/>
              <w:rPr>
                <w:sz w:val="20"/>
                <w:szCs w:val="20"/>
                <w:color w:val="auto"/>
              </w:rPr>
            </w:pPr>
            <w:r>
              <w:rPr>
                <w:rFonts w:ascii="Arial" w:cs="Arial" w:eastAsia="Arial" w:hAnsi="Arial"/>
                <w:sz w:val="20"/>
                <w:szCs w:val="20"/>
                <w:b w:val="1"/>
                <w:bCs w:val="1"/>
                <w:color w:val="auto"/>
              </w:rPr>
              <w:t>Section 5.6</w:t>
            </w:r>
          </w:p>
        </w:tc>
        <w:tc>
          <w:tcPr>
            <w:tcW w:w="7360" w:type="dxa"/>
            <w:vAlign w:val="bottom"/>
          </w:tcPr>
          <w:p>
            <w:pPr>
              <w:spacing w:after="0"/>
              <w:rPr>
                <w:sz w:val="20"/>
                <w:szCs w:val="20"/>
                <w:color w:val="auto"/>
              </w:rPr>
            </w:pPr>
            <w:r>
              <w:rPr>
                <w:rFonts w:ascii="Arial" w:cs="Arial" w:eastAsia="Arial" w:hAnsi="Arial"/>
                <w:sz w:val="20"/>
                <w:szCs w:val="20"/>
                <w:b w:val="1"/>
                <w:bCs w:val="1"/>
                <w:color w:val="auto"/>
              </w:rPr>
              <w:t>Consolidations, Mergers and Sales of Assets; Change in Control.</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56</w:t>
            </w:r>
          </w:p>
        </w:tc>
      </w:tr>
      <w:tr>
        <w:trPr>
          <w:trHeight w:val="445"/>
        </w:trPr>
        <w:tc>
          <w:tcPr>
            <w:tcW w:w="2500" w:type="dxa"/>
            <w:vAlign w:val="bottom"/>
          </w:tcPr>
          <w:p>
            <w:pPr>
              <w:ind w:left="880"/>
              <w:spacing w:after="0"/>
              <w:rPr>
                <w:sz w:val="20"/>
                <w:szCs w:val="20"/>
                <w:color w:val="auto"/>
              </w:rPr>
            </w:pPr>
            <w:r>
              <w:rPr>
                <w:rFonts w:ascii="Arial" w:cs="Arial" w:eastAsia="Arial" w:hAnsi="Arial"/>
                <w:sz w:val="20"/>
                <w:szCs w:val="20"/>
                <w:b w:val="1"/>
                <w:bCs w:val="1"/>
                <w:color w:val="auto"/>
              </w:rPr>
              <w:t>Section 5.7</w:t>
            </w:r>
          </w:p>
        </w:tc>
        <w:tc>
          <w:tcPr>
            <w:tcW w:w="7360" w:type="dxa"/>
            <w:vAlign w:val="bottom"/>
          </w:tcPr>
          <w:p>
            <w:pPr>
              <w:spacing w:after="0"/>
              <w:rPr>
                <w:sz w:val="20"/>
                <w:szCs w:val="20"/>
                <w:color w:val="auto"/>
              </w:rPr>
            </w:pPr>
            <w:r>
              <w:rPr>
                <w:rFonts w:ascii="Arial" w:cs="Arial" w:eastAsia="Arial" w:hAnsi="Arial"/>
                <w:sz w:val="20"/>
                <w:szCs w:val="20"/>
                <w:b w:val="1"/>
                <w:bCs w:val="1"/>
                <w:color w:val="auto"/>
              </w:rPr>
              <w:t>Purchase of Assets, Investments</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56</w:t>
            </w:r>
          </w:p>
        </w:tc>
      </w:tr>
      <w:tr>
        <w:trPr>
          <w:trHeight w:val="446"/>
        </w:trPr>
        <w:tc>
          <w:tcPr>
            <w:tcW w:w="2500" w:type="dxa"/>
            <w:vAlign w:val="bottom"/>
          </w:tcPr>
          <w:p>
            <w:pPr>
              <w:ind w:left="880"/>
              <w:spacing w:after="0"/>
              <w:rPr>
                <w:sz w:val="20"/>
                <w:szCs w:val="20"/>
                <w:color w:val="auto"/>
              </w:rPr>
            </w:pPr>
            <w:r>
              <w:rPr>
                <w:rFonts w:ascii="Arial" w:cs="Arial" w:eastAsia="Arial" w:hAnsi="Arial"/>
                <w:sz w:val="20"/>
                <w:szCs w:val="20"/>
                <w:b w:val="1"/>
                <w:bCs w:val="1"/>
                <w:color w:val="auto"/>
              </w:rPr>
              <w:t>Section 5.8</w:t>
            </w:r>
          </w:p>
        </w:tc>
        <w:tc>
          <w:tcPr>
            <w:tcW w:w="7360" w:type="dxa"/>
            <w:vAlign w:val="bottom"/>
          </w:tcPr>
          <w:p>
            <w:pPr>
              <w:spacing w:after="0"/>
              <w:rPr>
                <w:sz w:val="20"/>
                <w:szCs w:val="20"/>
                <w:color w:val="auto"/>
              </w:rPr>
            </w:pPr>
            <w:r>
              <w:rPr>
                <w:rFonts w:ascii="Arial" w:cs="Arial" w:eastAsia="Arial" w:hAnsi="Arial"/>
                <w:sz w:val="20"/>
                <w:szCs w:val="20"/>
                <w:b w:val="1"/>
                <w:bCs w:val="1"/>
                <w:color w:val="auto"/>
              </w:rPr>
              <w:t>Transactions with Affiliates</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56</w:t>
            </w:r>
          </w:p>
        </w:tc>
      </w:tr>
      <w:tr>
        <w:trPr>
          <w:trHeight w:val="445"/>
        </w:trPr>
        <w:tc>
          <w:tcPr>
            <w:tcW w:w="2500" w:type="dxa"/>
            <w:vAlign w:val="bottom"/>
          </w:tcPr>
          <w:p>
            <w:pPr>
              <w:ind w:left="880"/>
              <w:spacing w:after="0"/>
              <w:rPr>
                <w:sz w:val="20"/>
                <w:szCs w:val="20"/>
                <w:color w:val="auto"/>
              </w:rPr>
            </w:pPr>
            <w:r>
              <w:rPr>
                <w:rFonts w:ascii="Arial" w:cs="Arial" w:eastAsia="Arial" w:hAnsi="Arial"/>
                <w:sz w:val="20"/>
                <w:szCs w:val="20"/>
                <w:b w:val="1"/>
                <w:bCs w:val="1"/>
                <w:color w:val="auto"/>
              </w:rPr>
              <w:t>Section 5.9</w:t>
            </w:r>
          </w:p>
        </w:tc>
        <w:tc>
          <w:tcPr>
            <w:tcW w:w="7360" w:type="dxa"/>
            <w:vAlign w:val="bottom"/>
          </w:tcPr>
          <w:p>
            <w:pPr>
              <w:spacing w:after="0"/>
              <w:rPr>
                <w:sz w:val="20"/>
                <w:szCs w:val="20"/>
                <w:color w:val="auto"/>
              </w:rPr>
            </w:pPr>
            <w:r>
              <w:rPr>
                <w:rFonts w:ascii="Arial" w:cs="Arial" w:eastAsia="Arial" w:hAnsi="Arial"/>
                <w:sz w:val="20"/>
                <w:szCs w:val="20"/>
                <w:b w:val="1"/>
                <w:bCs w:val="1"/>
                <w:color w:val="auto"/>
              </w:rPr>
              <w:t>Modification of Organizational Documents</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56</w:t>
            </w:r>
          </w:p>
        </w:tc>
      </w:tr>
      <w:tr>
        <w:trPr>
          <w:trHeight w:val="446"/>
        </w:trPr>
        <w:tc>
          <w:tcPr>
            <w:tcW w:w="2500" w:type="dxa"/>
            <w:vAlign w:val="bottom"/>
          </w:tcPr>
          <w:p>
            <w:pPr>
              <w:ind w:left="880"/>
              <w:spacing w:after="0"/>
              <w:rPr>
                <w:sz w:val="20"/>
                <w:szCs w:val="20"/>
                <w:color w:val="auto"/>
              </w:rPr>
            </w:pPr>
            <w:r>
              <w:rPr>
                <w:rFonts w:ascii="Arial" w:cs="Arial" w:eastAsia="Arial" w:hAnsi="Arial"/>
                <w:sz w:val="20"/>
                <w:szCs w:val="20"/>
                <w:b w:val="1"/>
                <w:bCs w:val="1"/>
                <w:color w:val="auto"/>
              </w:rPr>
              <w:t>Section 5.10</w:t>
            </w:r>
          </w:p>
        </w:tc>
        <w:tc>
          <w:tcPr>
            <w:tcW w:w="7360" w:type="dxa"/>
            <w:vAlign w:val="bottom"/>
          </w:tcPr>
          <w:p>
            <w:pPr>
              <w:spacing w:after="0"/>
              <w:rPr>
                <w:sz w:val="20"/>
                <w:szCs w:val="20"/>
                <w:color w:val="auto"/>
              </w:rPr>
            </w:pPr>
            <w:r>
              <w:rPr>
                <w:rFonts w:ascii="Arial" w:cs="Arial" w:eastAsia="Arial" w:hAnsi="Arial"/>
                <w:sz w:val="20"/>
                <w:szCs w:val="20"/>
                <w:b w:val="1"/>
                <w:bCs w:val="1"/>
                <w:color w:val="auto"/>
              </w:rPr>
              <w:t>Modification of Certain Agreements; Royalty Agreements</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57</w:t>
            </w:r>
          </w:p>
        </w:tc>
      </w:tr>
      <w:tr>
        <w:trPr>
          <w:trHeight w:val="446"/>
        </w:trPr>
        <w:tc>
          <w:tcPr>
            <w:tcW w:w="2500" w:type="dxa"/>
            <w:vAlign w:val="bottom"/>
          </w:tcPr>
          <w:p>
            <w:pPr>
              <w:ind w:left="880"/>
              <w:spacing w:after="0"/>
              <w:rPr>
                <w:sz w:val="20"/>
                <w:szCs w:val="20"/>
                <w:color w:val="auto"/>
              </w:rPr>
            </w:pPr>
            <w:r>
              <w:rPr>
                <w:rFonts w:ascii="Arial" w:cs="Arial" w:eastAsia="Arial" w:hAnsi="Arial"/>
                <w:sz w:val="20"/>
                <w:szCs w:val="20"/>
                <w:b w:val="1"/>
                <w:bCs w:val="1"/>
                <w:color w:val="auto"/>
              </w:rPr>
              <w:t>Section 5.11</w:t>
            </w:r>
          </w:p>
        </w:tc>
        <w:tc>
          <w:tcPr>
            <w:tcW w:w="7360" w:type="dxa"/>
            <w:vAlign w:val="bottom"/>
          </w:tcPr>
          <w:p>
            <w:pPr>
              <w:spacing w:after="0"/>
              <w:rPr>
                <w:sz w:val="20"/>
                <w:szCs w:val="20"/>
                <w:color w:val="auto"/>
              </w:rPr>
            </w:pPr>
            <w:r>
              <w:rPr>
                <w:rFonts w:ascii="Arial" w:cs="Arial" w:eastAsia="Arial" w:hAnsi="Arial"/>
                <w:sz w:val="20"/>
                <w:szCs w:val="20"/>
                <w:b w:val="1"/>
                <w:bCs w:val="1"/>
                <w:color w:val="auto"/>
              </w:rPr>
              <w:t>Conduct of Business</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57</w:t>
            </w:r>
          </w:p>
        </w:tc>
      </w:tr>
      <w:tr>
        <w:trPr>
          <w:trHeight w:val="445"/>
        </w:trPr>
        <w:tc>
          <w:tcPr>
            <w:tcW w:w="2500" w:type="dxa"/>
            <w:vAlign w:val="bottom"/>
          </w:tcPr>
          <w:p>
            <w:pPr>
              <w:ind w:left="880"/>
              <w:spacing w:after="0"/>
              <w:rPr>
                <w:sz w:val="20"/>
                <w:szCs w:val="20"/>
                <w:color w:val="auto"/>
              </w:rPr>
            </w:pPr>
            <w:r>
              <w:rPr>
                <w:rFonts w:ascii="Arial" w:cs="Arial" w:eastAsia="Arial" w:hAnsi="Arial"/>
                <w:sz w:val="20"/>
                <w:szCs w:val="20"/>
                <w:b w:val="1"/>
                <w:bCs w:val="1"/>
                <w:color w:val="auto"/>
              </w:rPr>
              <w:t>Section 5.12</w:t>
            </w:r>
          </w:p>
        </w:tc>
        <w:tc>
          <w:tcPr>
            <w:tcW w:w="7360" w:type="dxa"/>
            <w:vAlign w:val="bottom"/>
          </w:tcPr>
          <w:p>
            <w:pPr>
              <w:spacing w:after="0"/>
              <w:rPr>
                <w:sz w:val="20"/>
                <w:szCs w:val="20"/>
                <w:color w:val="auto"/>
              </w:rPr>
            </w:pPr>
            <w:r>
              <w:rPr>
                <w:rFonts w:ascii="Arial" w:cs="Arial" w:eastAsia="Arial" w:hAnsi="Arial"/>
                <w:sz w:val="20"/>
                <w:szCs w:val="20"/>
                <w:b w:val="1"/>
                <w:bCs w:val="1"/>
                <w:color w:val="auto"/>
              </w:rPr>
              <w:t>Reserved</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57</w:t>
            </w:r>
          </w:p>
        </w:tc>
      </w:tr>
      <w:tr>
        <w:trPr>
          <w:trHeight w:val="446"/>
        </w:trPr>
        <w:tc>
          <w:tcPr>
            <w:tcW w:w="2500" w:type="dxa"/>
            <w:vAlign w:val="bottom"/>
          </w:tcPr>
          <w:p>
            <w:pPr>
              <w:ind w:left="880"/>
              <w:spacing w:after="0"/>
              <w:rPr>
                <w:sz w:val="20"/>
                <w:szCs w:val="20"/>
                <w:color w:val="auto"/>
              </w:rPr>
            </w:pPr>
            <w:r>
              <w:rPr>
                <w:rFonts w:ascii="Arial" w:cs="Arial" w:eastAsia="Arial" w:hAnsi="Arial"/>
                <w:sz w:val="20"/>
                <w:szCs w:val="20"/>
                <w:b w:val="1"/>
                <w:bCs w:val="1"/>
                <w:color w:val="auto"/>
              </w:rPr>
              <w:t>Section 5.13</w:t>
            </w:r>
          </w:p>
        </w:tc>
        <w:tc>
          <w:tcPr>
            <w:tcW w:w="7360" w:type="dxa"/>
            <w:vAlign w:val="bottom"/>
          </w:tcPr>
          <w:p>
            <w:pPr>
              <w:spacing w:after="0"/>
              <w:rPr>
                <w:sz w:val="20"/>
                <w:szCs w:val="20"/>
                <w:color w:val="auto"/>
              </w:rPr>
            </w:pPr>
            <w:r>
              <w:rPr>
                <w:rFonts w:ascii="Arial" w:cs="Arial" w:eastAsia="Arial" w:hAnsi="Arial"/>
                <w:sz w:val="20"/>
                <w:szCs w:val="20"/>
                <w:b w:val="1"/>
                <w:bCs w:val="1"/>
                <w:color w:val="auto"/>
              </w:rPr>
              <w:t>Limitation on Sale and Leaseback Transactions</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57</w:t>
            </w:r>
          </w:p>
        </w:tc>
      </w:tr>
      <w:tr>
        <w:trPr>
          <w:trHeight w:val="445"/>
        </w:trPr>
        <w:tc>
          <w:tcPr>
            <w:tcW w:w="2500" w:type="dxa"/>
            <w:vAlign w:val="bottom"/>
          </w:tcPr>
          <w:p>
            <w:pPr>
              <w:ind w:left="880"/>
              <w:spacing w:after="0"/>
              <w:rPr>
                <w:sz w:val="20"/>
                <w:szCs w:val="20"/>
                <w:color w:val="auto"/>
              </w:rPr>
            </w:pPr>
            <w:r>
              <w:rPr>
                <w:rFonts w:ascii="Arial" w:cs="Arial" w:eastAsia="Arial" w:hAnsi="Arial"/>
                <w:sz w:val="20"/>
                <w:szCs w:val="20"/>
                <w:b w:val="1"/>
                <w:bCs w:val="1"/>
                <w:color w:val="auto"/>
              </w:rPr>
              <w:t>Section 5.14</w:t>
            </w:r>
          </w:p>
        </w:tc>
        <w:tc>
          <w:tcPr>
            <w:tcW w:w="7360" w:type="dxa"/>
            <w:vAlign w:val="bottom"/>
          </w:tcPr>
          <w:p>
            <w:pPr>
              <w:spacing w:after="0"/>
              <w:rPr>
                <w:sz w:val="20"/>
                <w:szCs w:val="20"/>
                <w:color w:val="auto"/>
              </w:rPr>
            </w:pPr>
            <w:r>
              <w:rPr>
                <w:rFonts w:ascii="Arial" w:cs="Arial" w:eastAsia="Arial" w:hAnsi="Arial"/>
                <w:sz w:val="20"/>
                <w:szCs w:val="20"/>
                <w:b w:val="1"/>
                <w:bCs w:val="1"/>
                <w:color w:val="auto"/>
              </w:rPr>
              <w:t>Deposit Accounts and Securities Accounts; Payroll and Benefits Accounts</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57</w:t>
            </w:r>
          </w:p>
        </w:tc>
      </w:tr>
      <w:tr>
        <w:trPr>
          <w:trHeight w:val="446"/>
        </w:trPr>
        <w:tc>
          <w:tcPr>
            <w:tcW w:w="2500" w:type="dxa"/>
            <w:vAlign w:val="bottom"/>
          </w:tcPr>
          <w:p>
            <w:pPr>
              <w:ind w:left="880"/>
              <w:spacing w:after="0"/>
              <w:rPr>
                <w:sz w:val="20"/>
                <w:szCs w:val="20"/>
                <w:color w:val="auto"/>
              </w:rPr>
            </w:pPr>
            <w:r>
              <w:rPr>
                <w:rFonts w:ascii="Arial" w:cs="Arial" w:eastAsia="Arial" w:hAnsi="Arial"/>
                <w:sz w:val="20"/>
                <w:szCs w:val="20"/>
                <w:b w:val="1"/>
                <w:bCs w:val="1"/>
                <w:color w:val="auto"/>
              </w:rPr>
              <w:t>Section 5.15</w:t>
            </w:r>
          </w:p>
        </w:tc>
        <w:tc>
          <w:tcPr>
            <w:tcW w:w="7360" w:type="dxa"/>
            <w:vAlign w:val="bottom"/>
          </w:tcPr>
          <w:p>
            <w:pPr>
              <w:spacing w:after="0"/>
              <w:rPr>
                <w:sz w:val="20"/>
                <w:szCs w:val="20"/>
                <w:color w:val="auto"/>
              </w:rPr>
            </w:pPr>
            <w:r>
              <w:rPr>
                <w:rFonts w:ascii="Arial" w:cs="Arial" w:eastAsia="Arial" w:hAnsi="Arial"/>
                <w:sz w:val="20"/>
                <w:szCs w:val="20"/>
                <w:b w:val="1"/>
                <w:bCs w:val="1"/>
                <w:color w:val="auto"/>
              </w:rPr>
              <w:t>Compliance with Anti-Terrorism Laws</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58</w:t>
            </w:r>
          </w:p>
        </w:tc>
      </w:tr>
      <w:tr>
        <w:trPr>
          <w:trHeight w:val="445"/>
        </w:trPr>
        <w:tc>
          <w:tcPr>
            <w:tcW w:w="2500" w:type="dxa"/>
            <w:vAlign w:val="bottom"/>
          </w:tcPr>
          <w:p>
            <w:pPr>
              <w:ind w:left="880"/>
              <w:spacing w:after="0"/>
              <w:rPr>
                <w:sz w:val="20"/>
                <w:szCs w:val="20"/>
                <w:color w:val="auto"/>
              </w:rPr>
            </w:pPr>
            <w:r>
              <w:rPr>
                <w:rFonts w:ascii="Arial" w:cs="Arial" w:eastAsia="Arial" w:hAnsi="Arial"/>
                <w:sz w:val="20"/>
                <w:szCs w:val="20"/>
                <w:b w:val="1"/>
                <w:bCs w:val="1"/>
                <w:color w:val="auto"/>
              </w:rPr>
              <w:t>Section 5.16</w:t>
            </w:r>
          </w:p>
        </w:tc>
        <w:tc>
          <w:tcPr>
            <w:tcW w:w="7360" w:type="dxa"/>
            <w:vAlign w:val="bottom"/>
          </w:tcPr>
          <w:p>
            <w:pPr>
              <w:spacing w:after="0"/>
              <w:rPr>
                <w:sz w:val="20"/>
                <w:szCs w:val="20"/>
                <w:color w:val="auto"/>
              </w:rPr>
            </w:pPr>
            <w:r>
              <w:rPr>
                <w:rFonts w:ascii="Arial" w:cs="Arial" w:eastAsia="Arial" w:hAnsi="Arial"/>
                <w:sz w:val="20"/>
                <w:szCs w:val="20"/>
                <w:b w:val="1"/>
                <w:bCs w:val="1"/>
                <w:color w:val="auto"/>
              </w:rPr>
              <w:t>Change in Accounting</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58</w:t>
            </w:r>
          </w:p>
        </w:tc>
      </w:tr>
      <w:tr>
        <w:trPr>
          <w:trHeight w:val="445"/>
        </w:trPr>
        <w:tc>
          <w:tcPr>
            <w:tcW w:w="2500" w:type="dxa"/>
            <w:vAlign w:val="bottom"/>
          </w:tcPr>
          <w:p>
            <w:pPr>
              <w:spacing w:after="0"/>
              <w:rPr>
                <w:sz w:val="20"/>
                <w:szCs w:val="20"/>
                <w:color w:val="auto"/>
              </w:rPr>
            </w:pPr>
            <w:r>
              <w:rPr>
                <w:rFonts w:ascii="Arial" w:cs="Arial" w:eastAsia="Arial" w:hAnsi="Arial"/>
                <w:sz w:val="20"/>
                <w:szCs w:val="20"/>
                <w:b w:val="1"/>
                <w:bCs w:val="1"/>
                <w:color w:val="auto"/>
              </w:rPr>
              <w:t>ARTICLE 6 - RESERVED</w:t>
            </w:r>
          </w:p>
        </w:tc>
        <w:tc>
          <w:tcPr>
            <w:tcW w:w="73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58</w:t>
            </w:r>
          </w:p>
        </w:tc>
      </w:tr>
      <w:tr>
        <w:trPr>
          <w:trHeight w:val="445"/>
        </w:trPr>
        <w:tc>
          <w:tcPr>
            <w:tcW w:w="2500" w:type="dxa"/>
            <w:vAlign w:val="bottom"/>
          </w:tcPr>
          <w:p>
            <w:pPr>
              <w:spacing w:after="0"/>
              <w:rPr>
                <w:sz w:val="20"/>
                <w:szCs w:val="20"/>
                <w:color w:val="auto"/>
              </w:rPr>
            </w:pPr>
            <w:r>
              <w:rPr>
                <w:rFonts w:ascii="Arial" w:cs="Arial" w:eastAsia="Arial" w:hAnsi="Arial"/>
                <w:sz w:val="20"/>
                <w:szCs w:val="20"/>
                <w:b w:val="1"/>
                <w:bCs w:val="1"/>
                <w:color w:val="auto"/>
              </w:rPr>
              <w:t>ARTICLE 7 - CONDITIONS</w:t>
            </w:r>
          </w:p>
        </w:tc>
        <w:tc>
          <w:tcPr>
            <w:tcW w:w="73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58</w:t>
            </w:r>
          </w:p>
        </w:tc>
      </w:tr>
      <w:tr>
        <w:trPr>
          <w:trHeight w:val="445"/>
        </w:trPr>
        <w:tc>
          <w:tcPr>
            <w:tcW w:w="2500" w:type="dxa"/>
            <w:vAlign w:val="bottom"/>
          </w:tcPr>
          <w:p>
            <w:pPr>
              <w:ind w:left="880"/>
              <w:spacing w:after="0"/>
              <w:rPr>
                <w:sz w:val="20"/>
                <w:szCs w:val="20"/>
                <w:color w:val="auto"/>
              </w:rPr>
            </w:pPr>
            <w:r>
              <w:rPr>
                <w:rFonts w:ascii="Arial" w:cs="Arial" w:eastAsia="Arial" w:hAnsi="Arial"/>
                <w:sz w:val="20"/>
                <w:szCs w:val="20"/>
                <w:b w:val="1"/>
                <w:bCs w:val="1"/>
                <w:color w:val="auto"/>
              </w:rPr>
              <w:t>Section 7.1</w:t>
            </w:r>
          </w:p>
        </w:tc>
        <w:tc>
          <w:tcPr>
            <w:tcW w:w="7360" w:type="dxa"/>
            <w:vAlign w:val="bottom"/>
          </w:tcPr>
          <w:p>
            <w:pPr>
              <w:spacing w:after="0"/>
              <w:rPr>
                <w:sz w:val="20"/>
                <w:szCs w:val="20"/>
                <w:color w:val="auto"/>
              </w:rPr>
            </w:pPr>
            <w:r>
              <w:rPr>
                <w:rFonts w:ascii="Arial" w:cs="Arial" w:eastAsia="Arial" w:hAnsi="Arial"/>
                <w:sz w:val="20"/>
                <w:szCs w:val="20"/>
                <w:b w:val="1"/>
                <w:bCs w:val="1"/>
                <w:color w:val="auto"/>
              </w:rPr>
              <w:t>Conditions to Closing</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58</w:t>
            </w:r>
          </w:p>
        </w:tc>
      </w:tr>
      <w:tr>
        <w:trPr>
          <w:trHeight w:val="445"/>
        </w:trPr>
        <w:tc>
          <w:tcPr>
            <w:tcW w:w="2500" w:type="dxa"/>
            <w:vAlign w:val="bottom"/>
          </w:tcPr>
          <w:p>
            <w:pPr>
              <w:ind w:left="880"/>
              <w:spacing w:after="0"/>
              <w:rPr>
                <w:sz w:val="20"/>
                <w:szCs w:val="20"/>
                <w:color w:val="auto"/>
              </w:rPr>
            </w:pPr>
            <w:r>
              <w:rPr>
                <w:rFonts w:ascii="Arial" w:cs="Arial" w:eastAsia="Arial" w:hAnsi="Arial"/>
                <w:sz w:val="20"/>
                <w:szCs w:val="20"/>
                <w:b w:val="1"/>
                <w:bCs w:val="1"/>
                <w:color w:val="auto"/>
              </w:rPr>
              <w:t>Section 7.2</w:t>
            </w:r>
          </w:p>
        </w:tc>
        <w:tc>
          <w:tcPr>
            <w:tcW w:w="7360" w:type="dxa"/>
            <w:vAlign w:val="bottom"/>
          </w:tcPr>
          <w:p>
            <w:pPr>
              <w:spacing w:after="0"/>
              <w:rPr>
                <w:sz w:val="20"/>
                <w:szCs w:val="20"/>
                <w:color w:val="auto"/>
              </w:rPr>
            </w:pPr>
            <w:r>
              <w:rPr>
                <w:rFonts w:ascii="Arial" w:cs="Arial" w:eastAsia="Arial" w:hAnsi="Arial"/>
                <w:sz w:val="20"/>
                <w:szCs w:val="20"/>
                <w:b w:val="1"/>
                <w:bCs w:val="1"/>
                <w:color w:val="auto"/>
              </w:rPr>
              <w:t>Conditions to Each Loan</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59</w:t>
            </w:r>
          </w:p>
        </w:tc>
      </w:tr>
      <w:tr>
        <w:trPr>
          <w:trHeight w:val="445"/>
        </w:trPr>
        <w:tc>
          <w:tcPr>
            <w:tcW w:w="2500" w:type="dxa"/>
            <w:vAlign w:val="bottom"/>
          </w:tcPr>
          <w:p>
            <w:pPr>
              <w:ind w:left="880"/>
              <w:spacing w:after="0"/>
              <w:rPr>
                <w:sz w:val="20"/>
                <w:szCs w:val="20"/>
                <w:color w:val="auto"/>
              </w:rPr>
            </w:pPr>
            <w:r>
              <w:rPr>
                <w:rFonts w:ascii="Arial" w:cs="Arial" w:eastAsia="Arial" w:hAnsi="Arial"/>
                <w:sz w:val="20"/>
                <w:szCs w:val="20"/>
                <w:b w:val="1"/>
                <w:bCs w:val="1"/>
                <w:color w:val="auto"/>
              </w:rPr>
              <w:t>Section 7.3</w:t>
            </w:r>
          </w:p>
        </w:tc>
        <w:tc>
          <w:tcPr>
            <w:tcW w:w="7360" w:type="dxa"/>
            <w:vAlign w:val="bottom"/>
          </w:tcPr>
          <w:p>
            <w:pPr>
              <w:spacing w:after="0"/>
              <w:rPr>
                <w:sz w:val="20"/>
                <w:szCs w:val="20"/>
                <w:color w:val="auto"/>
              </w:rPr>
            </w:pPr>
            <w:r>
              <w:rPr>
                <w:rFonts w:ascii="Arial" w:cs="Arial" w:eastAsia="Arial" w:hAnsi="Arial"/>
                <w:sz w:val="20"/>
                <w:szCs w:val="20"/>
                <w:b w:val="1"/>
                <w:bCs w:val="1"/>
                <w:color w:val="auto"/>
              </w:rPr>
              <w:t>Searches</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59</w:t>
            </w:r>
          </w:p>
        </w:tc>
      </w:tr>
      <w:tr>
        <w:trPr>
          <w:trHeight w:val="445"/>
        </w:trPr>
        <w:tc>
          <w:tcPr>
            <w:tcW w:w="2500" w:type="dxa"/>
            <w:vAlign w:val="bottom"/>
          </w:tcPr>
          <w:p>
            <w:pPr>
              <w:ind w:left="880"/>
              <w:spacing w:after="0"/>
              <w:rPr>
                <w:sz w:val="20"/>
                <w:szCs w:val="20"/>
                <w:color w:val="auto"/>
              </w:rPr>
            </w:pPr>
            <w:r>
              <w:rPr>
                <w:rFonts w:ascii="Arial" w:cs="Arial" w:eastAsia="Arial" w:hAnsi="Arial"/>
                <w:sz w:val="20"/>
                <w:szCs w:val="20"/>
                <w:b w:val="1"/>
                <w:bCs w:val="1"/>
                <w:color w:val="auto"/>
              </w:rPr>
              <w:t>Section 7.4</w:t>
            </w:r>
          </w:p>
        </w:tc>
        <w:tc>
          <w:tcPr>
            <w:tcW w:w="7360" w:type="dxa"/>
            <w:vAlign w:val="bottom"/>
          </w:tcPr>
          <w:p>
            <w:pPr>
              <w:spacing w:after="0"/>
              <w:rPr>
                <w:sz w:val="20"/>
                <w:szCs w:val="20"/>
                <w:color w:val="auto"/>
              </w:rPr>
            </w:pPr>
            <w:r>
              <w:rPr>
                <w:rFonts w:ascii="Arial" w:cs="Arial" w:eastAsia="Arial" w:hAnsi="Arial"/>
                <w:sz w:val="20"/>
                <w:szCs w:val="20"/>
                <w:b w:val="1"/>
                <w:bCs w:val="1"/>
                <w:color w:val="auto"/>
              </w:rPr>
              <w:t>Post Closing Requirements</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59</w:t>
            </w:r>
          </w:p>
        </w:tc>
      </w:tr>
      <w:tr>
        <w:trPr>
          <w:trHeight w:val="446"/>
        </w:trPr>
        <w:tc>
          <w:tcPr>
            <w:tcW w:w="9860" w:type="dxa"/>
            <w:vAlign w:val="bottom"/>
            <w:gridSpan w:val="2"/>
          </w:tcPr>
          <w:p>
            <w:pPr>
              <w:spacing w:after="0"/>
              <w:rPr>
                <w:sz w:val="20"/>
                <w:szCs w:val="20"/>
                <w:color w:val="auto"/>
              </w:rPr>
            </w:pPr>
            <w:r>
              <w:rPr>
                <w:rFonts w:ascii="Arial" w:cs="Arial" w:eastAsia="Arial" w:hAnsi="Arial"/>
                <w:sz w:val="20"/>
                <w:szCs w:val="20"/>
                <w:b w:val="1"/>
                <w:bCs w:val="1"/>
                <w:color w:val="auto"/>
              </w:rPr>
              <w:t>ARTICLE 8 – REGULATORY MATTERS</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60</w:t>
            </w:r>
          </w:p>
        </w:tc>
      </w:tr>
      <w:tr>
        <w:trPr>
          <w:trHeight w:val="445"/>
        </w:trPr>
        <w:tc>
          <w:tcPr>
            <w:tcW w:w="2500" w:type="dxa"/>
            <w:vAlign w:val="bottom"/>
          </w:tcPr>
          <w:p>
            <w:pPr>
              <w:ind w:left="880"/>
              <w:spacing w:after="0"/>
              <w:rPr>
                <w:sz w:val="20"/>
                <w:szCs w:val="20"/>
                <w:color w:val="auto"/>
              </w:rPr>
            </w:pPr>
            <w:r>
              <w:rPr>
                <w:rFonts w:ascii="Arial" w:cs="Arial" w:eastAsia="Arial" w:hAnsi="Arial"/>
                <w:sz w:val="20"/>
                <w:szCs w:val="20"/>
                <w:b w:val="1"/>
                <w:bCs w:val="1"/>
                <w:color w:val="auto"/>
              </w:rPr>
              <w:t>Section 8.1</w:t>
            </w:r>
          </w:p>
        </w:tc>
        <w:tc>
          <w:tcPr>
            <w:tcW w:w="7360" w:type="dxa"/>
            <w:vAlign w:val="bottom"/>
          </w:tcPr>
          <w:p>
            <w:pPr>
              <w:spacing w:after="0"/>
              <w:rPr>
                <w:sz w:val="20"/>
                <w:szCs w:val="20"/>
                <w:color w:val="auto"/>
              </w:rPr>
            </w:pPr>
            <w:r>
              <w:rPr>
                <w:rFonts w:ascii="Arial" w:cs="Arial" w:eastAsia="Arial" w:hAnsi="Arial"/>
                <w:sz w:val="20"/>
                <w:szCs w:val="20"/>
                <w:b w:val="1"/>
                <w:bCs w:val="1"/>
                <w:color w:val="auto"/>
              </w:rPr>
              <w:t>Reserved</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60</w:t>
            </w:r>
          </w:p>
        </w:tc>
      </w:tr>
      <w:tr>
        <w:trPr>
          <w:trHeight w:val="445"/>
        </w:trPr>
        <w:tc>
          <w:tcPr>
            <w:tcW w:w="2500" w:type="dxa"/>
            <w:vAlign w:val="bottom"/>
          </w:tcPr>
          <w:p>
            <w:pPr>
              <w:ind w:left="880"/>
              <w:spacing w:after="0"/>
              <w:rPr>
                <w:sz w:val="20"/>
                <w:szCs w:val="20"/>
                <w:color w:val="auto"/>
              </w:rPr>
            </w:pPr>
            <w:r>
              <w:rPr>
                <w:rFonts w:ascii="Arial" w:cs="Arial" w:eastAsia="Arial" w:hAnsi="Arial"/>
                <w:sz w:val="20"/>
                <w:szCs w:val="20"/>
                <w:b w:val="1"/>
                <w:bCs w:val="1"/>
                <w:color w:val="auto"/>
              </w:rPr>
              <w:t>Section 8.2</w:t>
            </w:r>
          </w:p>
        </w:tc>
        <w:tc>
          <w:tcPr>
            <w:tcW w:w="7360" w:type="dxa"/>
            <w:vAlign w:val="bottom"/>
          </w:tcPr>
          <w:p>
            <w:pPr>
              <w:spacing w:after="0"/>
              <w:rPr>
                <w:sz w:val="20"/>
                <w:szCs w:val="20"/>
                <w:color w:val="auto"/>
              </w:rPr>
            </w:pPr>
            <w:r>
              <w:rPr>
                <w:rFonts w:ascii="Arial" w:cs="Arial" w:eastAsia="Arial" w:hAnsi="Arial"/>
                <w:sz w:val="20"/>
                <w:szCs w:val="20"/>
                <w:b w:val="1"/>
                <w:bCs w:val="1"/>
                <w:color w:val="auto"/>
              </w:rPr>
              <w:t>Representations and Warranties</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60</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iv</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56"/>
        </w:trPr>
        <w:tc>
          <w:tcPr>
            <w:tcW w:w="2240" w:type="dxa"/>
            <w:vAlign w:val="bottom"/>
          </w:tcPr>
          <w:p>
            <w:pPr>
              <w:ind w:left="880"/>
              <w:spacing w:after="0"/>
              <w:rPr>
                <w:sz w:val="20"/>
                <w:szCs w:val="20"/>
                <w:color w:val="auto"/>
              </w:rPr>
            </w:pPr>
            <w:r>
              <w:rPr>
                <w:rFonts w:ascii="Arial" w:cs="Arial" w:eastAsia="Arial" w:hAnsi="Arial"/>
                <w:sz w:val="20"/>
                <w:szCs w:val="20"/>
                <w:b w:val="1"/>
                <w:bCs w:val="1"/>
                <w:color w:val="auto"/>
              </w:rPr>
              <w:t>Section 8.3</w:t>
            </w:r>
          </w:p>
        </w:tc>
        <w:tc>
          <w:tcPr>
            <w:tcW w:w="7600" w:type="dxa"/>
            <w:vAlign w:val="bottom"/>
          </w:tcPr>
          <w:p>
            <w:pPr>
              <w:ind w:left="260"/>
              <w:spacing w:after="0"/>
              <w:rPr>
                <w:sz w:val="20"/>
                <w:szCs w:val="20"/>
                <w:color w:val="auto"/>
              </w:rPr>
            </w:pPr>
            <w:r>
              <w:rPr>
                <w:rFonts w:ascii="Arial" w:cs="Arial" w:eastAsia="Arial" w:hAnsi="Arial"/>
                <w:sz w:val="20"/>
                <w:szCs w:val="20"/>
                <w:b w:val="1"/>
                <w:bCs w:val="1"/>
                <w:color w:val="auto"/>
              </w:rPr>
              <w:t>Healthcare Operations</w:t>
            </w:r>
          </w:p>
        </w:tc>
        <w:tc>
          <w:tcPr>
            <w:tcW w:w="1400" w:type="dxa"/>
            <w:vAlign w:val="bottom"/>
          </w:tcPr>
          <w:p>
            <w:pPr>
              <w:jc w:val="right"/>
              <w:spacing w:after="0"/>
              <w:rPr>
                <w:sz w:val="20"/>
                <w:szCs w:val="20"/>
                <w:color w:val="auto"/>
              </w:rPr>
            </w:pPr>
            <w:r>
              <w:rPr>
                <w:rFonts w:ascii="Arial" w:cs="Arial" w:eastAsia="Arial" w:hAnsi="Arial"/>
                <w:sz w:val="20"/>
                <w:szCs w:val="20"/>
                <w:b w:val="1"/>
                <w:bCs w:val="1"/>
                <w:color w:val="auto"/>
              </w:rPr>
              <w:t>62</w:t>
            </w:r>
          </w:p>
        </w:tc>
      </w:tr>
      <w:tr>
        <w:trPr>
          <w:trHeight w:val="446"/>
        </w:trPr>
        <w:tc>
          <w:tcPr>
            <w:tcW w:w="9840" w:type="dxa"/>
            <w:vAlign w:val="bottom"/>
            <w:gridSpan w:val="2"/>
          </w:tcPr>
          <w:p>
            <w:pPr>
              <w:spacing w:after="0"/>
              <w:rPr>
                <w:sz w:val="20"/>
                <w:szCs w:val="20"/>
                <w:color w:val="auto"/>
              </w:rPr>
            </w:pPr>
            <w:r>
              <w:rPr>
                <w:rFonts w:ascii="Arial" w:cs="Arial" w:eastAsia="Arial" w:hAnsi="Arial"/>
                <w:sz w:val="20"/>
                <w:szCs w:val="20"/>
                <w:b w:val="1"/>
                <w:bCs w:val="1"/>
                <w:color w:val="auto"/>
              </w:rPr>
              <w:t>ARTICLE 9 - SECURITY AGREEMENT</w:t>
            </w:r>
          </w:p>
        </w:tc>
        <w:tc>
          <w:tcPr>
            <w:tcW w:w="1400" w:type="dxa"/>
            <w:vAlign w:val="bottom"/>
          </w:tcPr>
          <w:p>
            <w:pPr>
              <w:jc w:val="right"/>
              <w:spacing w:after="0"/>
              <w:rPr>
                <w:sz w:val="20"/>
                <w:szCs w:val="20"/>
                <w:color w:val="auto"/>
              </w:rPr>
            </w:pPr>
            <w:r>
              <w:rPr>
                <w:rFonts w:ascii="Arial" w:cs="Arial" w:eastAsia="Arial" w:hAnsi="Arial"/>
                <w:sz w:val="20"/>
                <w:szCs w:val="20"/>
                <w:b w:val="1"/>
                <w:bCs w:val="1"/>
                <w:color w:val="auto"/>
              </w:rPr>
              <w:t>63</w:t>
            </w:r>
          </w:p>
        </w:tc>
      </w:tr>
      <w:tr>
        <w:trPr>
          <w:trHeight w:val="446"/>
        </w:trPr>
        <w:tc>
          <w:tcPr>
            <w:tcW w:w="2240" w:type="dxa"/>
            <w:vAlign w:val="bottom"/>
          </w:tcPr>
          <w:p>
            <w:pPr>
              <w:ind w:left="880"/>
              <w:spacing w:after="0"/>
              <w:rPr>
                <w:sz w:val="20"/>
                <w:szCs w:val="20"/>
                <w:color w:val="auto"/>
              </w:rPr>
            </w:pPr>
            <w:r>
              <w:rPr>
                <w:rFonts w:ascii="Arial" w:cs="Arial" w:eastAsia="Arial" w:hAnsi="Arial"/>
                <w:sz w:val="20"/>
                <w:szCs w:val="20"/>
                <w:b w:val="1"/>
                <w:bCs w:val="1"/>
                <w:color w:val="auto"/>
              </w:rPr>
              <w:t>Section 9.1</w:t>
            </w:r>
          </w:p>
        </w:tc>
        <w:tc>
          <w:tcPr>
            <w:tcW w:w="7600" w:type="dxa"/>
            <w:vAlign w:val="bottom"/>
          </w:tcPr>
          <w:p>
            <w:pPr>
              <w:ind w:left="260"/>
              <w:spacing w:after="0"/>
              <w:rPr>
                <w:sz w:val="20"/>
                <w:szCs w:val="20"/>
                <w:color w:val="auto"/>
              </w:rPr>
            </w:pPr>
            <w:r>
              <w:rPr>
                <w:rFonts w:ascii="Arial" w:cs="Arial" w:eastAsia="Arial" w:hAnsi="Arial"/>
                <w:sz w:val="20"/>
                <w:szCs w:val="20"/>
                <w:b w:val="1"/>
                <w:bCs w:val="1"/>
                <w:color w:val="auto"/>
              </w:rPr>
              <w:t>Generally</w:t>
            </w:r>
          </w:p>
        </w:tc>
        <w:tc>
          <w:tcPr>
            <w:tcW w:w="1400" w:type="dxa"/>
            <w:vAlign w:val="bottom"/>
          </w:tcPr>
          <w:p>
            <w:pPr>
              <w:jc w:val="right"/>
              <w:spacing w:after="0"/>
              <w:rPr>
                <w:sz w:val="20"/>
                <w:szCs w:val="20"/>
                <w:color w:val="auto"/>
              </w:rPr>
            </w:pPr>
            <w:r>
              <w:rPr>
                <w:rFonts w:ascii="Arial" w:cs="Arial" w:eastAsia="Arial" w:hAnsi="Arial"/>
                <w:sz w:val="20"/>
                <w:szCs w:val="20"/>
                <w:b w:val="1"/>
                <w:bCs w:val="1"/>
                <w:color w:val="auto"/>
              </w:rPr>
              <w:t>63</w:t>
            </w:r>
          </w:p>
        </w:tc>
      </w:tr>
      <w:tr>
        <w:trPr>
          <w:trHeight w:val="445"/>
        </w:trPr>
        <w:tc>
          <w:tcPr>
            <w:tcW w:w="2240" w:type="dxa"/>
            <w:vAlign w:val="bottom"/>
          </w:tcPr>
          <w:p>
            <w:pPr>
              <w:ind w:left="880"/>
              <w:spacing w:after="0"/>
              <w:rPr>
                <w:sz w:val="20"/>
                <w:szCs w:val="20"/>
                <w:color w:val="auto"/>
              </w:rPr>
            </w:pPr>
            <w:r>
              <w:rPr>
                <w:rFonts w:ascii="Arial" w:cs="Arial" w:eastAsia="Arial" w:hAnsi="Arial"/>
                <w:sz w:val="20"/>
                <w:szCs w:val="20"/>
                <w:b w:val="1"/>
                <w:bCs w:val="1"/>
                <w:color w:val="auto"/>
              </w:rPr>
              <w:t>Section 9.2</w:t>
            </w:r>
          </w:p>
        </w:tc>
        <w:tc>
          <w:tcPr>
            <w:tcW w:w="7600" w:type="dxa"/>
            <w:vAlign w:val="bottom"/>
          </w:tcPr>
          <w:p>
            <w:pPr>
              <w:ind w:left="260"/>
              <w:spacing w:after="0"/>
              <w:rPr>
                <w:sz w:val="20"/>
                <w:szCs w:val="20"/>
                <w:color w:val="auto"/>
              </w:rPr>
            </w:pPr>
            <w:r>
              <w:rPr>
                <w:rFonts w:ascii="Arial" w:cs="Arial" w:eastAsia="Arial" w:hAnsi="Arial"/>
                <w:sz w:val="20"/>
                <w:szCs w:val="20"/>
                <w:b w:val="1"/>
                <w:bCs w:val="1"/>
                <w:color w:val="auto"/>
              </w:rPr>
              <w:t>Representations and Warranties and Covenants Relating to Collateral.</w:t>
            </w:r>
          </w:p>
        </w:tc>
        <w:tc>
          <w:tcPr>
            <w:tcW w:w="1400" w:type="dxa"/>
            <w:vAlign w:val="bottom"/>
          </w:tcPr>
          <w:p>
            <w:pPr>
              <w:jc w:val="right"/>
              <w:spacing w:after="0"/>
              <w:rPr>
                <w:sz w:val="20"/>
                <w:szCs w:val="20"/>
                <w:color w:val="auto"/>
              </w:rPr>
            </w:pPr>
            <w:r>
              <w:rPr>
                <w:rFonts w:ascii="Arial" w:cs="Arial" w:eastAsia="Arial" w:hAnsi="Arial"/>
                <w:sz w:val="20"/>
                <w:szCs w:val="20"/>
                <w:b w:val="1"/>
                <w:bCs w:val="1"/>
                <w:color w:val="auto"/>
              </w:rPr>
              <w:t>63</w:t>
            </w:r>
          </w:p>
        </w:tc>
      </w:tr>
      <w:tr>
        <w:trPr>
          <w:trHeight w:val="446"/>
        </w:trPr>
        <w:tc>
          <w:tcPr>
            <w:tcW w:w="9840" w:type="dxa"/>
            <w:vAlign w:val="bottom"/>
            <w:gridSpan w:val="2"/>
          </w:tcPr>
          <w:p>
            <w:pPr>
              <w:spacing w:after="0"/>
              <w:rPr>
                <w:sz w:val="20"/>
                <w:szCs w:val="20"/>
                <w:color w:val="auto"/>
              </w:rPr>
            </w:pPr>
            <w:r>
              <w:rPr>
                <w:rFonts w:ascii="Arial" w:cs="Arial" w:eastAsia="Arial" w:hAnsi="Arial"/>
                <w:sz w:val="20"/>
                <w:szCs w:val="20"/>
                <w:b w:val="1"/>
                <w:bCs w:val="1"/>
                <w:color w:val="auto"/>
              </w:rPr>
              <w:t>ARTICLE 10 - EVENTS OF DEFAULT</w:t>
            </w:r>
          </w:p>
        </w:tc>
        <w:tc>
          <w:tcPr>
            <w:tcW w:w="1400" w:type="dxa"/>
            <w:vAlign w:val="bottom"/>
          </w:tcPr>
          <w:p>
            <w:pPr>
              <w:jc w:val="right"/>
              <w:spacing w:after="0"/>
              <w:rPr>
                <w:sz w:val="20"/>
                <w:szCs w:val="20"/>
                <w:color w:val="auto"/>
              </w:rPr>
            </w:pPr>
            <w:r>
              <w:rPr>
                <w:rFonts w:ascii="Arial" w:cs="Arial" w:eastAsia="Arial" w:hAnsi="Arial"/>
                <w:sz w:val="20"/>
                <w:szCs w:val="20"/>
                <w:b w:val="1"/>
                <w:bCs w:val="1"/>
                <w:color w:val="auto"/>
              </w:rPr>
              <w:t>67</w:t>
            </w:r>
          </w:p>
        </w:tc>
      </w:tr>
      <w:tr>
        <w:trPr>
          <w:trHeight w:val="445"/>
        </w:trPr>
        <w:tc>
          <w:tcPr>
            <w:tcW w:w="2240" w:type="dxa"/>
            <w:vAlign w:val="bottom"/>
          </w:tcPr>
          <w:p>
            <w:pPr>
              <w:ind w:left="880"/>
              <w:spacing w:after="0"/>
              <w:rPr>
                <w:sz w:val="20"/>
                <w:szCs w:val="20"/>
                <w:color w:val="auto"/>
              </w:rPr>
            </w:pPr>
            <w:r>
              <w:rPr>
                <w:rFonts w:ascii="Arial" w:cs="Arial" w:eastAsia="Arial" w:hAnsi="Arial"/>
                <w:sz w:val="20"/>
                <w:szCs w:val="20"/>
                <w:b w:val="1"/>
                <w:bCs w:val="1"/>
                <w:color w:val="auto"/>
              </w:rPr>
              <w:t>Section 10.1</w:t>
            </w:r>
          </w:p>
        </w:tc>
        <w:tc>
          <w:tcPr>
            <w:tcW w:w="7600" w:type="dxa"/>
            <w:vAlign w:val="bottom"/>
          </w:tcPr>
          <w:p>
            <w:pPr>
              <w:ind w:left="260"/>
              <w:spacing w:after="0"/>
              <w:rPr>
                <w:sz w:val="20"/>
                <w:szCs w:val="20"/>
                <w:color w:val="auto"/>
              </w:rPr>
            </w:pPr>
            <w:r>
              <w:rPr>
                <w:rFonts w:ascii="Arial" w:cs="Arial" w:eastAsia="Arial" w:hAnsi="Arial"/>
                <w:sz w:val="20"/>
                <w:szCs w:val="20"/>
                <w:b w:val="1"/>
                <w:bCs w:val="1"/>
                <w:color w:val="auto"/>
              </w:rPr>
              <w:t>Events of Default</w:t>
            </w:r>
          </w:p>
        </w:tc>
        <w:tc>
          <w:tcPr>
            <w:tcW w:w="1400" w:type="dxa"/>
            <w:vAlign w:val="bottom"/>
          </w:tcPr>
          <w:p>
            <w:pPr>
              <w:jc w:val="right"/>
              <w:spacing w:after="0"/>
              <w:rPr>
                <w:sz w:val="20"/>
                <w:szCs w:val="20"/>
                <w:color w:val="auto"/>
              </w:rPr>
            </w:pPr>
            <w:r>
              <w:rPr>
                <w:rFonts w:ascii="Arial" w:cs="Arial" w:eastAsia="Arial" w:hAnsi="Arial"/>
                <w:sz w:val="20"/>
                <w:szCs w:val="20"/>
                <w:b w:val="1"/>
                <w:bCs w:val="1"/>
                <w:color w:val="auto"/>
              </w:rPr>
              <w:t>67</w:t>
            </w:r>
          </w:p>
        </w:tc>
      </w:tr>
      <w:tr>
        <w:trPr>
          <w:trHeight w:val="446"/>
        </w:trPr>
        <w:tc>
          <w:tcPr>
            <w:tcW w:w="2240" w:type="dxa"/>
            <w:vAlign w:val="bottom"/>
          </w:tcPr>
          <w:p>
            <w:pPr>
              <w:ind w:left="880"/>
              <w:spacing w:after="0"/>
              <w:rPr>
                <w:sz w:val="20"/>
                <w:szCs w:val="20"/>
                <w:color w:val="auto"/>
              </w:rPr>
            </w:pPr>
            <w:r>
              <w:rPr>
                <w:rFonts w:ascii="Arial" w:cs="Arial" w:eastAsia="Arial" w:hAnsi="Arial"/>
                <w:sz w:val="20"/>
                <w:szCs w:val="20"/>
                <w:b w:val="1"/>
                <w:bCs w:val="1"/>
                <w:color w:val="auto"/>
              </w:rPr>
              <w:t>Section 10.2</w:t>
            </w:r>
          </w:p>
        </w:tc>
        <w:tc>
          <w:tcPr>
            <w:tcW w:w="7600" w:type="dxa"/>
            <w:vAlign w:val="bottom"/>
          </w:tcPr>
          <w:p>
            <w:pPr>
              <w:ind w:left="260"/>
              <w:spacing w:after="0"/>
              <w:rPr>
                <w:sz w:val="20"/>
                <w:szCs w:val="20"/>
                <w:color w:val="auto"/>
              </w:rPr>
            </w:pPr>
            <w:r>
              <w:rPr>
                <w:rFonts w:ascii="Arial" w:cs="Arial" w:eastAsia="Arial" w:hAnsi="Arial"/>
                <w:sz w:val="20"/>
                <w:szCs w:val="20"/>
                <w:b w:val="1"/>
                <w:bCs w:val="1"/>
                <w:color w:val="auto"/>
              </w:rPr>
              <w:t>Acceleration and Suspension or Termination of Term Loan Commitment</w:t>
            </w:r>
          </w:p>
        </w:tc>
        <w:tc>
          <w:tcPr>
            <w:tcW w:w="1400" w:type="dxa"/>
            <w:vAlign w:val="bottom"/>
          </w:tcPr>
          <w:p>
            <w:pPr>
              <w:jc w:val="right"/>
              <w:spacing w:after="0"/>
              <w:rPr>
                <w:sz w:val="20"/>
                <w:szCs w:val="20"/>
                <w:color w:val="auto"/>
              </w:rPr>
            </w:pPr>
            <w:r>
              <w:rPr>
                <w:rFonts w:ascii="Arial" w:cs="Arial" w:eastAsia="Arial" w:hAnsi="Arial"/>
                <w:sz w:val="20"/>
                <w:szCs w:val="20"/>
                <w:b w:val="1"/>
                <w:bCs w:val="1"/>
                <w:color w:val="auto"/>
              </w:rPr>
              <w:t>69</w:t>
            </w:r>
          </w:p>
        </w:tc>
      </w:tr>
      <w:tr>
        <w:trPr>
          <w:trHeight w:val="445"/>
        </w:trPr>
        <w:tc>
          <w:tcPr>
            <w:tcW w:w="2240" w:type="dxa"/>
            <w:vAlign w:val="bottom"/>
          </w:tcPr>
          <w:p>
            <w:pPr>
              <w:ind w:left="880"/>
              <w:spacing w:after="0"/>
              <w:rPr>
                <w:sz w:val="20"/>
                <w:szCs w:val="20"/>
                <w:color w:val="auto"/>
              </w:rPr>
            </w:pPr>
            <w:r>
              <w:rPr>
                <w:rFonts w:ascii="Arial" w:cs="Arial" w:eastAsia="Arial" w:hAnsi="Arial"/>
                <w:sz w:val="20"/>
                <w:szCs w:val="20"/>
                <w:b w:val="1"/>
                <w:bCs w:val="1"/>
                <w:color w:val="auto"/>
              </w:rPr>
              <w:t>Section 10.3</w:t>
            </w:r>
          </w:p>
        </w:tc>
        <w:tc>
          <w:tcPr>
            <w:tcW w:w="7600" w:type="dxa"/>
            <w:vAlign w:val="bottom"/>
          </w:tcPr>
          <w:p>
            <w:pPr>
              <w:ind w:left="260"/>
              <w:spacing w:after="0"/>
              <w:rPr>
                <w:sz w:val="20"/>
                <w:szCs w:val="20"/>
                <w:color w:val="auto"/>
              </w:rPr>
            </w:pPr>
            <w:r>
              <w:rPr>
                <w:rFonts w:ascii="Arial" w:cs="Arial" w:eastAsia="Arial" w:hAnsi="Arial"/>
                <w:sz w:val="20"/>
                <w:szCs w:val="20"/>
                <w:b w:val="1"/>
                <w:bCs w:val="1"/>
                <w:color w:val="auto"/>
              </w:rPr>
              <w:t>UCC Remedies.</w:t>
            </w:r>
          </w:p>
        </w:tc>
        <w:tc>
          <w:tcPr>
            <w:tcW w:w="1400" w:type="dxa"/>
            <w:vAlign w:val="bottom"/>
          </w:tcPr>
          <w:p>
            <w:pPr>
              <w:jc w:val="right"/>
              <w:spacing w:after="0"/>
              <w:rPr>
                <w:sz w:val="20"/>
                <w:szCs w:val="20"/>
                <w:color w:val="auto"/>
              </w:rPr>
            </w:pPr>
            <w:r>
              <w:rPr>
                <w:rFonts w:ascii="Arial" w:cs="Arial" w:eastAsia="Arial" w:hAnsi="Arial"/>
                <w:sz w:val="20"/>
                <w:szCs w:val="20"/>
                <w:b w:val="1"/>
                <w:bCs w:val="1"/>
                <w:color w:val="auto"/>
              </w:rPr>
              <w:t>70</w:t>
            </w:r>
          </w:p>
        </w:tc>
      </w:tr>
      <w:tr>
        <w:trPr>
          <w:trHeight w:val="446"/>
        </w:trPr>
        <w:tc>
          <w:tcPr>
            <w:tcW w:w="2240" w:type="dxa"/>
            <w:vAlign w:val="bottom"/>
          </w:tcPr>
          <w:p>
            <w:pPr>
              <w:ind w:left="880"/>
              <w:spacing w:after="0"/>
              <w:rPr>
                <w:sz w:val="20"/>
                <w:szCs w:val="20"/>
                <w:color w:val="auto"/>
              </w:rPr>
            </w:pPr>
            <w:r>
              <w:rPr>
                <w:rFonts w:ascii="Arial" w:cs="Arial" w:eastAsia="Arial" w:hAnsi="Arial"/>
                <w:sz w:val="20"/>
                <w:szCs w:val="20"/>
                <w:b w:val="1"/>
                <w:bCs w:val="1"/>
                <w:color w:val="auto"/>
              </w:rPr>
              <w:t>Section 10.4</w:t>
            </w:r>
          </w:p>
        </w:tc>
        <w:tc>
          <w:tcPr>
            <w:tcW w:w="7600" w:type="dxa"/>
            <w:vAlign w:val="bottom"/>
          </w:tcPr>
          <w:p>
            <w:pPr>
              <w:ind w:left="260"/>
              <w:spacing w:after="0"/>
              <w:rPr>
                <w:sz w:val="20"/>
                <w:szCs w:val="20"/>
                <w:color w:val="auto"/>
              </w:rPr>
            </w:pPr>
            <w:r>
              <w:rPr>
                <w:rFonts w:ascii="Arial" w:cs="Arial" w:eastAsia="Arial" w:hAnsi="Arial"/>
                <w:sz w:val="20"/>
                <w:szCs w:val="20"/>
                <w:b w:val="1"/>
                <w:bCs w:val="1"/>
                <w:color w:val="auto"/>
              </w:rPr>
              <w:t>Reserved.</w:t>
            </w:r>
          </w:p>
        </w:tc>
        <w:tc>
          <w:tcPr>
            <w:tcW w:w="1400" w:type="dxa"/>
            <w:vAlign w:val="bottom"/>
          </w:tcPr>
          <w:p>
            <w:pPr>
              <w:jc w:val="right"/>
              <w:spacing w:after="0"/>
              <w:rPr>
                <w:sz w:val="20"/>
                <w:szCs w:val="20"/>
                <w:color w:val="auto"/>
              </w:rPr>
            </w:pPr>
            <w:r>
              <w:rPr>
                <w:rFonts w:ascii="Arial" w:cs="Arial" w:eastAsia="Arial" w:hAnsi="Arial"/>
                <w:sz w:val="20"/>
                <w:szCs w:val="20"/>
                <w:b w:val="1"/>
                <w:bCs w:val="1"/>
                <w:color w:val="auto"/>
              </w:rPr>
              <w:t>71</w:t>
            </w:r>
          </w:p>
        </w:tc>
      </w:tr>
      <w:tr>
        <w:trPr>
          <w:trHeight w:val="445"/>
        </w:trPr>
        <w:tc>
          <w:tcPr>
            <w:tcW w:w="2240" w:type="dxa"/>
            <w:vAlign w:val="bottom"/>
          </w:tcPr>
          <w:p>
            <w:pPr>
              <w:ind w:left="880"/>
              <w:spacing w:after="0"/>
              <w:rPr>
                <w:sz w:val="20"/>
                <w:szCs w:val="20"/>
                <w:color w:val="auto"/>
              </w:rPr>
            </w:pPr>
            <w:r>
              <w:rPr>
                <w:rFonts w:ascii="Arial" w:cs="Arial" w:eastAsia="Arial" w:hAnsi="Arial"/>
                <w:sz w:val="20"/>
                <w:szCs w:val="20"/>
                <w:b w:val="1"/>
                <w:bCs w:val="1"/>
                <w:color w:val="auto"/>
              </w:rPr>
              <w:t>Section 10.5</w:t>
            </w:r>
          </w:p>
        </w:tc>
        <w:tc>
          <w:tcPr>
            <w:tcW w:w="7600" w:type="dxa"/>
            <w:vAlign w:val="bottom"/>
          </w:tcPr>
          <w:p>
            <w:pPr>
              <w:ind w:left="260"/>
              <w:spacing w:after="0"/>
              <w:rPr>
                <w:sz w:val="20"/>
                <w:szCs w:val="20"/>
                <w:color w:val="auto"/>
              </w:rPr>
            </w:pPr>
            <w:r>
              <w:rPr>
                <w:rFonts w:ascii="Arial" w:cs="Arial" w:eastAsia="Arial" w:hAnsi="Arial"/>
                <w:sz w:val="20"/>
                <w:szCs w:val="20"/>
                <w:b w:val="1"/>
                <w:bCs w:val="1"/>
                <w:color w:val="auto"/>
              </w:rPr>
              <w:t>Default Rate of Interest</w:t>
            </w:r>
          </w:p>
        </w:tc>
        <w:tc>
          <w:tcPr>
            <w:tcW w:w="1400" w:type="dxa"/>
            <w:vAlign w:val="bottom"/>
          </w:tcPr>
          <w:p>
            <w:pPr>
              <w:jc w:val="right"/>
              <w:spacing w:after="0"/>
              <w:rPr>
                <w:sz w:val="20"/>
                <w:szCs w:val="20"/>
                <w:color w:val="auto"/>
              </w:rPr>
            </w:pPr>
            <w:r>
              <w:rPr>
                <w:rFonts w:ascii="Arial" w:cs="Arial" w:eastAsia="Arial" w:hAnsi="Arial"/>
                <w:sz w:val="20"/>
                <w:szCs w:val="20"/>
                <w:b w:val="1"/>
                <w:bCs w:val="1"/>
                <w:color w:val="auto"/>
              </w:rPr>
              <w:t>71</w:t>
            </w:r>
          </w:p>
        </w:tc>
      </w:tr>
      <w:tr>
        <w:trPr>
          <w:trHeight w:val="446"/>
        </w:trPr>
        <w:tc>
          <w:tcPr>
            <w:tcW w:w="2240" w:type="dxa"/>
            <w:vAlign w:val="bottom"/>
          </w:tcPr>
          <w:p>
            <w:pPr>
              <w:ind w:left="880"/>
              <w:spacing w:after="0"/>
              <w:rPr>
                <w:sz w:val="20"/>
                <w:szCs w:val="20"/>
                <w:color w:val="auto"/>
              </w:rPr>
            </w:pPr>
            <w:r>
              <w:rPr>
                <w:rFonts w:ascii="Arial" w:cs="Arial" w:eastAsia="Arial" w:hAnsi="Arial"/>
                <w:sz w:val="20"/>
                <w:szCs w:val="20"/>
                <w:b w:val="1"/>
                <w:bCs w:val="1"/>
                <w:color w:val="auto"/>
              </w:rPr>
              <w:t>Section 10.6</w:t>
            </w:r>
          </w:p>
        </w:tc>
        <w:tc>
          <w:tcPr>
            <w:tcW w:w="7600" w:type="dxa"/>
            <w:vAlign w:val="bottom"/>
          </w:tcPr>
          <w:p>
            <w:pPr>
              <w:ind w:left="260"/>
              <w:spacing w:after="0"/>
              <w:rPr>
                <w:sz w:val="20"/>
                <w:szCs w:val="20"/>
                <w:color w:val="auto"/>
              </w:rPr>
            </w:pPr>
            <w:r>
              <w:rPr>
                <w:rFonts w:ascii="Arial" w:cs="Arial" w:eastAsia="Arial" w:hAnsi="Arial"/>
                <w:sz w:val="20"/>
                <w:szCs w:val="20"/>
                <w:b w:val="1"/>
                <w:bCs w:val="1"/>
                <w:color w:val="auto"/>
              </w:rPr>
              <w:t>Setoff Rights</w:t>
            </w:r>
          </w:p>
        </w:tc>
        <w:tc>
          <w:tcPr>
            <w:tcW w:w="1400" w:type="dxa"/>
            <w:vAlign w:val="bottom"/>
          </w:tcPr>
          <w:p>
            <w:pPr>
              <w:jc w:val="right"/>
              <w:spacing w:after="0"/>
              <w:rPr>
                <w:sz w:val="20"/>
                <w:szCs w:val="20"/>
                <w:color w:val="auto"/>
              </w:rPr>
            </w:pPr>
            <w:r>
              <w:rPr>
                <w:rFonts w:ascii="Arial" w:cs="Arial" w:eastAsia="Arial" w:hAnsi="Arial"/>
                <w:sz w:val="20"/>
                <w:szCs w:val="20"/>
                <w:b w:val="1"/>
                <w:bCs w:val="1"/>
                <w:color w:val="auto"/>
              </w:rPr>
              <w:t>71</w:t>
            </w:r>
          </w:p>
        </w:tc>
      </w:tr>
      <w:tr>
        <w:trPr>
          <w:trHeight w:val="446"/>
        </w:trPr>
        <w:tc>
          <w:tcPr>
            <w:tcW w:w="2240" w:type="dxa"/>
            <w:vAlign w:val="bottom"/>
          </w:tcPr>
          <w:p>
            <w:pPr>
              <w:ind w:left="880"/>
              <w:spacing w:after="0"/>
              <w:rPr>
                <w:sz w:val="20"/>
                <w:szCs w:val="20"/>
                <w:color w:val="auto"/>
              </w:rPr>
            </w:pPr>
            <w:r>
              <w:rPr>
                <w:rFonts w:ascii="Arial" w:cs="Arial" w:eastAsia="Arial" w:hAnsi="Arial"/>
                <w:sz w:val="20"/>
                <w:szCs w:val="20"/>
                <w:b w:val="1"/>
                <w:bCs w:val="1"/>
                <w:color w:val="auto"/>
              </w:rPr>
              <w:t>Section 10.7</w:t>
            </w:r>
          </w:p>
        </w:tc>
        <w:tc>
          <w:tcPr>
            <w:tcW w:w="7600" w:type="dxa"/>
            <w:vAlign w:val="bottom"/>
          </w:tcPr>
          <w:p>
            <w:pPr>
              <w:ind w:left="260"/>
              <w:spacing w:after="0"/>
              <w:rPr>
                <w:sz w:val="20"/>
                <w:szCs w:val="20"/>
                <w:color w:val="auto"/>
              </w:rPr>
            </w:pPr>
            <w:r>
              <w:rPr>
                <w:rFonts w:ascii="Arial" w:cs="Arial" w:eastAsia="Arial" w:hAnsi="Arial"/>
                <w:sz w:val="20"/>
                <w:szCs w:val="20"/>
                <w:b w:val="1"/>
                <w:bCs w:val="1"/>
                <w:color w:val="auto"/>
              </w:rPr>
              <w:t>Application of Proceeds.</w:t>
            </w:r>
          </w:p>
        </w:tc>
        <w:tc>
          <w:tcPr>
            <w:tcW w:w="1400" w:type="dxa"/>
            <w:vAlign w:val="bottom"/>
          </w:tcPr>
          <w:p>
            <w:pPr>
              <w:jc w:val="right"/>
              <w:spacing w:after="0"/>
              <w:rPr>
                <w:sz w:val="20"/>
                <w:szCs w:val="20"/>
                <w:color w:val="auto"/>
              </w:rPr>
            </w:pPr>
            <w:r>
              <w:rPr>
                <w:rFonts w:ascii="Arial" w:cs="Arial" w:eastAsia="Arial" w:hAnsi="Arial"/>
                <w:sz w:val="20"/>
                <w:szCs w:val="20"/>
                <w:b w:val="1"/>
                <w:bCs w:val="1"/>
                <w:color w:val="auto"/>
              </w:rPr>
              <w:t>72</w:t>
            </w:r>
          </w:p>
        </w:tc>
      </w:tr>
      <w:tr>
        <w:trPr>
          <w:trHeight w:val="445"/>
        </w:trPr>
        <w:tc>
          <w:tcPr>
            <w:tcW w:w="2240" w:type="dxa"/>
            <w:vAlign w:val="bottom"/>
          </w:tcPr>
          <w:p>
            <w:pPr>
              <w:ind w:left="880"/>
              <w:spacing w:after="0"/>
              <w:rPr>
                <w:sz w:val="20"/>
                <w:szCs w:val="20"/>
                <w:color w:val="auto"/>
              </w:rPr>
            </w:pPr>
            <w:r>
              <w:rPr>
                <w:rFonts w:ascii="Arial" w:cs="Arial" w:eastAsia="Arial" w:hAnsi="Arial"/>
                <w:sz w:val="20"/>
                <w:szCs w:val="20"/>
                <w:b w:val="1"/>
                <w:bCs w:val="1"/>
                <w:color w:val="auto"/>
              </w:rPr>
              <w:t>Section 10.8</w:t>
            </w:r>
          </w:p>
        </w:tc>
        <w:tc>
          <w:tcPr>
            <w:tcW w:w="7600" w:type="dxa"/>
            <w:vAlign w:val="bottom"/>
          </w:tcPr>
          <w:p>
            <w:pPr>
              <w:ind w:left="260"/>
              <w:spacing w:after="0"/>
              <w:rPr>
                <w:sz w:val="20"/>
                <w:szCs w:val="20"/>
                <w:color w:val="auto"/>
              </w:rPr>
            </w:pPr>
            <w:r>
              <w:rPr>
                <w:rFonts w:ascii="Arial" w:cs="Arial" w:eastAsia="Arial" w:hAnsi="Arial"/>
                <w:sz w:val="20"/>
                <w:szCs w:val="20"/>
                <w:b w:val="1"/>
                <w:bCs w:val="1"/>
                <w:color w:val="auto"/>
              </w:rPr>
              <w:t>Waivers.</w:t>
            </w:r>
          </w:p>
        </w:tc>
        <w:tc>
          <w:tcPr>
            <w:tcW w:w="1400" w:type="dxa"/>
            <w:vAlign w:val="bottom"/>
          </w:tcPr>
          <w:p>
            <w:pPr>
              <w:jc w:val="right"/>
              <w:spacing w:after="0"/>
              <w:rPr>
                <w:sz w:val="20"/>
                <w:szCs w:val="20"/>
                <w:color w:val="auto"/>
              </w:rPr>
            </w:pPr>
            <w:r>
              <w:rPr>
                <w:rFonts w:ascii="Arial" w:cs="Arial" w:eastAsia="Arial" w:hAnsi="Arial"/>
                <w:sz w:val="20"/>
                <w:szCs w:val="20"/>
                <w:b w:val="1"/>
                <w:bCs w:val="1"/>
                <w:color w:val="auto"/>
              </w:rPr>
              <w:t>72</w:t>
            </w:r>
          </w:p>
        </w:tc>
      </w:tr>
      <w:tr>
        <w:trPr>
          <w:trHeight w:val="446"/>
        </w:trPr>
        <w:tc>
          <w:tcPr>
            <w:tcW w:w="2240" w:type="dxa"/>
            <w:vAlign w:val="bottom"/>
          </w:tcPr>
          <w:p>
            <w:pPr>
              <w:ind w:left="880"/>
              <w:spacing w:after="0"/>
              <w:rPr>
                <w:sz w:val="20"/>
                <w:szCs w:val="20"/>
                <w:color w:val="auto"/>
              </w:rPr>
            </w:pPr>
            <w:r>
              <w:rPr>
                <w:rFonts w:ascii="Arial" w:cs="Arial" w:eastAsia="Arial" w:hAnsi="Arial"/>
                <w:sz w:val="20"/>
                <w:szCs w:val="20"/>
                <w:b w:val="1"/>
                <w:bCs w:val="1"/>
                <w:color w:val="auto"/>
              </w:rPr>
              <w:t>Section 10.9</w:t>
            </w:r>
          </w:p>
        </w:tc>
        <w:tc>
          <w:tcPr>
            <w:tcW w:w="7600" w:type="dxa"/>
            <w:vAlign w:val="bottom"/>
          </w:tcPr>
          <w:p>
            <w:pPr>
              <w:ind w:left="260"/>
              <w:spacing w:after="0"/>
              <w:rPr>
                <w:sz w:val="20"/>
                <w:szCs w:val="20"/>
                <w:color w:val="auto"/>
              </w:rPr>
            </w:pPr>
            <w:r>
              <w:rPr>
                <w:rFonts w:ascii="Arial" w:cs="Arial" w:eastAsia="Arial" w:hAnsi="Arial"/>
                <w:sz w:val="20"/>
                <w:szCs w:val="20"/>
                <w:b w:val="1"/>
                <w:bCs w:val="1"/>
                <w:color w:val="auto"/>
              </w:rPr>
              <w:t>Injunctive Relief</w:t>
            </w:r>
          </w:p>
        </w:tc>
        <w:tc>
          <w:tcPr>
            <w:tcW w:w="1400" w:type="dxa"/>
            <w:vAlign w:val="bottom"/>
          </w:tcPr>
          <w:p>
            <w:pPr>
              <w:jc w:val="right"/>
              <w:spacing w:after="0"/>
              <w:rPr>
                <w:sz w:val="20"/>
                <w:szCs w:val="20"/>
                <w:color w:val="auto"/>
              </w:rPr>
            </w:pPr>
            <w:r>
              <w:rPr>
                <w:rFonts w:ascii="Arial" w:cs="Arial" w:eastAsia="Arial" w:hAnsi="Arial"/>
                <w:sz w:val="20"/>
                <w:szCs w:val="20"/>
                <w:b w:val="1"/>
                <w:bCs w:val="1"/>
                <w:color w:val="auto"/>
              </w:rPr>
              <w:t>74</w:t>
            </w:r>
          </w:p>
        </w:tc>
      </w:tr>
      <w:tr>
        <w:trPr>
          <w:trHeight w:val="445"/>
        </w:trPr>
        <w:tc>
          <w:tcPr>
            <w:tcW w:w="2240" w:type="dxa"/>
            <w:vAlign w:val="bottom"/>
          </w:tcPr>
          <w:p>
            <w:pPr>
              <w:ind w:left="880"/>
              <w:spacing w:after="0"/>
              <w:rPr>
                <w:sz w:val="20"/>
                <w:szCs w:val="20"/>
                <w:color w:val="auto"/>
              </w:rPr>
            </w:pPr>
            <w:r>
              <w:rPr>
                <w:rFonts w:ascii="Arial" w:cs="Arial" w:eastAsia="Arial" w:hAnsi="Arial"/>
                <w:sz w:val="20"/>
                <w:szCs w:val="20"/>
                <w:b w:val="1"/>
                <w:bCs w:val="1"/>
                <w:color w:val="auto"/>
              </w:rPr>
              <w:t>Section 10.10</w:t>
            </w:r>
          </w:p>
        </w:tc>
        <w:tc>
          <w:tcPr>
            <w:tcW w:w="7600" w:type="dxa"/>
            <w:vAlign w:val="bottom"/>
          </w:tcPr>
          <w:p>
            <w:pPr>
              <w:ind w:left="260"/>
              <w:spacing w:after="0"/>
              <w:rPr>
                <w:sz w:val="20"/>
                <w:szCs w:val="20"/>
                <w:color w:val="auto"/>
              </w:rPr>
            </w:pPr>
            <w:r>
              <w:rPr>
                <w:rFonts w:ascii="Arial" w:cs="Arial" w:eastAsia="Arial" w:hAnsi="Arial"/>
                <w:sz w:val="20"/>
                <w:szCs w:val="20"/>
                <w:b w:val="1"/>
                <w:bCs w:val="1"/>
                <w:color w:val="auto"/>
              </w:rPr>
              <w:t>Marshalling; Payments Set Aside</w:t>
            </w:r>
          </w:p>
        </w:tc>
        <w:tc>
          <w:tcPr>
            <w:tcW w:w="1400" w:type="dxa"/>
            <w:vAlign w:val="bottom"/>
          </w:tcPr>
          <w:p>
            <w:pPr>
              <w:jc w:val="right"/>
              <w:spacing w:after="0"/>
              <w:rPr>
                <w:sz w:val="20"/>
                <w:szCs w:val="20"/>
                <w:color w:val="auto"/>
              </w:rPr>
            </w:pPr>
            <w:r>
              <w:rPr>
                <w:rFonts w:ascii="Arial" w:cs="Arial" w:eastAsia="Arial" w:hAnsi="Arial"/>
                <w:sz w:val="20"/>
                <w:szCs w:val="20"/>
                <w:b w:val="1"/>
                <w:bCs w:val="1"/>
                <w:color w:val="auto"/>
              </w:rPr>
              <w:t>74</w:t>
            </w:r>
          </w:p>
        </w:tc>
      </w:tr>
      <w:tr>
        <w:trPr>
          <w:trHeight w:val="445"/>
        </w:trPr>
        <w:tc>
          <w:tcPr>
            <w:tcW w:w="2240" w:type="dxa"/>
            <w:vAlign w:val="bottom"/>
          </w:tcPr>
          <w:p>
            <w:pPr>
              <w:spacing w:after="0"/>
              <w:rPr>
                <w:sz w:val="20"/>
                <w:szCs w:val="20"/>
                <w:color w:val="auto"/>
              </w:rPr>
            </w:pPr>
            <w:r>
              <w:rPr>
                <w:rFonts w:ascii="Arial" w:cs="Arial" w:eastAsia="Arial" w:hAnsi="Arial"/>
                <w:sz w:val="20"/>
                <w:szCs w:val="20"/>
                <w:b w:val="1"/>
                <w:bCs w:val="1"/>
                <w:color w:val="auto"/>
              </w:rPr>
              <w:t>ARTICLE 11 - AGENT</w:t>
            </w:r>
          </w:p>
        </w:tc>
        <w:tc>
          <w:tcPr>
            <w:tcW w:w="76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b w:val="1"/>
                <w:bCs w:val="1"/>
                <w:color w:val="auto"/>
              </w:rPr>
              <w:t>74</w:t>
            </w:r>
          </w:p>
        </w:tc>
      </w:tr>
      <w:tr>
        <w:trPr>
          <w:trHeight w:val="445"/>
        </w:trPr>
        <w:tc>
          <w:tcPr>
            <w:tcW w:w="2240" w:type="dxa"/>
            <w:vAlign w:val="bottom"/>
          </w:tcPr>
          <w:p>
            <w:pPr>
              <w:ind w:left="880"/>
              <w:spacing w:after="0"/>
              <w:rPr>
                <w:sz w:val="20"/>
                <w:szCs w:val="20"/>
                <w:color w:val="auto"/>
              </w:rPr>
            </w:pPr>
            <w:r>
              <w:rPr>
                <w:rFonts w:ascii="Arial" w:cs="Arial" w:eastAsia="Arial" w:hAnsi="Arial"/>
                <w:sz w:val="20"/>
                <w:szCs w:val="20"/>
                <w:b w:val="1"/>
                <w:bCs w:val="1"/>
                <w:color w:val="auto"/>
              </w:rPr>
              <w:t>Section 11.1</w:t>
            </w:r>
          </w:p>
        </w:tc>
        <w:tc>
          <w:tcPr>
            <w:tcW w:w="7600" w:type="dxa"/>
            <w:vAlign w:val="bottom"/>
          </w:tcPr>
          <w:p>
            <w:pPr>
              <w:ind w:left="260"/>
              <w:spacing w:after="0"/>
              <w:rPr>
                <w:sz w:val="20"/>
                <w:szCs w:val="20"/>
                <w:color w:val="auto"/>
              </w:rPr>
            </w:pPr>
            <w:r>
              <w:rPr>
                <w:rFonts w:ascii="Arial" w:cs="Arial" w:eastAsia="Arial" w:hAnsi="Arial"/>
                <w:sz w:val="20"/>
                <w:szCs w:val="20"/>
                <w:b w:val="1"/>
                <w:bCs w:val="1"/>
                <w:color w:val="auto"/>
              </w:rPr>
              <w:t>Appointment and Authorization</w:t>
            </w:r>
          </w:p>
        </w:tc>
        <w:tc>
          <w:tcPr>
            <w:tcW w:w="1400" w:type="dxa"/>
            <w:vAlign w:val="bottom"/>
          </w:tcPr>
          <w:p>
            <w:pPr>
              <w:jc w:val="right"/>
              <w:spacing w:after="0"/>
              <w:rPr>
                <w:sz w:val="20"/>
                <w:szCs w:val="20"/>
                <w:color w:val="auto"/>
              </w:rPr>
            </w:pPr>
            <w:r>
              <w:rPr>
                <w:rFonts w:ascii="Arial" w:cs="Arial" w:eastAsia="Arial" w:hAnsi="Arial"/>
                <w:sz w:val="20"/>
                <w:szCs w:val="20"/>
                <w:b w:val="1"/>
                <w:bCs w:val="1"/>
                <w:color w:val="auto"/>
              </w:rPr>
              <w:t>74</w:t>
            </w:r>
          </w:p>
        </w:tc>
      </w:tr>
      <w:tr>
        <w:trPr>
          <w:trHeight w:val="445"/>
        </w:trPr>
        <w:tc>
          <w:tcPr>
            <w:tcW w:w="2240" w:type="dxa"/>
            <w:vAlign w:val="bottom"/>
          </w:tcPr>
          <w:p>
            <w:pPr>
              <w:ind w:left="880"/>
              <w:spacing w:after="0"/>
              <w:rPr>
                <w:sz w:val="20"/>
                <w:szCs w:val="20"/>
                <w:color w:val="auto"/>
              </w:rPr>
            </w:pPr>
            <w:r>
              <w:rPr>
                <w:rFonts w:ascii="Arial" w:cs="Arial" w:eastAsia="Arial" w:hAnsi="Arial"/>
                <w:sz w:val="20"/>
                <w:szCs w:val="20"/>
                <w:b w:val="1"/>
                <w:bCs w:val="1"/>
                <w:color w:val="auto"/>
              </w:rPr>
              <w:t>Section 11.2</w:t>
            </w:r>
          </w:p>
        </w:tc>
        <w:tc>
          <w:tcPr>
            <w:tcW w:w="7600" w:type="dxa"/>
            <w:vAlign w:val="bottom"/>
          </w:tcPr>
          <w:p>
            <w:pPr>
              <w:ind w:left="260"/>
              <w:spacing w:after="0"/>
              <w:rPr>
                <w:sz w:val="20"/>
                <w:szCs w:val="20"/>
                <w:color w:val="auto"/>
              </w:rPr>
            </w:pPr>
            <w:r>
              <w:rPr>
                <w:rFonts w:ascii="Arial" w:cs="Arial" w:eastAsia="Arial" w:hAnsi="Arial"/>
                <w:sz w:val="20"/>
                <w:szCs w:val="20"/>
                <w:b w:val="1"/>
                <w:bCs w:val="1"/>
                <w:color w:val="auto"/>
              </w:rPr>
              <w:t>Agent and Affiliates</w:t>
            </w:r>
          </w:p>
        </w:tc>
        <w:tc>
          <w:tcPr>
            <w:tcW w:w="1400" w:type="dxa"/>
            <w:vAlign w:val="bottom"/>
          </w:tcPr>
          <w:p>
            <w:pPr>
              <w:jc w:val="right"/>
              <w:spacing w:after="0"/>
              <w:rPr>
                <w:sz w:val="20"/>
                <w:szCs w:val="20"/>
                <w:color w:val="auto"/>
              </w:rPr>
            </w:pPr>
            <w:r>
              <w:rPr>
                <w:rFonts w:ascii="Arial" w:cs="Arial" w:eastAsia="Arial" w:hAnsi="Arial"/>
                <w:sz w:val="20"/>
                <w:szCs w:val="20"/>
                <w:b w:val="1"/>
                <w:bCs w:val="1"/>
                <w:color w:val="auto"/>
              </w:rPr>
              <w:t>75</w:t>
            </w:r>
          </w:p>
        </w:tc>
      </w:tr>
      <w:tr>
        <w:trPr>
          <w:trHeight w:val="445"/>
        </w:trPr>
        <w:tc>
          <w:tcPr>
            <w:tcW w:w="2240" w:type="dxa"/>
            <w:vAlign w:val="bottom"/>
          </w:tcPr>
          <w:p>
            <w:pPr>
              <w:ind w:left="880"/>
              <w:spacing w:after="0"/>
              <w:rPr>
                <w:sz w:val="20"/>
                <w:szCs w:val="20"/>
                <w:color w:val="auto"/>
              </w:rPr>
            </w:pPr>
            <w:r>
              <w:rPr>
                <w:rFonts w:ascii="Arial" w:cs="Arial" w:eastAsia="Arial" w:hAnsi="Arial"/>
                <w:sz w:val="20"/>
                <w:szCs w:val="20"/>
                <w:b w:val="1"/>
                <w:bCs w:val="1"/>
                <w:color w:val="auto"/>
              </w:rPr>
              <w:t>Section 11.3</w:t>
            </w:r>
          </w:p>
        </w:tc>
        <w:tc>
          <w:tcPr>
            <w:tcW w:w="7600" w:type="dxa"/>
            <w:vAlign w:val="bottom"/>
          </w:tcPr>
          <w:p>
            <w:pPr>
              <w:ind w:left="260"/>
              <w:spacing w:after="0"/>
              <w:rPr>
                <w:sz w:val="20"/>
                <w:szCs w:val="20"/>
                <w:color w:val="auto"/>
              </w:rPr>
            </w:pPr>
            <w:r>
              <w:rPr>
                <w:rFonts w:ascii="Arial" w:cs="Arial" w:eastAsia="Arial" w:hAnsi="Arial"/>
                <w:sz w:val="20"/>
                <w:szCs w:val="20"/>
                <w:b w:val="1"/>
                <w:bCs w:val="1"/>
                <w:color w:val="auto"/>
              </w:rPr>
              <w:t>Action by Agent</w:t>
            </w:r>
          </w:p>
        </w:tc>
        <w:tc>
          <w:tcPr>
            <w:tcW w:w="1400" w:type="dxa"/>
            <w:vAlign w:val="bottom"/>
          </w:tcPr>
          <w:p>
            <w:pPr>
              <w:jc w:val="right"/>
              <w:spacing w:after="0"/>
              <w:rPr>
                <w:sz w:val="20"/>
                <w:szCs w:val="20"/>
                <w:color w:val="auto"/>
              </w:rPr>
            </w:pPr>
            <w:r>
              <w:rPr>
                <w:rFonts w:ascii="Arial" w:cs="Arial" w:eastAsia="Arial" w:hAnsi="Arial"/>
                <w:sz w:val="20"/>
                <w:szCs w:val="20"/>
                <w:b w:val="1"/>
                <w:bCs w:val="1"/>
                <w:color w:val="auto"/>
              </w:rPr>
              <w:t>75</w:t>
            </w:r>
          </w:p>
        </w:tc>
      </w:tr>
      <w:tr>
        <w:trPr>
          <w:trHeight w:val="445"/>
        </w:trPr>
        <w:tc>
          <w:tcPr>
            <w:tcW w:w="2240" w:type="dxa"/>
            <w:vAlign w:val="bottom"/>
          </w:tcPr>
          <w:p>
            <w:pPr>
              <w:ind w:left="880"/>
              <w:spacing w:after="0"/>
              <w:rPr>
                <w:sz w:val="20"/>
                <w:szCs w:val="20"/>
                <w:color w:val="auto"/>
              </w:rPr>
            </w:pPr>
            <w:r>
              <w:rPr>
                <w:rFonts w:ascii="Arial" w:cs="Arial" w:eastAsia="Arial" w:hAnsi="Arial"/>
                <w:sz w:val="20"/>
                <w:szCs w:val="20"/>
                <w:b w:val="1"/>
                <w:bCs w:val="1"/>
                <w:color w:val="auto"/>
              </w:rPr>
              <w:t>Section 11.4</w:t>
            </w:r>
          </w:p>
        </w:tc>
        <w:tc>
          <w:tcPr>
            <w:tcW w:w="7600" w:type="dxa"/>
            <w:vAlign w:val="bottom"/>
          </w:tcPr>
          <w:p>
            <w:pPr>
              <w:ind w:left="260"/>
              <w:spacing w:after="0"/>
              <w:rPr>
                <w:sz w:val="20"/>
                <w:szCs w:val="20"/>
                <w:color w:val="auto"/>
              </w:rPr>
            </w:pPr>
            <w:r>
              <w:rPr>
                <w:rFonts w:ascii="Arial" w:cs="Arial" w:eastAsia="Arial" w:hAnsi="Arial"/>
                <w:sz w:val="20"/>
                <w:szCs w:val="20"/>
                <w:b w:val="1"/>
                <w:bCs w:val="1"/>
                <w:color w:val="auto"/>
              </w:rPr>
              <w:t>Consultation with Experts</w:t>
            </w:r>
          </w:p>
        </w:tc>
        <w:tc>
          <w:tcPr>
            <w:tcW w:w="1400" w:type="dxa"/>
            <w:vAlign w:val="bottom"/>
          </w:tcPr>
          <w:p>
            <w:pPr>
              <w:jc w:val="right"/>
              <w:spacing w:after="0"/>
              <w:rPr>
                <w:sz w:val="20"/>
                <w:szCs w:val="20"/>
                <w:color w:val="auto"/>
              </w:rPr>
            </w:pPr>
            <w:r>
              <w:rPr>
                <w:rFonts w:ascii="Arial" w:cs="Arial" w:eastAsia="Arial" w:hAnsi="Arial"/>
                <w:sz w:val="20"/>
                <w:szCs w:val="20"/>
                <w:b w:val="1"/>
                <w:bCs w:val="1"/>
                <w:color w:val="auto"/>
              </w:rPr>
              <w:t>75</w:t>
            </w:r>
          </w:p>
        </w:tc>
      </w:tr>
      <w:tr>
        <w:trPr>
          <w:trHeight w:val="445"/>
        </w:trPr>
        <w:tc>
          <w:tcPr>
            <w:tcW w:w="2240" w:type="dxa"/>
            <w:vAlign w:val="bottom"/>
          </w:tcPr>
          <w:p>
            <w:pPr>
              <w:ind w:left="880"/>
              <w:spacing w:after="0"/>
              <w:rPr>
                <w:sz w:val="20"/>
                <w:szCs w:val="20"/>
                <w:color w:val="auto"/>
              </w:rPr>
            </w:pPr>
            <w:r>
              <w:rPr>
                <w:rFonts w:ascii="Arial" w:cs="Arial" w:eastAsia="Arial" w:hAnsi="Arial"/>
                <w:sz w:val="20"/>
                <w:szCs w:val="20"/>
                <w:b w:val="1"/>
                <w:bCs w:val="1"/>
                <w:color w:val="auto"/>
              </w:rPr>
              <w:t>Section 11.5</w:t>
            </w:r>
          </w:p>
        </w:tc>
        <w:tc>
          <w:tcPr>
            <w:tcW w:w="7600" w:type="dxa"/>
            <w:vAlign w:val="bottom"/>
          </w:tcPr>
          <w:p>
            <w:pPr>
              <w:ind w:left="260"/>
              <w:spacing w:after="0"/>
              <w:rPr>
                <w:sz w:val="20"/>
                <w:szCs w:val="20"/>
                <w:color w:val="auto"/>
              </w:rPr>
            </w:pPr>
            <w:r>
              <w:rPr>
                <w:rFonts w:ascii="Arial" w:cs="Arial" w:eastAsia="Arial" w:hAnsi="Arial"/>
                <w:sz w:val="20"/>
                <w:szCs w:val="20"/>
                <w:b w:val="1"/>
                <w:bCs w:val="1"/>
                <w:color w:val="auto"/>
              </w:rPr>
              <w:t>Liability of Agent</w:t>
            </w:r>
          </w:p>
        </w:tc>
        <w:tc>
          <w:tcPr>
            <w:tcW w:w="1400" w:type="dxa"/>
            <w:vAlign w:val="bottom"/>
          </w:tcPr>
          <w:p>
            <w:pPr>
              <w:jc w:val="right"/>
              <w:spacing w:after="0"/>
              <w:rPr>
                <w:sz w:val="20"/>
                <w:szCs w:val="20"/>
                <w:color w:val="auto"/>
              </w:rPr>
            </w:pPr>
            <w:r>
              <w:rPr>
                <w:rFonts w:ascii="Arial" w:cs="Arial" w:eastAsia="Arial" w:hAnsi="Arial"/>
                <w:sz w:val="20"/>
                <w:szCs w:val="20"/>
                <w:b w:val="1"/>
                <w:bCs w:val="1"/>
                <w:color w:val="auto"/>
              </w:rPr>
              <w:t>75</w:t>
            </w:r>
          </w:p>
        </w:tc>
      </w:tr>
      <w:tr>
        <w:trPr>
          <w:trHeight w:val="445"/>
        </w:trPr>
        <w:tc>
          <w:tcPr>
            <w:tcW w:w="2240" w:type="dxa"/>
            <w:vAlign w:val="bottom"/>
          </w:tcPr>
          <w:p>
            <w:pPr>
              <w:ind w:left="880"/>
              <w:spacing w:after="0"/>
              <w:rPr>
                <w:sz w:val="20"/>
                <w:szCs w:val="20"/>
                <w:color w:val="auto"/>
              </w:rPr>
            </w:pPr>
            <w:r>
              <w:rPr>
                <w:rFonts w:ascii="Arial" w:cs="Arial" w:eastAsia="Arial" w:hAnsi="Arial"/>
                <w:sz w:val="20"/>
                <w:szCs w:val="20"/>
                <w:b w:val="1"/>
                <w:bCs w:val="1"/>
                <w:color w:val="auto"/>
              </w:rPr>
              <w:t>Section 11.6</w:t>
            </w:r>
          </w:p>
        </w:tc>
        <w:tc>
          <w:tcPr>
            <w:tcW w:w="7600" w:type="dxa"/>
            <w:vAlign w:val="bottom"/>
          </w:tcPr>
          <w:p>
            <w:pPr>
              <w:ind w:left="260"/>
              <w:spacing w:after="0"/>
              <w:rPr>
                <w:sz w:val="20"/>
                <w:szCs w:val="20"/>
                <w:color w:val="auto"/>
              </w:rPr>
            </w:pPr>
            <w:r>
              <w:rPr>
                <w:rFonts w:ascii="Arial" w:cs="Arial" w:eastAsia="Arial" w:hAnsi="Arial"/>
                <w:sz w:val="20"/>
                <w:szCs w:val="20"/>
                <w:b w:val="1"/>
                <w:bCs w:val="1"/>
                <w:color w:val="auto"/>
              </w:rPr>
              <w:t>Indemnification</w:t>
            </w:r>
          </w:p>
        </w:tc>
        <w:tc>
          <w:tcPr>
            <w:tcW w:w="1400" w:type="dxa"/>
            <w:vAlign w:val="bottom"/>
          </w:tcPr>
          <w:p>
            <w:pPr>
              <w:jc w:val="right"/>
              <w:spacing w:after="0"/>
              <w:rPr>
                <w:sz w:val="20"/>
                <w:szCs w:val="20"/>
                <w:color w:val="auto"/>
              </w:rPr>
            </w:pPr>
            <w:r>
              <w:rPr>
                <w:rFonts w:ascii="Arial" w:cs="Arial" w:eastAsia="Arial" w:hAnsi="Arial"/>
                <w:sz w:val="20"/>
                <w:szCs w:val="20"/>
                <w:b w:val="1"/>
                <w:bCs w:val="1"/>
                <w:color w:val="auto"/>
              </w:rPr>
              <w:t>75</w:t>
            </w:r>
          </w:p>
        </w:tc>
      </w:tr>
      <w:tr>
        <w:trPr>
          <w:trHeight w:val="445"/>
        </w:trPr>
        <w:tc>
          <w:tcPr>
            <w:tcW w:w="2240" w:type="dxa"/>
            <w:vAlign w:val="bottom"/>
          </w:tcPr>
          <w:p>
            <w:pPr>
              <w:ind w:left="880"/>
              <w:spacing w:after="0"/>
              <w:rPr>
                <w:sz w:val="20"/>
                <w:szCs w:val="20"/>
                <w:color w:val="auto"/>
              </w:rPr>
            </w:pPr>
            <w:r>
              <w:rPr>
                <w:rFonts w:ascii="Arial" w:cs="Arial" w:eastAsia="Arial" w:hAnsi="Arial"/>
                <w:sz w:val="20"/>
                <w:szCs w:val="20"/>
                <w:b w:val="1"/>
                <w:bCs w:val="1"/>
                <w:color w:val="auto"/>
              </w:rPr>
              <w:t>Section 11.7</w:t>
            </w:r>
          </w:p>
        </w:tc>
        <w:tc>
          <w:tcPr>
            <w:tcW w:w="7600" w:type="dxa"/>
            <w:vAlign w:val="bottom"/>
          </w:tcPr>
          <w:p>
            <w:pPr>
              <w:ind w:left="260"/>
              <w:spacing w:after="0"/>
              <w:rPr>
                <w:sz w:val="20"/>
                <w:szCs w:val="20"/>
                <w:color w:val="auto"/>
              </w:rPr>
            </w:pPr>
            <w:r>
              <w:rPr>
                <w:rFonts w:ascii="Arial" w:cs="Arial" w:eastAsia="Arial" w:hAnsi="Arial"/>
                <w:sz w:val="20"/>
                <w:szCs w:val="20"/>
                <w:b w:val="1"/>
                <w:bCs w:val="1"/>
                <w:color w:val="auto"/>
              </w:rPr>
              <w:t>Right to Request and Act on Instructions</w:t>
            </w:r>
          </w:p>
        </w:tc>
        <w:tc>
          <w:tcPr>
            <w:tcW w:w="1400" w:type="dxa"/>
            <w:vAlign w:val="bottom"/>
          </w:tcPr>
          <w:p>
            <w:pPr>
              <w:jc w:val="right"/>
              <w:spacing w:after="0"/>
              <w:rPr>
                <w:sz w:val="20"/>
                <w:szCs w:val="20"/>
                <w:color w:val="auto"/>
              </w:rPr>
            </w:pPr>
            <w:r>
              <w:rPr>
                <w:rFonts w:ascii="Arial" w:cs="Arial" w:eastAsia="Arial" w:hAnsi="Arial"/>
                <w:sz w:val="20"/>
                <w:szCs w:val="20"/>
                <w:b w:val="1"/>
                <w:bCs w:val="1"/>
                <w:color w:val="auto"/>
              </w:rPr>
              <w:t>76</w:t>
            </w:r>
          </w:p>
        </w:tc>
      </w:tr>
      <w:tr>
        <w:trPr>
          <w:trHeight w:val="446"/>
        </w:trPr>
        <w:tc>
          <w:tcPr>
            <w:tcW w:w="2240" w:type="dxa"/>
            <w:vAlign w:val="bottom"/>
          </w:tcPr>
          <w:p>
            <w:pPr>
              <w:ind w:left="880"/>
              <w:spacing w:after="0"/>
              <w:rPr>
                <w:sz w:val="20"/>
                <w:szCs w:val="20"/>
                <w:color w:val="auto"/>
              </w:rPr>
            </w:pPr>
            <w:r>
              <w:rPr>
                <w:rFonts w:ascii="Arial" w:cs="Arial" w:eastAsia="Arial" w:hAnsi="Arial"/>
                <w:sz w:val="20"/>
                <w:szCs w:val="20"/>
                <w:b w:val="1"/>
                <w:bCs w:val="1"/>
                <w:color w:val="auto"/>
              </w:rPr>
              <w:t>Section 11.8</w:t>
            </w:r>
          </w:p>
        </w:tc>
        <w:tc>
          <w:tcPr>
            <w:tcW w:w="7600" w:type="dxa"/>
            <w:vAlign w:val="bottom"/>
          </w:tcPr>
          <w:p>
            <w:pPr>
              <w:ind w:left="260"/>
              <w:spacing w:after="0"/>
              <w:rPr>
                <w:sz w:val="20"/>
                <w:szCs w:val="20"/>
                <w:color w:val="auto"/>
              </w:rPr>
            </w:pPr>
            <w:r>
              <w:rPr>
                <w:rFonts w:ascii="Arial" w:cs="Arial" w:eastAsia="Arial" w:hAnsi="Arial"/>
                <w:sz w:val="20"/>
                <w:szCs w:val="20"/>
                <w:b w:val="1"/>
                <w:bCs w:val="1"/>
                <w:color w:val="auto"/>
              </w:rPr>
              <w:t>Credit Decision</w:t>
            </w:r>
          </w:p>
        </w:tc>
        <w:tc>
          <w:tcPr>
            <w:tcW w:w="1400" w:type="dxa"/>
            <w:vAlign w:val="bottom"/>
          </w:tcPr>
          <w:p>
            <w:pPr>
              <w:jc w:val="right"/>
              <w:spacing w:after="0"/>
              <w:rPr>
                <w:sz w:val="20"/>
                <w:szCs w:val="20"/>
                <w:color w:val="auto"/>
              </w:rPr>
            </w:pPr>
            <w:r>
              <w:rPr>
                <w:rFonts w:ascii="Arial" w:cs="Arial" w:eastAsia="Arial" w:hAnsi="Arial"/>
                <w:sz w:val="20"/>
                <w:szCs w:val="20"/>
                <w:b w:val="1"/>
                <w:bCs w:val="1"/>
                <w:color w:val="auto"/>
              </w:rPr>
              <w:t>76</w:t>
            </w:r>
          </w:p>
        </w:tc>
      </w:tr>
      <w:tr>
        <w:trPr>
          <w:trHeight w:val="445"/>
        </w:trPr>
        <w:tc>
          <w:tcPr>
            <w:tcW w:w="2240" w:type="dxa"/>
            <w:vAlign w:val="bottom"/>
          </w:tcPr>
          <w:p>
            <w:pPr>
              <w:ind w:left="880"/>
              <w:spacing w:after="0"/>
              <w:rPr>
                <w:sz w:val="20"/>
                <w:szCs w:val="20"/>
                <w:color w:val="auto"/>
              </w:rPr>
            </w:pPr>
            <w:r>
              <w:rPr>
                <w:rFonts w:ascii="Arial" w:cs="Arial" w:eastAsia="Arial" w:hAnsi="Arial"/>
                <w:sz w:val="20"/>
                <w:szCs w:val="20"/>
                <w:b w:val="1"/>
                <w:bCs w:val="1"/>
                <w:color w:val="auto"/>
              </w:rPr>
              <w:t>Section 11.9</w:t>
            </w:r>
          </w:p>
        </w:tc>
        <w:tc>
          <w:tcPr>
            <w:tcW w:w="7600" w:type="dxa"/>
            <w:vAlign w:val="bottom"/>
          </w:tcPr>
          <w:p>
            <w:pPr>
              <w:ind w:left="260"/>
              <w:spacing w:after="0"/>
              <w:rPr>
                <w:sz w:val="20"/>
                <w:szCs w:val="20"/>
                <w:color w:val="auto"/>
              </w:rPr>
            </w:pPr>
            <w:r>
              <w:rPr>
                <w:rFonts w:ascii="Arial" w:cs="Arial" w:eastAsia="Arial" w:hAnsi="Arial"/>
                <w:sz w:val="20"/>
                <w:szCs w:val="20"/>
                <w:b w:val="1"/>
                <w:bCs w:val="1"/>
                <w:color w:val="auto"/>
              </w:rPr>
              <w:t>Collateral Matters</w:t>
            </w:r>
          </w:p>
        </w:tc>
        <w:tc>
          <w:tcPr>
            <w:tcW w:w="1400" w:type="dxa"/>
            <w:vAlign w:val="bottom"/>
          </w:tcPr>
          <w:p>
            <w:pPr>
              <w:jc w:val="right"/>
              <w:spacing w:after="0"/>
              <w:rPr>
                <w:sz w:val="20"/>
                <w:szCs w:val="20"/>
                <w:color w:val="auto"/>
              </w:rPr>
            </w:pPr>
            <w:r>
              <w:rPr>
                <w:rFonts w:ascii="Arial" w:cs="Arial" w:eastAsia="Arial" w:hAnsi="Arial"/>
                <w:sz w:val="20"/>
                <w:szCs w:val="20"/>
                <w:b w:val="1"/>
                <w:bCs w:val="1"/>
                <w:color w:val="auto"/>
              </w:rPr>
              <w:t>76</w:t>
            </w:r>
          </w:p>
        </w:tc>
      </w:tr>
      <w:tr>
        <w:trPr>
          <w:trHeight w:val="445"/>
        </w:trPr>
        <w:tc>
          <w:tcPr>
            <w:tcW w:w="2240" w:type="dxa"/>
            <w:vAlign w:val="bottom"/>
          </w:tcPr>
          <w:p>
            <w:pPr>
              <w:ind w:left="880"/>
              <w:spacing w:after="0"/>
              <w:rPr>
                <w:sz w:val="20"/>
                <w:szCs w:val="20"/>
                <w:color w:val="auto"/>
              </w:rPr>
            </w:pPr>
            <w:r>
              <w:rPr>
                <w:rFonts w:ascii="Arial" w:cs="Arial" w:eastAsia="Arial" w:hAnsi="Arial"/>
                <w:sz w:val="20"/>
                <w:szCs w:val="20"/>
                <w:b w:val="1"/>
                <w:bCs w:val="1"/>
                <w:color w:val="auto"/>
              </w:rPr>
              <w:t>Section 11.10</w:t>
            </w:r>
          </w:p>
        </w:tc>
        <w:tc>
          <w:tcPr>
            <w:tcW w:w="7600" w:type="dxa"/>
            <w:vAlign w:val="bottom"/>
          </w:tcPr>
          <w:p>
            <w:pPr>
              <w:ind w:left="260"/>
              <w:spacing w:after="0"/>
              <w:rPr>
                <w:sz w:val="20"/>
                <w:szCs w:val="20"/>
                <w:color w:val="auto"/>
              </w:rPr>
            </w:pPr>
            <w:r>
              <w:rPr>
                <w:rFonts w:ascii="Arial" w:cs="Arial" w:eastAsia="Arial" w:hAnsi="Arial"/>
                <w:sz w:val="20"/>
                <w:szCs w:val="20"/>
                <w:b w:val="1"/>
                <w:bCs w:val="1"/>
                <w:color w:val="auto"/>
              </w:rPr>
              <w:t>Agency for Perfection</w:t>
            </w:r>
          </w:p>
        </w:tc>
        <w:tc>
          <w:tcPr>
            <w:tcW w:w="1400" w:type="dxa"/>
            <w:vAlign w:val="bottom"/>
          </w:tcPr>
          <w:p>
            <w:pPr>
              <w:jc w:val="right"/>
              <w:spacing w:after="0"/>
              <w:rPr>
                <w:sz w:val="20"/>
                <w:szCs w:val="20"/>
                <w:color w:val="auto"/>
              </w:rPr>
            </w:pPr>
            <w:r>
              <w:rPr>
                <w:rFonts w:ascii="Arial" w:cs="Arial" w:eastAsia="Arial" w:hAnsi="Arial"/>
                <w:sz w:val="20"/>
                <w:szCs w:val="20"/>
                <w:b w:val="1"/>
                <w:bCs w:val="1"/>
                <w:color w:val="auto"/>
              </w:rPr>
              <w:t>76</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v</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56"/>
        </w:trPr>
        <w:tc>
          <w:tcPr>
            <w:tcW w:w="2240" w:type="dxa"/>
            <w:vAlign w:val="bottom"/>
          </w:tcPr>
          <w:p>
            <w:pPr>
              <w:ind w:left="880"/>
              <w:spacing w:after="0"/>
              <w:rPr>
                <w:sz w:val="20"/>
                <w:szCs w:val="20"/>
                <w:color w:val="auto"/>
              </w:rPr>
            </w:pPr>
            <w:r>
              <w:rPr>
                <w:rFonts w:ascii="Arial" w:cs="Arial" w:eastAsia="Arial" w:hAnsi="Arial"/>
                <w:sz w:val="20"/>
                <w:szCs w:val="20"/>
                <w:b w:val="1"/>
                <w:bCs w:val="1"/>
                <w:color w:val="auto"/>
              </w:rPr>
              <w:t>Section 11.11</w:t>
            </w:r>
          </w:p>
        </w:tc>
        <w:tc>
          <w:tcPr>
            <w:tcW w:w="7960" w:type="dxa"/>
            <w:vAlign w:val="bottom"/>
          </w:tcPr>
          <w:p>
            <w:pPr>
              <w:ind w:left="260"/>
              <w:spacing w:after="0"/>
              <w:rPr>
                <w:sz w:val="20"/>
                <w:szCs w:val="20"/>
                <w:color w:val="auto"/>
              </w:rPr>
            </w:pPr>
            <w:r>
              <w:rPr>
                <w:rFonts w:ascii="Arial" w:cs="Arial" w:eastAsia="Arial" w:hAnsi="Arial"/>
                <w:sz w:val="20"/>
                <w:szCs w:val="20"/>
                <w:b w:val="1"/>
                <w:bCs w:val="1"/>
                <w:color w:val="auto"/>
              </w:rPr>
              <w:t>Notice of Default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76</w:t>
            </w:r>
          </w:p>
        </w:tc>
      </w:tr>
      <w:tr>
        <w:trPr>
          <w:trHeight w:val="446"/>
        </w:trPr>
        <w:tc>
          <w:tcPr>
            <w:tcW w:w="2240" w:type="dxa"/>
            <w:vAlign w:val="bottom"/>
          </w:tcPr>
          <w:p>
            <w:pPr>
              <w:ind w:left="880"/>
              <w:spacing w:after="0"/>
              <w:rPr>
                <w:sz w:val="20"/>
                <w:szCs w:val="20"/>
                <w:color w:val="auto"/>
              </w:rPr>
            </w:pPr>
            <w:r>
              <w:rPr>
                <w:rFonts w:ascii="Arial" w:cs="Arial" w:eastAsia="Arial" w:hAnsi="Arial"/>
                <w:sz w:val="20"/>
                <w:szCs w:val="20"/>
                <w:b w:val="1"/>
                <w:bCs w:val="1"/>
                <w:color w:val="auto"/>
              </w:rPr>
              <w:t>Section 11.12</w:t>
            </w:r>
          </w:p>
        </w:tc>
        <w:tc>
          <w:tcPr>
            <w:tcW w:w="7960" w:type="dxa"/>
            <w:vAlign w:val="bottom"/>
          </w:tcPr>
          <w:p>
            <w:pPr>
              <w:ind w:left="260"/>
              <w:spacing w:after="0"/>
              <w:rPr>
                <w:sz w:val="20"/>
                <w:szCs w:val="20"/>
                <w:color w:val="auto"/>
              </w:rPr>
            </w:pPr>
            <w:r>
              <w:rPr>
                <w:rFonts w:ascii="Arial" w:cs="Arial" w:eastAsia="Arial" w:hAnsi="Arial"/>
                <w:sz w:val="20"/>
                <w:szCs w:val="20"/>
                <w:b w:val="1"/>
                <w:bCs w:val="1"/>
                <w:color w:val="auto"/>
              </w:rPr>
              <w:t>Assignment by Agent; Resignation of Agent; Successor Agent.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77</w:t>
            </w:r>
          </w:p>
        </w:tc>
      </w:tr>
      <w:tr>
        <w:trPr>
          <w:trHeight w:val="446"/>
        </w:trPr>
        <w:tc>
          <w:tcPr>
            <w:tcW w:w="2240" w:type="dxa"/>
            <w:vAlign w:val="bottom"/>
          </w:tcPr>
          <w:p>
            <w:pPr>
              <w:ind w:left="880"/>
              <w:spacing w:after="0"/>
              <w:rPr>
                <w:sz w:val="20"/>
                <w:szCs w:val="20"/>
                <w:color w:val="auto"/>
              </w:rPr>
            </w:pPr>
            <w:r>
              <w:rPr>
                <w:rFonts w:ascii="Arial" w:cs="Arial" w:eastAsia="Arial" w:hAnsi="Arial"/>
                <w:sz w:val="20"/>
                <w:szCs w:val="20"/>
                <w:b w:val="1"/>
                <w:bCs w:val="1"/>
                <w:color w:val="auto"/>
              </w:rPr>
              <w:t>Section 11.13</w:t>
            </w:r>
          </w:p>
        </w:tc>
        <w:tc>
          <w:tcPr>
            <w:tcW w:w="7960" w:type="dxa"/>
            <w:vAlign w:val="bottom"/>
          </w:tcPr>
          <w:p>
            <w:pPr>
              <w:ind w:left="260"/>
              <w:spacing w:after="0"/>
              <w:rPr>
                <w:sz w:val="20"/>
                <w:szCs w:val="20"/>
                <w:color w:val="auto"/>
              </w:rPr>
            </w:pPr>
            <w:r>
              <w:rPr>
                <w:rFonts w:ascii="Arial" w:cs="Arial" w:eastAsia="Arial" w:hAnsi="Arial"/>
                <w:sz w:val="20"/>
                <w:szCs w:val="20"/>
                <w:b w:val="1"/>
                <w:bCs w:val="1"/>
                <w:color w:val="auto"/>
              </w:rPr>
              <w:t>Payment and Sharing of Payment.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77</w:t>
            </w:r>
          </w:p>
        </w:tc>
      </w:tr>
      <w:tr>
        <w:trPr>
          <w:trHeight w:val="445"/>
        </w:trPr>
        <w:tc>
          <w:tcPr>
            <w:tcW w:w="2240" w:type="dxa"/>
            <w:vAlign w:val="bottom"/>
          </w:tcPr>
          <w:p>
            <w:pPr>
              <w:ind w:left="880"/>
              <w:spacing w:after="0"/>
              <w:rPr>
                <w:sz w:val="20"/>
                <w:szCs w:val="20"/>
                <w:color w:val="auto"/>
              </w:rPr>
            </w:pPr>
            <w:r>
              <w:rPr>
                <w:rFonts w:ascii="Arial" w:cs="Arial" w:eastAsia="Arial" w:hAnsi="Arial"/>
                <w:sz w:val="20"/>
                <w:szCs w:val="20"/>
                <w:b w:val="1"/>
                <w:bCs w:val="1"/>
                <w:color w:val="auto"/>
              </w:rPr>
              <w:t>Section 11.14</w:t>
            </w:r>
          </w:p>
        </w:tc>
        <w:tc>
          <w:tcPr>
            <w:tcW w:w="7960" w:type="dxa"/>
            <w:vAlign w:val="bottom"/>
          </w:tcPr>
          <w:p>
            <w:pPr>
              <w:ind w:left="260"/>
              <w:spacing w:after="0"/>
              <w:rPr>
                <w:sz w:val="20"/>
                <w:szCs w:val="20"/>
                <w:color w:val="auto"/>
              </w:rPr>
            </w:pPr>
            <w:r>
              <w:rPr>
                <w:rFonts w:ascii="Arial" w:cs="Arial" w:eastAsia="Arial" w:hAnsi="Arial"/>
                <w:sz w:val="20"/>
                <w:szCs w:val="20"/>
                <w:b w:val="1"/>
                <w:bCs w:val="1"/>
                <w:color w:val="auto"/>
              </w:rPr>
              <w:t>Right to Perform, Preserve and Protect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78</w:t>
            </w:r>
          </w:p>
        </w:tc>
      </w:tr>
      <w:tr>
        <w:trPr>
          <w:trHeight w:val="446"/>
        </w:trPr>
        <w:tc>
          <w:tcPr>
            <w:tcW w:w="2240" w:type="dxa"/>
            <w:vAlign w:val="bottom"/>
          </w:tcPr>
          <w:p>
            <w:pPr>
              <w:ind w:left="880"/>
              <w:spacing w:after="0"/>
              <w:rPr>
                <w:sz w:val="20"/>
                <w:szCs w:val="20"/>
                <w:color w:val="auto"/>
              </w:rPr>
            </w:pPr>
            <w:r>
              <w:rPr>
                <w:rFonts w:ascii="Arial" w:cs="Arial" w:eastAsia="Arial" w:hAnsi="Arial"/>
                <w:sz w:val="20"/>
                <w:szCs w:val="20"/>
                <w:b w:val="1"/>
                <w:bCs w:val="1"/>
                <w:color w:val="auto"/>
              </w:rPr>
              <w:t>Section 11.15</w:t>
            </w:r>
          </w:p>
        </w:tc>
        <w:tc>
          <w:tcPr>
            <w:tcW w:w="7960" w:type="dxa"/>
            <w:vAlign w:val="bottom"/>
          </w:tcPr>
          <w:p>
            <w:pPr>
              <w:ind w:left="260"/>
              <w:spacing w:after="0"/>
              <w:rPr>
                <w:sz w:val="20"/>
                <w:szCs w:val="20"/>
                <w:color w:val="auto"/>
              </w:rPr>
            </w:pPr>
            <w:r>
              <w:rPr>
                <w:rFonts w:ascii="Arial" w:cs="Arial" w:eastAsia="Arial" w:hAnsi="Arial"/>
                <w:sz w:val="20"/>
                <w:szCs w:val="20"/>
                <w:b w:val="1"/>
                <w:bCs w:val="1"/>
                <w:color w:val="auto"/>
              </w:rPr>
              <w:t>Additional Titled Agents</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79</w:t>
            </w:r>
          </w:p>
        </w:tc>
      </w:tr>
      <w:tr>
        <w:trPr>
          <w:trHeight w:val="445"/>
        </w:trPr>
        <w:tc>
          <w:tcPr>
            <w:tcW w:w="2240" w:type="dxa"/>
            <w:vAlign w:val="bottom"/>
          </w:tcPr>
          <w:p>
            <w:pPr>
              <w:ind w:left="880"/>
              <w:spacing w:after="0"/>
              <w:rPr>
                <w:sz w:val="20"/>
                <w:szCs w:val="20"/>
                <w:color w:val="auto"/>
              </w:rPr>
            </w:pPr>
            <w:r>
              <w:rPr>
                <w:rFonts w:ascii="Arial" w:cs="Arial" w:eastAsia="Arial" w:hAnsi="Arial"/>
                <w:sz w:val="20"/>
                <w:szCs w:val="20"/>
                <w:b w:val="1"/>
                <w:bCs w:val="1"/>
                <w:color w:val="auto"/>
              </w:rPr>
              <w:t>Section 11.16</w:t>
            </w:r>
          </w:p>
        </w:tc>
        <w:tc>
          <w:tcPr>
            <w:tcW w:w="7960" w:type="dxa"/>
            <w:vAlign w:val="bottom"/>
          </w:tcPr>
          <w:p>
            <w:pPr>
              <w:ind w:left="260"/>
              <w:spacing w:after="0"/>
              <w:rPr>
                <w:sz w:val="20"/>
                <w:szCs w:val="20"/>
                <w:color w:val="auto"/>
              </w:rPr>
            </w:pPr>
            <w:r>
              <w:rPr>
                <w:rFonts w:ascii="Arial" w:cs="Arial" w:eastAsia="Arial" w:hAnsi="Arial"/>
                <w:sz w:val="20"/>
                <w:szCs w:val="20"/>
                <w:b w:val="1"/>
                <w:bCs w:val="1"/>
                <w:color w:val="auto"/>
              </w:rPr>
              <w:t>Amendments and Waivers.</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79</w:t>
            </w:r>
          </w:p>
        </w:tc>
      </w:tr>
      <w:tr>
        <w:trPr>
          <w:trHeight w:val="446"/>
        </w:trPr>
        <w:tc>
          <w:tcPr>
            <w:tcW w:w="2240" w:type="dxa"/>
            <w:vAlign w:val="bottom"/>
          </w:tcPr>
          <w:p>
            <w:pPr>
              <w:ind w:left="880"/>
              <w:spacing w:after="0"/>
              <w:rPr>
                <w:sz w:val="20"/>
                <w:szCs w:val="20"/>
                <w:color w:val="auto"/>
              </w:rPr>
            </w:pPr>
            <w:r>
              <w:rPr>
                <w:rFonts w:ascii="Arial" w:cs="Arial" w:eastAsia="Arial" w:hAnsi="Arial"/>
                <w:sz w:val="20"/>
                <w:szCs w:val="20"/>
                <w:b w:val="1"/>
                <w:bCs w:val="1"/>
                <w:color w:val="auto"/>
              </w:rPr>
              <w:t>Section 11.17</w:t>
            </w:r>
          </w:p>
        </w:tc>
        <w:tc>
          <w:tcPr>
            <w:tcW w:w="7960" w:type="dxa"/>
            <w:vAlign w:val="bottom"/>
          </w:tcPr>
          <w:p>
            <w:pPr>
              <w:ind w:left="260"/>
              <w:spacing w:after="0"/>
              <w:rPr>
                <w:sz w:val="20"/>
                <w:szCs w:val="20"/>
                <w:color w:val="auto"/>
              </w:rPr>
            </w:pPr>
            <w:r>
              <w:rPr>
                <w:rFonts w:ascii="Arial" w:cs="Arial" w:eastAsia="Arial" w:hAnsi="Arial"/>
                <w:sz w:val="20"/>
                <w:szCs w:val="20"/>
                <w:b w:val="1"/>
                <w:bCs w:val="1"/>
                <w:color w:val="auto"/>
              </w:rPr>
              <w:t>Assignments and Participations.</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80</w:t>
            </w:r>
          </w:p>
        </w:tc>
      </w:tr>
      <w:tr>
        <w:trPr>
          <w:trHeight w:val="445"/>
        </w:trPr>
        <w:tc>
          <w:tcPr>
            <w:tcW w:w="2240" w:type="dxa"/>
            <w:vAlign w:val="bottom"/>
          </w:tcPr>
          <w:p>
            <w:pPr>
              <w:ind w:left="880"/>
              <w:spacing w:after="0"/>
              <w:rPr>
                <w:sz w:val="20"/>
                <w:szCs w:val="20"/>
                <w:color w:val="auto"/>
              </w:rPr>
            </w:pPr>
            <w:r>
              <w:rPr>
                <w:rFonts w:ascii="Arial" w:cs="Arial" w:eastAsia="Arial" w:hAnsi="Arial"/>
                <w:sz w:val="20"/>
                <w:szCs w:val="20"/>
                <w:b w:val="1"/>
                <w:bCs w:val="1"/>
                <w:color w:val="auto"/>
              </w:rPr>
              <w:t>Section 11.18</w:t>
            </w:r>
          </w:p>
        </w:tc>
        <w:tc>
          <w:tcPr>
            <w:tcW w:w="7960" w:type="dxa"/>
            <w:vAlign w:val="bottom"/>
          </w:tcPr>
          <w:p>
            <w:pPr>
              <w:ind w:left="260"/>
              <w:spacing w:after="0"/>
              <w:rPr>
                <w:sz w:val="20"/>
                <w:szCs w:val="20"/>
                <w:color w:val="auto"/>
              </w:rPr>
            </w:pPr>
            <w:r>
              <w:rPr>
                <w:rFonts w:ascii="Arial" w:cs="Arial" w:eastAsia="Arial" w:hAnsi="Arial"/>
                <w:sz w:val="20"/>
                <w:szCs w:val="20"/>
                <w:b w:val="1"/>
                <w:bCs w:val="1"/>
                <w:color w:val="auto"/>
                <w:w w:val="99"/>
              </w:rPr>
              <w:t>Funding and Settlement Provisions Applicable When Non-Funding Lenders Exist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82</w:t>
            </w:r>
          </w:p>
        </w:tc>
      </w:tr>
      <w:tr>
        <w:trPr>
          <w:trHeight w:val="446"/>
        </w:trPr>
        <w:tc>
          <w:tcPr>
            <w:tcW w:w="2240" w:type="dxa"/>
            <w:vAlign w:val="bottom"/>
          </w:tcPr>
          <w:p>
            <w:pPr>
              <w:ind w:left="880"/>
              <w:spacing w:after="0"/>
              <w:rPr>
                <w:sz w:val="20"/>
                <w:szCs w:val="20"/>
                <w:color w:val="auto"/>
              </w:rPr>
            </w:pPr>
            <w:r>
              <w:rPr>
                <w:rFonts w:ascii="Arial" w:cs="Arial" w:eastAsia="Arial" w:hAnsi="Arial"/>
                <w:sz w:val="20"/>
                <w:szCs w:val="20"/>
                <w:b w:val="1"/>
                <w:bCs w:val="1"/>
                <w:color w:val="auto"/>
              </w:rPr>
              <w:t>Section 11.19</w:t>
            </w:r>
          </w:p>
        </w:tc>
        <w:tc>
          <w:tcPr>
            <w:tcW w:w="7960" w:type="dxa"/>
            <w:vAlign w:val="bottom"/>
          </w:tcPr>
          <w:p>
            <w:pPr>
              <w:ind w:left="260"/>
              <w:spacing w:after="0"/>
              <w:rPr>
                <w:sz w:val="20"/>
                <w:szCs w:val="20"/>
                <w:color w:val="auto"/>
              </w:rPr>
            </w:pPr>
            <w:r>
              <w:rPr>
                <w:rFonts w:ascii="Arial" w:cs="Arial" w:eastAsia="Arial" w:hAnsi="Arial"/>
                <w:sz w:val="20"/>
                <w:szCs w:val="20"/>
                <w:b w:val="1"/>
                <w:bCs w:val="1"/>
                <w:color w:val="auto"/>
              </w:rPr>
              <w:t>Reserved</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83</w:t>
            </w:r>
          </w:p>
        </w:tc>
      </w:tr>
      <w:tr>
        <w:trPr>
          <w:trHeight w:val="446"/>
        </w:trPr>
        <w:tc>
          <w:tcPr>
            <w:tcW w:w="2240" w:type="dxa"/>
            <w:vAlign w:val="bottom"/>
          </w:tcPr>
          <w:p>
            <w:pPr>
              <w:ind w:left="880"/>
              <w:spacing w:after="0"/>
              <w:rPr>
                <w:sz w:val="20"/>
                <w:szCs w:val="20"/>
                <w:color w:val="auto"/>
              </w:rPr>
            </w:pPr>
            <w:r>
              <w:rPr>
                <w:rFonts w:ascii="Arial" w:cs="Arial" w:eastAsia="Arial" w:hAnsi="Arial"/>
                <w:sz w:val="20"/>
                <w:szCs w:val="20"/>
                <w:b w:val="1"/>
                <w:bCs w:val="1"/>
                <w:color w:val="auto"/>
              </w:rPr>
              <w:t>Section 11.20</w:t>
            </w:r>
          </w:p>
        </w:tc>
        <w:tc>
          <w:tcPr>
            <w:tcW w:w="7960" w:type="dxa"/>
            <w:vAlign w:val="bottom"/>
          </w:tcPr>
          <w:p>
            <w:pPr>
              <w:ind w:left="260"/>
              <w:spacing w:after="0"/>
              <w:rPr>
                <w:sz w:val="20"/>
                <w:szCs w:val="20"/>
                <w:color w:val="auto"/>
              </w:rPr>
            </w:pPr>
            <w:r>
              <w:rPr>
                <w:rFonts w:ascii="Arial" w:cs="Arial" w:eastAsia="Arial" w:hAnsi="Arial"/>
                <w:sz w:val="20"/>
                <w:szCs w:val="20"/>
                <w:b w:val="1"/>
                <w:bCs w:val="1"/>
                <w:color w:val="auto"/>
              </w:rPr>
              <w:t>Definitions</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83</w:t>
            </w:r>
          </w:p>
        </w:tc>
      </w:tr>
      <w:tr>
        <w:trPr>
          <w:trHeight w:val="445"/>
        </w:trPr>
        <w:tc>
          <w:tcPr>
            <w:tcW w:w="10200" w:type="dxa"/>
            <w:vAlign w:val="bottom"/>
            <w:gridSpan w:val="2"/>
          </w:tcPr>
          <w:p>
            <w:pPr>
              <w:spacing w:after="0"/>
              <w:rPr>
                <w:sz w:val="20"/>
                <w:szCs w:val="20"/>
                <w:color w:val="auto"/>
              </w:rPr>
            </w:pPr>
            <w:r>
              <w:rPr>
                <w:rFonts w:ascii="Arial" w:cs="Arial" w:eastAsia="Arial" w:hAnsi="Arial"/>
                <w:sz w:val="20"/>
                <w:szCs w:val="20"/>
                <w:b w:val="1"/>
                <w:bCs w:val="1"/>
                <w:color w:val="auto"/>
              </w:rPr>
              <w:t>ARTICLE 12 - MISCELLANEOUS</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84</w:t>
            </w:r>
          </w:p>
        </w:tc>
      </w:tr>
      <w:tr>
        <w:trPr>
          <w:trHeight w:val="446"/>
        </w:trPr>
        <w:tc>
          <w:tcPr>
            <w:tcW w:w="2240" w:type="dxa"/>
            <w:vAlign w:val="bottom"/>
          </w:tcPr>
          <w:p>
            <w:pPr>
              <w:ind w:left="880"/>
              <w:spacing w:after="0"/>
              <w:rPr>
                <w:sz w:val="20"/>
                <w:szCs w:val="20"/>
                <w:color w:val="auto"/>
              </w:rPr>
            </w:pPr>
            <w:r>
              <w:rPr>
                <w:rFonts w:ascii="Arial" w:cs="Arial" w:eastAsia="Arial" w:hAnsi="Arial"/>
                <w:sz w:val="20"/>
                <w:szCs w:val="20"/>
                <w:b w:val="1"/>
                <w:bCs w:val="1"/>
                <w:color w:val="auto"/>
              </w:rPr>
              <w:t>Section 12.1</w:t>
            </w:r>
          </w:p>
        </w:tc>
        <w:tc>
          <w:tcPr>
            <w:tcW w:w="7960" w:type="dxa"/>
            <w:vAlign w:val="bottom"/>
          </w:tcPr>
          <w:p>
            <w:pPr>
              <w:ind w:left="260"/>
              <w:spacing w:after="0"/>
              <w:rPr>
                <w:sz w:val="20"/>
                <w:szCs w:val="20"/>
                <w:color w:val="auto"/>
              </w:rPr>
            </w:pPr>
            <w:r>
              <w:rPr>
                <w:rFonts w:ascii="Arial" w:cs="Arial" w:eastAsia="Arial" w:hAnsi="Arial"/>
                <w:sz w:val="20"/>
                <w:szCs w:val="20"/>
                <w:b w:val="1"/>
                <w:bCs w:val="1"/>
                <w:color w:val="auto"/>
              </w:rPr>
              <w:t>Survival</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84</w:t>
            </w:r>
          </w:p>
        </w:tc>
      </w:tr>
      <w:tr>
        <w:trPr>
          <w:trHeight w:val="445"/>
        </w:trPr>
        <w:tc>
          <w:tcPr>
            <w:tcW w:w="2240" w:type="dxa"/>
            <w:vAlign w:val="bottom"/>
          </w:tcPr>
          <w:p>
            <w:pPr>
              <w:ind w:left="880"/>
              <w:spacing w:after="0"/>
              <w:rPr>
                <w:sz w:val="20"/>
                <w:szCs w:val="20"/>
                <w:color w:val="auto"/>
              </w:rPr>
            </w:pPr>
            <w:r>
              <w:rPr>
                <w:rFonts w:ascii="Arial" w:cs="Arial" w:eastAsia="Arial" w:hAnsi="Arial"/>
                <w:sz w:val="20"/>
                <w:szCs w:val="20"/>
                <w:b w:val="1"/>
                <w:bCs w:val="1"/>
                <w:color w:val="auto"/>
              </w:rPr>
              <w:t>Section 12.2</w:t>
            </w:r>
          </w:p>
        </w:tc>
        <w:tc>
          <w:tcPr>
            <w:tcW w:w="7960" w:type="dxa"/>
            <w:vAlign w:val="bottom"/>
          </w:tcPr>
          <w:p>
            <w:pPr>
              <w:ind w:left="260"/>
              <w:spacing w:after="0"/>
              <w:rPr>
                <w:sz w:val="20"/>
                <w:szCs w:val="20"/>
                <w:color w:val="auto"/>
              </w:rPr>
            </w:pPr>
            <w:r>
              <w:rPr>
                <w:rFonts w:ascii="Arial" w:cs="Arial" w:eastAsia="Arial" w:hAnsi="Arial"/>
                <w:sz w:val="20"/>
                <w:szCs w:val="20"/>
                <w:b w:val="1"/>
                <w:bCs w:val="1"/>
                <w:color w:val="auto"/>
              </w:rPr>
              <w:t>No Waivers</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84</w:t>
            </w:r>
          </w:p>
        </w:tc>
      </w:tr>
      <w:tr>
        <w:trPr>
          <w:trHeight w:val="446"/>
        </w:trPr>
        <w:tc>
          <w:tcPr>
            <w:tcW w:w="2240" w:type="dxa"/>
            <w:vAlign w:val="bottom"/>
          </w:tcPr>
          <w:p>
            <w:pPr>
              <w:ind w:left="880"/>
              <w:spacing w:after="0"/>
              <w:rPr>
                <w:sz w:val="20"/>
                <w:szCs w:val="20"/>
                <w:color w:val="auto"/>
              </w:rPr>
            </w:pPr>
            <w:r>
              <w:rPr>
                <w:rFonts w:ascii="Arial" w:cs="Arial" w:eastAsia="Arial" w:hAnsi="Arial"/>
                <w:sz w:val="20"/>
                <w:szCs w:val="20"/>
                <w:b w:val="1"/>
                <w:bCs w:val="1"/>
                <w:color w:val="auto"/>
              </w:rPr>
              <w:t>Section 12.3</w:t>
            </w:r>
          </w:p>
        </w:tc>
        <w:tc>
          <w:tcPr>
            <w:tcW w:w="7960" w:type="dxa"/>
            <w:vAlign w:val="bottom"/>
          </w:tcPr>
          <w:p>
            <w:pPr>
              <w:ind w:left="260"/>
              <w:spacing w:after="0"/>
              <w:rPr>
                <w:sz w:val="20"/>
                <w:szCs w:val="20"/>
                <w:color w:val="auto"/>
              </w:rPr>
            </w:pPr>
            <w:r>
              <w:rPr>
                <w:rFonts w:ascii="Arial" w:cs="Arial" w:eastAsia="Arial" w:hAnsi="Arial"/>
                <w:sz w:val="20"/>
                <w:szCs w:val="20"/>
                <w:b w:val="1"/>
                <w:bCs w:val="1"/>
                <w:color w:val="auto"/>
              </w:rPr>
              <w:t>Notices.</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84</w:t>
            </w:r>
          </w:p>
        </w:tc>
      </w:tr>
      <w:tr>
        <w:trPr>
          <w:trHeight w:val="445"/>
        </w:trPr>
        <w:tc>
          <w:tcPr>
            <w:tcW w:w="2240" w:type="dxa"/>
            <w:vAlign w:val="bottom"/>
          </w:tcPr>
          <w:p>
            <w:pPr>
              <w:ind w:left="880"/>
              <w:spacing w:after="0"/>
              <w:rPr>
                <w:sz w:val="20"/>
                <w:szCs w:val="20"/>
                <w:color w:val="auto"/>
              </w:rPr>
            </w:pPr>
            <w:r>
              <w:rPr>
                <w:rFonts w:ascii="Arial" w:cs="Arial" w:eastAsia="Arial" w:hAnsi="Arial"/>
                <w:sz w:val="20"/>
                <w:szCs w:val="20"/>
                <w:b w:val="1"/>
                <w:bCs w:val="1"/>
                <w:color w:val="auto"/>
              </w:rPr>
              <w:t>Section 12.4</w:t>
            </w:r>
          </w:p>
        </w:tc>
        <w:tc>
          <w:tcPr>
            <w:tcW w:w="7960" w:type="dxa"/>
            <w:vAlign w:val="bottom"/>
          </w:tcPr>
          <w:p>
            <w:pPr>
              <w:ind w:left="260"/>
              <w:spacing w:after="0"/>
              <w:rPr>
                <w:sz w:val="20"/>
                <w:szCs w:val="20"/>
                <w:color w:val="auto"/>
              </w:rPr>
            </w:pPr>
            <w:r>
              <w:rPr>
                <w:rFonts w:ascii="Arial" w:cs="Arial" w:eastAsia="Arial" w:hAnsi="Arial"/>
                <w:sz w:val="20"/>
                <w:szCs w:val="20"/>
                <w:b w:val="1"/>
                <w:bCs w:val="1"/>
                <w:color w:val="auto"/>
              </w:rPr>
              <w:t>Severability</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85</w:t>
            </w:r>
          </w:p>
        </w:tc>
      </w:tr>
      <w:tr>
        <w:trPr>
          <w:trHeight w:val="445"/>
        </w:trPr>
        <w:tc>
          <w:tcPr>
            <w:tcW w:w="2240" w:type="dxa"/>
            <w:vAlign w:val="bottom"/>
          </w:tcPr>
          <w:p>
            <w:pPr>
              <w:ind w:left="880"/>
              <w:spacing w:after="0"/>
              <w:rPr>
                <w:sz w:val="20"/>
                <w:szCs w:val="20"/>
                <w:color w:val="auto"/>
              </w:rPr>
            </w:pPr>
            <w:r>
              <w:rPr>
                <w:rFonts w:ascii="Arial" w:cs="Arial" w:eastAsia="Arial" w:hAnsi="Arial"/>
                <w:sz w:val="20"/>
                <w:szCs w:val="20"/>
                <w:b w:val="1"/>
                <w:bCs w:val="1"/>
                <w:color w:val="auto"/>
              </w:rPr>
              <w:t>Section 12.5</w:t>
            </w:r>
          </w:p>
        </w:tc>
        <w:tc>
          <w:tcPr>
            <w:tcW w:w="7960" w:type="dxa"/>
            <w:vAlign w:val="bottom"/>
          </w:tcPr>
          <w:p>
            <w:pPr>
              <w:ind w:left="260"/>
              <w:spacing w:after="0"/>
              <w:rPr>
                <w:sz w:val="20"/>
                <w:szCs w:val="20"/>
                <w:color w:val="auto"/>
              </w:rPr>
            </w:pPr>
            <w:r>
              <w:rPr>
                <w:rFonts w:ascii="Arial" w:cs="Arial" w:eastAsia="Arial" w:hAnsi="Arial"/>
                <w:sz w:val="20"/>
                <w:szCs w:val="20"/>
                <w:b w:val="1"/>
                <w:bCs w:val="1"/>
                <w:color w:val="auto"/>
              </w:rPr>
              <w:t>Headings</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85</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vi</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7" w:name="page58"/>
    <w:bookmarkEnd w:id="57"/>
    <w:tbl>
      <w:tblPr>
        <w:tblLayout w:type="fixed"/>
        <w:tblInd w:w="88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20"/>
                <w:szCs w:val="20"/>
                <w:b w:val="1"/>
                <w:bCs w:val="1"/>
                <w:color w:val="auto"/>
              </w:rPr>
              <w:t>Section 12.6</w:t>
            </w:r>
          </w:p>
        </w:tc>
        <w:tc>
          <w:tcPr>
            <w:tcW w:w="8680" w:type="dxa"/>
            <w:vAlign w:val="bottom"/>
          </w:tcPr>
          <w:p>
            <w:pPr>
              <w:ind w:left="260"/>
              <w:spacing w:after="0"/>
              <w:rPr>
                <w:sz w:val="20"/>
                <w:szCs w:val="20"/>
                <w:color w:val="auto"/>
              </w:rPr>
            </w:pPr>
            <w:r>
              <w:rPr>
                <w:rFonts w:ascii="Arial" w:cs="Arial" w:eastAsia="Arial" w:hAnsi="Arial"/>
                <w:sz w:val="20"/>
                <w:szCs w:val="20"/>
                <w:b w:val="1"/>
                <w:bCs w:val="1"/>
                <w:color w:val="auto"/>
                <w:w w:val="91"/>
              </w:rPr>
              <w:t>Confidentiality. Agent and each Lender shall hold all non-public information regarding the Credit</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85</w:t>
            </w:r>
          </w:p>
        </w:tc>
      </w:tr>
      <w:tr>
        <w:trPr>
          <w:trHeight w:val="229"/>
        </w:trPr>
        <w:tc>
          <w:tcPr>
            <w:tcW w:w="1360" w:type="dxa"/>
            <w:vAlign w:val="bottom"/>
          </w:tcPr>
          <w:p>
            <w:pPr>
              <w:spacing w:after="0"/>
              <w:rPr>
                <w:sz w:val="19"/>
                <w:szCs w:val="19"/>
                <w:color w:val="auto"/>
              </w:rPr>
            </w:pPr>
          </w:p>
        </w:tc>
        <w:tc>
          <w:tcPr>
            <w:tcW w:w="8680" w:type="dxa"/>
            <w:vAlign w:val="bottom"/>
          </w:tcPr>
          <w:p>
            <w:pPr>
              <w:ind w:left="260"/>
              <w:spacing w:after="0"/>
              <w:rPr>
                <w:sz w:val="20"/>
                <w:szCs w:val="20"/>
                <w:color w:val="auto"/>
              </w:rPr>
            </w:pPr>
            <w:r>
              <w:rPr>
                <w:rFonts w:ascii="Arial" w:cs="Arial" w:eastAsia="Arial" w:hAnsi="Arial"/>
                <w:sz w:val="20"/>
                <w:szCs w:val="20"/>
                <w:b w:val="1"/>
                <w:bCs w:val="1"/>
                <w:color w:val="auto"/>
                <w:w w:val="94"/>
              </w:rPr>
              <w:t>Parties and their respective businesses and obtained by Agent or any Lender pursuant to the</w:t>
            </w:r>
          </w:p>
        </w:tc>
        <w:tc>
          <w:tcPr>
            <w:tcW w:w="320" w:type="dxa"/>
            <w:vAlign w:val="bottom"/>
          </w:tcPr>
          <w:p>
            <w:pPr>
              <w:spacing w:after="0"/>
              <w:rPr>
                <w:sz w:val="19"/>
                <w:szCs w:val="19"/>
                <w:color w:val="auto"/>
              </w:rPr>
            </w:pPr>
          </w:p>
        </w:tc>
      </w:tr>
      <w:tr>
        <w:trPr>
          <w:trHeight w:val="230"/>
        </w:trPr>
        <w:tc>
          <w:tcPr>
            <w:tcW w:w="1360" w:type="dxa"/>
            <w:vAlign w:val="bottom"/>
          </w:tcPr>
          <w:p>
            <w:pPr>
              <w:spacing w:after="0"/>
              <w:rPr>
                <w:sz w:val="19"/>
                <w:szCs w:val="19"/>
                <w:color w:val="auto"/>
              </w:rPr>
            </w:pPr>
          </w:p>
        </w:tc>
        <w:tc>
          <w:tcPr>
            <w:tcW w:w="8680" w:type="dxa"/>
            <w:vAlign w:val="bottom"/>
          </w:tcPr>
          <w:p>
            <w:pPr>
              <w:ind w:left="260"/>
              <w:spacing w:after="0"/>
              <w:rPr>
                <w:sz w:val="20"/>
                <w:szCs w:val="20"/>
                <w:color w:val="auto"/>
              </w:rPr>
            </w:pPr>
            <w:r>
              <w:rPr>
                <w:rFonts w:ascii="Arial" w:cs="Arial" w:eastAsia="Arial" w:hAnsi="Arial"/>
                <w:sz w:val="20"/>
                <w:szCs w:val="20"/>
                <w:b w:val="1"/>
                <w:bCs w:val="1"/>
                <w:color w:val="auto"/>
                <w:w w:val="97"/>
              </w:rPr>
              <w:t>requirements hereof in accordance with such Person’s customary procedures for handling</w:t>
            </w:r>
          </w:p>
        </w:tc>
        <w:tc>
          <w:tcPr>
            <w:tcW w:w="320" w:type="dxa"/>
            <w:vAlign w:val="bottom"/>
          </w:tcPr>
          <w:p>
            <w:pPr>
              <w:spacing w:after="0"/>
              <w:rPr>
                <w:sz w:val="19"/>
                <w:szCs w:val="19"/>
                <w:color w:val="auto"/>
              </w:rPr>
            </w:pPr>
          </w:p>
        </w:tc>
      </w:tr>
      <w:tr>
        <w:trPr>
          <w:trHeight w:val="229"/>
        </w:trPr>
        <w:tc>
          <w:tcPr>
            <w:tcW w:w="1360" w:type="dxa"/>
            <w:vAlign w:val="bottom"/>
          </w:tcPr>
          <w:p>
            <w:pPr>
              <w:spacing w:after="0"/>
              <w:rPr>
                <w:sz w:val="19"/>
                <w:szCs w:val="19"/>
                <w:color w:val="auto"/>
              </w:rPr>
            </w:pPr>
          </w:p>
        </w:tc>
        <w:tc>
          <w:tcPr>
            <w:tcW w:w="8680" w:type="dxa"/>
            <w:vAlign w:val="bottom"/>
          </w:tcPr>
          <w:p>
            <w:pPr>
              <w:ind w:left="260"/>
              <w:spacing w:after="0"/>
              <w:rPr>
                <w:sz w:val="20"/>
                <w:szCs w:val="20"/>
                <w:color w:val="auto"/>
              </w:rPr>
            </w:pPr>
            <w:r>
              <w:rPr>
                <w:rFonts w:ascii="Arial" w:cs="Arial" w:eastAsia="Arial" w:hAnsi="Arial"/>
                <w:sz w:val="20"/>
                <w:szCs w:val="20"/>
                <w:b w:val="1"/>
                <w:bCs w:val="1"/>
                <w:color w:val="auto"/>
                <w:w w:val="93"/>
              </w:rPr>
              <w:t>information of such nature, except that disclosure of such information may be made (i) to their</w:t>
            </w:r>
          </w:p>
        </w:tc>
        <w:tc>
          <w:tcPr>
            <w:tcW w:w="320" w:type="dxa"/>
            <w:vAlign w:val="bottom"/>
          </w:tcPr>
          <w:p>
            <w:pPr>
              <w:spacing w:after="0"/>
              <w:rPr>
                <w:sz w:val="19"/>
                <w:szCs w:val="19"/>
                <w:color w:val="auto"/>
              </w:rPr>
            </w:pPr>
          </w:p>
        </w:tc>
      </w:tr>
      <w:tr>
        <w:trPr>
          <w:trHeight w:val="229"/>
        </w:trPr>
        <w:tc>
          <w:tcPr>
            <w:tcW w:w="1360" w:type="dxa"/>
            <w:vAlign w:val="bottom"/>
          </w:tcPr>
          <w:p>
            <w:pPr>
              <w:spacing w:after="0"/>
              <w:rPr>
                <w:sz w:val="19"/>
                <w:szCs w:val="19"/>
                <w:color w:val="auto"/>
              </w:rPr>
            </w:pPr>
          </w:p>
        </w:tc>
        <w:tc>
          <w:tcPr>
            <w:tcW w:w="8680" w:type="dxa"/>
            <w:vAlign w:val="bottom"/>
          </w:tcPr>
          <w:p>
            <w:pPr>
              <w:ind w:left="260"/>
              <w:spacing w:after="0"/>
              <w:rPr>
                <w:sz w:val="20"/>
                <w:szCs w:val="20"/>
                <w:color w:val="auto"/>
              </w:rPr>
            </w:pPr>
            <w:r>
              <w:rPr>
                <w:rFonts w:ascii="Arial" w:cs="Arial" w:eastAsia="Arial" w:hAnsi="Arial"/>
                <w:sz w:val="20"/>
                <w:szCs w:val="20"/>
                <w:b w:val="1"/>
                <w:bCs w:val="1"/>
                <w:color w:val="auto"/>
                <w:w w:val="88"/>
              </w:rPr>
              <w:t>respective agents, employees, Subsidiaries, Affiliates, attorneys, auditors, professional consultants,</w:t>
            </w:r>
          </w:p>
        </w:tc>
        <w:tc>
          <w:tcPr>
            <w:tcW w:w="320" w:type="dxa"/>
            <w:vAlign w:val="bottom"/>
          </w:tcPr>
          <w:p>
            <w:pPr>
              <w:spacing w:after="0"/>
              <w:rPr>
                <w:sz w:val="19"/>
                <w:szCs w:val="19"/>
                <w:color w:val="auto"/>
              </w:rPr>
            </w:pPr>
          </w:p>
        </w:tc>
      </w:tr>
      <w:tr>
        <w:trPr>
          <w:trHeight w:val="230"/>
        </w:trPr>
        <w:tc>
          <w:tcPr>
            <w:tcW w:w="1360" w:type="dxa"/>
            <w:vAlign w:val="bottom"/>
          </w:tcPr>
          <w:p>
            <w:pPr>
              <w:spacing w:after="0"/>
              <w:rPr>
                <w:sz w:val="19"/>
                <w:szCs w:val="19"/>
                <w:color w:val="auto"/>
              </w:rPr>
            </w:pPr>
          </w:p>
        </w:tc>
        <w:tc>
          <w:tcPr>
            <w:tcW w:w="8680" w:type="dxa"/>
            <w:vAlign w:val="bottom"/>
          </w:tcPr>
          <w:p>
            <w:pPr>
              <w:ind w:left="260"/>
              <w:spacing w:after="0"/>
              <w:rPr>
                <w:sz w:val="20"/>
                <w:szCs w:val="20"/>
                <w:color w:val="auto"/>
              </w:rPr>
            </w:pPr>
            <w:r>
              <w:rPr>
                <w:rFonts w:ascii="Arial" w:cs="Arial" w:eastAsia="Arial" w:hAnsi="Arial"/>
                <w:sz w:val="20"/>
                <w:szCs w:val="20"/>
                <w:b w:val="1"/>
                <w:bCs w:val="1"/>
                <w:color w:val="auto"/>
                <w:w w:val="97"/>
              </w:rPr>
              <w:t>rating agencies, insurance industry associations and portfolio management services, (ii) to</w:t>
            </w:r>
          </w:p>
        </w:tc>
        <w:tc>
          <w:tcPr>
            <w:tcW w:w="320" w:type="dxa"/>
            <w:vAlign w:val="bottom"/>
          </w:tcPr>
          <w:p>
            <w:pPr>
              <w:spacing w:after="0"/>
              <w:rPr>
                <w:sz w:val="19"/>
                <w:szCs w:val="19"/>
                <w:color w:val="auto"/>
              </w:rPr>
            </w:pPr>
          </w:p>
        </w:tc>
      </w:tr>
      <w:tr>
        <w:trPr>
          <w:trHeight w:val="229"/>
        </w:trPr>
        <w:tc>
          <w:tcPr>
            <w:tcW w:w="1360" w:type="dxa"/>
            <w:vAlign w:val="bottom"/>
          </w:tcPr>
          <w:p>
            <w:pPr>
              <w:spacing w:after="0"/>
              <w:rPr>
                <w:sz w:val="19"/>
                <w:szCs w:val="19"/>
                <w:color w:val="auto"/>
              </w:rPr>
            </w:pPr>
          </w:p>
        </w:tc>
        <w:tc>
          <w:tcPr>
            <w:tcW w:w="8680" w:type="dxa"/>
            <w:vAlign w:val="bottom"/>
          </w:tcPr>
          <w:p>
            <w:pPr>
              <w:ind w:left="260"/>
              <w:spacing w:after="0"/>
              <w:rPr>
                <w:sz w:val="20"/>
                <w:szCs w:val="20"/>
                <w:color w:val="auto"/>
              </w:rPr>
            </w:pPr>
            <w:r>
              <w:rPr>
                <w:rFonts w:ascii="Arial" w:cs="Arial" w:eastAsia="Arial" w:hAnsi="Arial"/>
                <w:sz w:val="20"/>
                <w:szCs w:val="20"/>
                <w:b w:val="1"/>
                <w:bCs w:val="1"/>
                <w:color w:val="auto"/>
                <w:w w:val="91"/>
              </w:rPr>
              <w:t>prospective transferees or purchasers of any interest in the Loans, Agent or a Lender, provided,</w:t>
            </w:r>
          </w:p>
        </w:tc>
        <w:tc>
          <w:tcPr>
            <w:tcW w:w="320" w:type="dxa"/>
            <w:vAlign w:val="bottom"/>
          </w:tcPr>
          <w:p>
            <w:pPr>
              <w:spacing w:after="0"/>
              <w:rPr>
                <w:sz w:val="19"/>
                <w:szCs w:val="19"/>
                <w:color w:val="auto"/>
              </w:rPr>
            </w:pPr>
          </w:p>
        </w:tc>
      </w:tr>
      <w:tr>
        <w:trPr>
          <w:trHeight w:val="230"/>
        </w:trPr>
        <w:tc>
          <w:tcPr>
            <w:tcW w:w="1360" w:type="dxa"/>
            <w:vAlign w:val="bottom"/>
          </w:tcPr>
          <w:p>
            <w:pPr>
              <w:spacing w:after="0"/>
              <w:rPr>
                <w:sz w:val="19"/>
                <w:szCs w:val="19"/>
                <w:color w:val="auto"/>
              </w:rPr>
            </w:pPr>
          </w:p>
        </w:tc>
        <w:tc>
          <w:tcPr>
            <w:tcW w:w="8680" w:type="dxa"/>
            <w:vAlign w:val="bottom"/>
          </w:tcPr>
          <w:p>
            <w:pPr>
              <w:ind w:left="260"/>
              <w:spacing w:after="0"/>
              <w:rPr>
                <w:sz w:val="20"/>
                <w:szCs w:val="20"/>
                <w:color w:val="auto"/>
              </w:rPr>
            </w:pPr>
            <w:r>
              <w:rPr>
                <w:rFonts w:ascii="Arial" w:cs="Arial" w:eastAsia="Arial" w:hAnsi="Arial"/>
                <w:sz w:val="20"/>
                <w:szCs w:val="20"/>
                <w:b w:val="1"/>
                <w:bCs w:val="1"/>
                <w:color w:val="auto"/>
                <w:w w:val="93"/>
              </w:rPr>
              <w:t>however, that any such Persons are bound by obligations of confidentiality, (iii) as required by</w:t>
            </w:r>
          </w:p>
        </w:tc>
        <w:tc>
          <w:tcPr>
            <w:tcW w:w="320" w:type="dxa"/>
            <w:vAlign w:val="bottom"/>
          </w:tcPr>
          <w:p>
            <w:pPr>
              <w:spacing w:after="0"/>
              <w:rPr>
                <w:sz w:val="19"/>
                <w:szCs w:val="19"/>
                <w:color w:val="auto"/>
              </w:rPr>
            </w:pPr>
          </w:p>
        </w:tc>
      </w:tr>
      <w:tr>
        <w:trPr>
          <w:trHeight w:val="229"/>
        </w:trPr>
        <w:tc>
          <w:tcPr>
            <w:tcW w:w="1360" w:type="dxa"/>
            <w:vAlign w:val="bottom"/>
          </w:tcPr>
          <w:p>
            <w:pPr>
              <w:spacing w:after="0"/>
              <w:rPr>
                <w:sz w:val="19"/>
                <w:szCs w:val="19"/>
                <w:color w:val="auto"/>
              </w:rPr>
            </w:pPr>
          </w:p>
        </w:tc>
        <w:tc>
          <w:tcPr>
            <w:tcW w:w="8680" w:type="dxa"/>
            <w:vAlign w:val="bottom"/>
          </w:tcPr>
          <w:p>
            <w:pPr>
              <w:ind w:left="260"/>
              <w:spacing w:after="0"/>
              <w:rPr>
                <w:sz w:val="20"/>
                <w:szCs w:val="20"/>
                <w:color w:val="auto"/>
              </w:rPr>
            </w:pPr>
            <w:r>
              <w:rPr>
                <w:rFonts w:ascii="Arial" w:cs="Arial" w:eastAsia="Arial" w:hAnsi="Arial"/>
                <w:sz w:val="20"/>
                <w:szCs w:val="20"/>
                <w:b w:val="1"/>
                <w:bCs w:val="1"/>
                <w:color w:val="auto"/>
                <w:w w:val="93"/>
              </w:rPr>
              <w:t>Law, subpoena, judicial order or similar order and in connection with any litigation, (iv) as may</w:t>
            </w:r>
          </w:p>
        </w:tc>
        <w:tc>
          <w:tcPr>
            <w:tcW w:w="320" w:type="dxa"/>
            <w:vAlign w:val="bottom"/>
          </w:tcPr>
          <w:p>
            <w:pPr>
              <w:spacing w:after="0"/>
              <w:rPr>
                <w:sz w:val="19"/>
                <w:szCs w:val="19"/>
                <w:color w:val="auto"/>
              </w:rPr>
            </w:pPr>
          </w:p>
        </w:tc>
      </w:tr>
      <w:tr>
        <w:trPr>
          <w:trHeight w:val="229"/>
        </w:trPr>
        <w:tc>
          <w:tcPr>
            <w:tcW w:w="1360" w:type="dxa"/>
            <w:vAlign w:val="bottom"/>
          </w:tcPr>
          <w:p>
            <w:pPr>
              <w:spacing w:after="0"/>
              <w:rPr>
                <w:sz w:val="19"/>
                <w:szCs w:val="19"/>
                <w:color w:val="auto"/>
              </w:rPr>
            </w:pPr>
          </w:p>
        </w:tc>
        <w:tc>
          <w:tcPr>
            <w:tcW w:w="8680" w:type="dxa"/>
            <w:vAlign w:val="bottom"/>
          </w:tcPr>
          <w:p>
            <w:pPr>
              <w:ind w:left="260"/>
              <w:spacing w:after="0"/>
              <w:rPr>
                <w:sz w:val="20"/>
                <w:szCs w:val="20"/>
                <w:color w:val="auto"/>
              </w:rPr>
            </w:pPr>
            <w:r>
              <w:rPr>
                <w:rFonts w:ascii="Arial" w:cs="Arial" w:eastAsia="Arial" w:hAnsi="Arial"/>
                <w:sz w:val="20"/>
                <w:szCs w:val="20"/>
                <w:b w:val="1"/>
                <w:bCs w:val="1"/>
                <w:color w:val="auto"/>
                <w:w w:val="90"/>
              </w:rPr>
              <w:t>be required in connection with the examination, audit or similar investigation of such Person, and</w:t>
            </w:r>
          </w:p>
        </w:tc>
        <w:tc>
          <w:tcPr>
            <w:tcW w:w="320" w:type="dxa"/>
            <w:vAlign w:val="bottom"/>
          </w:tcPr>
          <w:p>
            <w:pPr>
              <w:spacing w:after="0"/>
              <w:rPr>
                <w:sz w:val="19"/>
                <w:szCs w:val="19"/>
                <w:color w:val="auto"/>
              </w:rPr>
            </w:pPr>
          </w:p>
        </w:tc>
      </w:tr>
      <w:tr>
        <w:trPr>
          <w:trHeight w:val="230"/>
        </w:trPr>
        <w:tc>
          <w:tcPr>
            <w:tcW w:w="1360" w:type="dxa"/>
            <w:vAlign w:val="bottom"/>
          </w:tcPr>
          <w:p>
            <w:pPr>
              <w:spacing w:after="0"/>
              <w:rPr>
                <w:sz w:val="19"/>
                <w:szCs w:val="19"/>
                <w:color w:val="auto"/>
              </w:rPr>
            </w:pPr>
          </w:p>
        </w:tc>
        <w:tc>
          <w:tcPr>
            <w:tcW w:w="8680" w:type="dxa"/>
            <w:vAlign w:val="bottom"/>
          </w:tcPr>
          <w:p>
            <w:pPr>
              <w:ind w:left="260"/>
              <w:spacing w:after="0"/>
              <w:rPr>
                <w:sz w:val="20"/>
                <w:szCs w:val="20"/>
                <w:color w:val="auto"/>
              </w:rPr>
            </w:pPr>
            <w:r>
              <w:rPr>
                <w:rFonts w:ascii="Arial" w:cs="Arial" w:eastAsia="Arial" w:hAnsi="Arial"/>
                <w:sz w:val="20"/>
                <w:szCs w:val="20"/>
                <w:b w:val="1"/>
                <w:bCs w:val="1"/>
                <w:color w:val="auto"/>
                <w:w w:val="92"/>
              </w:rPr>
              <w:t>(v) to a Person that is a trustee, investment advisor or investment manager, collateral manager,</w:t>
            </w:r>
          </w:p>
        </w:tc>
        <w:tc>
          <w:tcPr>
            <w:tcW w:w="320" w:type="dxa"/>
            <w:vAlign w:val="bottom"/>
          </w:tcPr>
          <w:p>
            <w:pPr>
              <w:spacing w:after="0"/>
              <w:rPr>
                <w:sz w:val="19"/>
                <w:szCs w:val="19"/>
                <w:color w:val="auto"/>
              </w:rPr>
            </w:pPr>
          </w:p>
        </w:tc>
      </w:tr>
      <w:tr>
        <w:trPr>
          <w:trHeight w:val="229"/>
        </w:trPr>
        <w:tc>
          <w:tcPr>
            <w:tcW w:w="1360" w:type="dxa"/>
            <w:vAlign w:val="bottom"/>
          </w:tcPr>
          <w:p>
            <w:pPr>
              <w:spacing w:after="0"/>
              <w:rPr>
                <w:sz w:val="19"/>
                <w:szCs w:val="19"/>
                <w:color w:val="auto"/>
              </w:rPr>
            </w:pPr>
          </w:p>
        </w:tc>
        <w:tc>
          <w:tcPr>
            <w:tcW w:w="8680" w:type="dxa"/>
            <w:vAlign w:val="bottom"/>
          </w:tcPr>
          <w:p>
            <w:pPr>
              <w:ind w:left="260"/>
              <w:spacing w:after="0"/>
              <w:rPr>
                <w:sz w:val="20"/>
                <w:szCs w:val="20"/>
                <w:color w:val="auto"/>
              </w:rPr>
            </w:pPr>
            <w:r>
              <w:rPr>
                <w:rFonts w:ascii="Arial" w:cs="Arial" w:eastAsia="Arial" w:hAnsi="Arial"/>
                <w:sz w:val="20"/>
                <w:szCs w:val="20"/>
                <w:b w:val="1"/>
                <w:bCs w:val="1"/>
                <w:color w:val="auto"/>
                <w:w w:val="89"/>
              </w:rPr>
              <w:t>servicer, noteholder or secured party in a Securitization (as hereinafter defined) in connection with</w:t>
            </w:r>
          </w:p>
        </w:tc>
        <w:tc>
          <w:tcPr>
            <w:tcW w:w="320" w:type="dxa"/>
            <w:vAlign w:val="bottom"/>
          </w:tcPr>
          <w:p>
            <w:pPr>
              <w:spacing w:after="0"/>
              <w:rPr>
                <w:sz w:val="19"/>
                <w:szCs w:val="19"/>
                <w:color w:val="auto"/>
              </w:rPr>
            </w:pPr>
          </w:p>
        </w:tc>
      </w:tr>
      <w:tr>
        <w:trPr>
          <w:trHeight w:val="230"/>
        </w:trPr>
        <w:tc>
          <w:tcPr>
            <w:tcW w:w="1360" w:type="dxa"/>
            <w:vAlign w:val="bottom"/>
          </w:tcPr>
          <w:p>
            <w:pPr>
              <w:spacing w:after="0"/>
              <w:rPr>
                <w:sz w:val="19"/>
                <w:szCs w:val="19"/>
                <w:color w:val="auto"/>
              </w:rPr>
            </w:pPr>
          </w:p>
        </w:tc>
        <w:tc>
          <w:tcPr>
            <w:tcW w:w="8680" w:type="dxa"/>
            <w:vAlign w:val="bottom"/>
          </w:tcPr>
          <w:p>
            <w:pPr>
              <w:ind w:left="260"/>
              <w:spacing w:after="0"/>
              <w:rPr>
                <w:sz w:val="20"/>
                <w:szCs w:val="20"/>
                <w:color w:val="auto"/>
              </w:rPr>
            </w:pPr>
            <w:r>
              <w:rPr>
                <w:rFonts w:ascii="Arial" w:cs="Arial" w:eastAsia="Arial" w:hAnsi="Arial"/>
                <w:sz w:val="20"/>
                <w:szCs w:val="20"/>
                <w:b w:val="1"/>
                <w:bCs w:val="1"/>
                <w:color w:val="auto"/>
                <w:w w:val="94"/>
              </w:rPr>
              <w:t>the  administration,  servicing  and  reporting  on  the  assets  serving  as  collateral  for  such</w:t>
            </w:r>
          </w:p>
        </w:tc>
        <w:tc>
          <w:tcPr>
            <w:tcW w:w="320" w:type="dxa"/>
            <w:vAlign w:val="bottom"/>
          </w:tcPr>
          <w:p>
            <w:pPr>
              <w:spacing w:after="0"/>
              <w:rPr>
                <w:sz w:val="19"/>
                <w:szCs w:val="19"/>
                <w:color w:val="auto"/>
              </w:rPr>
            </w:pPr>
          </w:p>
        </w:tc>
      </w:tr>
      <w:tr>
        <w:trPr>
          <w:trHeight w:val="229"/>
        </w:trPr>
        <w:tc>
          <w:tcPr>
            <w:tcW w:w="1360" w:type="dxa"/>
            <w:vAlign w:val="bottom"/>
          </w:tcPr>
          <w:p>
            <w:pPr>
              <w:spacing w:after="0"/>
              <w:rPr>
                <w:sz w:val="19"/>
                <w:szCs w:val="19"/>
                <w:color w:val="auto"/>
              </w:rPr>
            </w:pPr>
          </w:p>
        </w:tc>
        <w:tc>
          <w:tcPr>
            <w:tcW w:w="8680" w:type="dxa"/>
            <w:vAlign w:val="bottom"/>
          </w:tcPr>
          <w:p>
            <w:pPr>
              <w:ind w:left="260"/>
              <w:spacing w:after="0"/>
              <w:rPr>
                <w:sz w:val="20"/>
                <w:szCs w:val="20"/>
                <w:color w:val="auto"/>
              </w:rPr>
            </w:pPr>
            <w:r>
              <w:rPr>
                <w:rFonts w:ascii="Arial" w:cs="Arial" w:eastAsia="Arial" w:hAnsi="Arial"/>
                <w:sz w:val="20"/>
                <w:szCs w:val="20"/>
                <w:b w:val="1"/>
                <w:bCs w:val="1"/>
                <w:color w:val="auto"/>
                <w:w w:val="91"/>
              </w:rPr>
              <w:t>Securitization. For the purposes of this Section, “Securitization” shall mean (A) the pledge of the</w:t>
            </w:r>
          </w:p>
        </w:tc>
        <w:tc>
          <w:tcPr>
            <w:tcW w:w="320" w:type="dxa"/>
            <w:vAlign w:val="bottom"/>
          </w:tcPr>
          <w:p>
            <w:pPr>
              <w:spacing w:after="0"/>
              <w:rPr>
                <w:sz w:val="19"/>
                <w:szCs w:val="19"/>
                <w:color w:val="auto"/>
              </w:rPr>
            </w:pPr>
          </w:p>
        </w:tc>
      </w:tr>
      <w:tr>
        <w:trPr>
          <w:trHeight w:val="256"/>
        </w:trPr>
        <w:tc>
          <w:tcPr>
            <w:tcW w:w="1360" w:type="dxa"/>
            <w:vAlign w:val="bottom"/>
          </w:tcPr>
          <w:p>
            <w:pPr>
              <w:spacing w:after="0"/>
              <w:rPr>
                <w:sz w:val="22"/>
                <w:szCs w:val="22"/>
                <w:color w:val="auto"/>
              </w:rPr>
            </w:pPr>
          </w:p>
        </w:tc>
        <w:tc>
          <w:tcPr>
            <w:tcW w:w="8680" w:type="dxa"/>
            <w:vAlign w:val="bottom"/>
          </w:tcPr>
          <w:p>
            <w:pPr>
              <w:ind w:left="260"/>
              <w:spacing w:after="0"/>
              <w:rPr>
                <w:sz w:val="20"/>
                <w:szCs w:val="20"/>
                <w:color w:val="auto"/>
              </w:rPr>
            </w:pPr>
            <w:r>
              <w:rPr>
                <w:rFonts w:ascii="Arial" w:cs="Arial" w:eastAsia="Arial" w:hAnsi="Arial"/>
                <w:sz w:val="20"/>
                <w:szCs w:val="20"/>
                <w:b w:val="1"/>
                <w:bCs w:val="1"/>
                <w:color w:val="auto"/>
              </w:rPr>
              <w:t>Loans as collateral security for loans to a</w:t>
            </w:r>
          </w:p>
        </w:tc>
        <w:tc>
          <w:tcPr>
            <w:tcW w:w="320" w:type="dxa"/>
            <w:vAlign w:val="bottom"/>
          </w:tcPr>
          <w:p>
            <w:pPr>
              <w:spacing w:after="0"/>
              <w:rPr>
                <w:sz w:val="22"/>
                <w:szCs w:val="22"/>
                <w:color w:val="auto"/>
              </w:rPr>
            </w:pPr>
          </w:p>
        </w:tc>
      </w:tr>
      <w:tr>
        <w:trPr>
          <w:trHeight w:val="419"/>
        </w:trPr>
        <w:tc>
          <w:tcPr>
            <w:tcW w:w="1360" w:type="dxa"/>
            <w:vAlign w:val="bottom"/>
          </w:tcPr>
          <w:p>
            <w:pPr>
              <w:spacing w:after="0"/>
              <w:rPr>
                <w:sz w:val="24"/>
                <w:szCs w:val="24"/>
                <w:color w:val="auto"/>
              </w:rPr>
            </w:pPr>
          </w:p>
        </w:tc>
        <w:tc>
          <w:tcPr>
            <w:tcW w:w="8680" w:type="dxa"/>
            <w:vAlign w:val="bottom"/>
          </w:tcPr>
          <w:p>
            <w:pPr>
              <w:ind w:left="260"/>
              <w:spacing w:after="0"/>
              <w:rPr>
                <w:sz w:val="20"/>
                <w:szCs w:val="20"/>
                <w:color w:val="auto"/>
              </w:rPr>
            </w:pPr>
            <w:r>
              <w:rPr>
                <w:rFonts w:ascii="Arial" w:cs="Arial" w:eastAsia="Arial" w:hAnsi="Arial"/>
                <w:sz w:val="20"/>
                <w:szCs w:val="20"/>
                <w:b w:val="1"/>
                <w:bCs w:val="1"/>
                <w:color w:val="auto"/>
                <w:w w:val="93"/>
              </w:rPr>
              <w:t>Lender, or (B) a public or private offering by a Lender or any of its Affiliates or their respective</w:t>
            </w:r>
          </w:p>
        </w:tc>
        <w:tc>
          <w:tcPr>
            <w:tcW w:w="320" w:type="dxa"/>
            <w:vAlign w:val="bottom"/>
          </w:tcPr>
          <w:p>
            <w:pPr>
              <w:spacing w:after="0"/>
              <w:rPr>
                <w:sz w:val="24"/>
                <w:szCs w:val="24"/>
                <w:color w:val="auto"/>
              </w:rPr>
            </w:pPr>
          </w:p>
        </w:tc>
      </w:tr>
      <w:tr>
        <w:trPr>
          <w:trHeight w:val="229"/>
        </w:trPr>
        <w:tc>
          <w:tcPr>
            <w:tcW w:w="1360" w:type="dxa"/>
            <w:vAlign w:val="bottom"/>
          </w:tcPr>
          <w:p>
            <w:pPr>
              <w:spacing w:after="0"/>
              <w:rPr>
                <w:sz w:val="19"/>
                <w:szCs w:val="19"/>
                <w:color w:val="auto"/>
              </w:rPr>
            </w:pPr>
          </w:p>
        </w:tc>
        <w:tc>
          <w:tcPr>
            <w:tcW w:w="8680" w:type="dxa"/>
            <w:vAlign w:val="bottom"/>
          </w:tcPr>
          <w:p>
            <w:pPr>
              <w:ind w:left="260"/>
              <w:spacing w:after="0"/>
              <w:rPr>
                <w:sz w:val="20"/>
                <w:szCs w:val="20"/>
                <w:color w:val="auto"/>
              </w:rPr>
            </w:pPr>
            <w:r>
              <w:rPr>
                <w:rFonts w:ascii="Arial" w:cs="Arial" w:eastAsia="Arial" w:hAnsi="Arial"/>
                <w:sz w:val="20"/>
                <w:szCs w:val="20"/>
                <w:b w:val="1"/>
                <w:bCs w:val="1"/>
                <w:color w:val="auto"/>
                <w:w w:val="89"/>
              </w:rPr>
              <w:t>successors and assigns, of securities which represent an interest in, or which are collateralized, in</w:t>
            </w:r>
          </w:p>
        </w:tc>
        <w:tc>
          <w:tcPr>
            <w:tcW w:w="320" w:type="dxa"/>
            <w:vAlign w:val="bottom"/>
          </w:tcPr>
          <w:p>
            <w:pPr>
              <w:spacing w:after="0"/>
              <w:rPr>
                <w:sz w:val="19"/>
                <w:szCs w:val="19"/>
                <w:color w:val="auto"/>
              </w:rPr>
            </w:pPr>
          </w:p>
        </w:tc>
      </w:tr>
      <w:tr>
        <w:trPr>
          <w:trHeight w:val="230"/>
        </w:trPr>
        <w:tc>
          <w:tcPr>
            <w:tcW w:w="1360" w:type="dxa"/>
            <w:vAlign w:val="bottom"/>
          </w:tcPr>
          <w:p>
            <w:pPr>
              <w:spacing w:after="0"/>
              <w:rPr>
                <w:sz w:val="19"/>
                <w:szCs w:val="19"/>
                <w:color w:val="auto"/>
              </w:rPr>
            </w:pPr>
          </w:p>
        </w:tc>
        <w:tc>
          <w:tcPr>
            <w:tcW w:w="8680" w:type="dxa"/>
            <w:vAlign w:val="bottom"/>
          </w:tcPr>
          <w:p>
            <w:pPr>
              <w:ind w:left="260"/>
              <w:spacing w:after="0"/>
              <w:rPr>
                <w:sz w:val="20"/>
                <w:szCs w:val="20"/>
                <w:color w:val="auto"/>
              </w:rPr>
            </w:pPr>
            <w:r>
              <w:rPr>
                <w:rFonts w:ascii="Arial" w:cs="Arial" w:eastAsia="Arial" w:hAnsi="Arial"/>
                <w:sz w:val="20"/>
                <w:szCs w:val="20"/>
                <w:b w:val="1"/>
                <w:bCs w:val="1"/>
                <w:color w:val="auto"/>
                <w:w w:val="96"/>
              </w:rPr>
              <w:t>whole or in part, by the Loans.  Confidential information shall include only such information</w:t>
            </w:r>
          </w:p>
        </w:tc>
        <w:tc>
          <w:tcPr>
            <w:tcW w:w="320" w:type="dxa"/>
            <w:vAlign w:val="bottom"/>
          </w:tcPr>
          <w:p>
            <w:pPr>
              <w:spacing w:after="0"/>
              <w:rPr>
                <w:sz w:val="19"/>
                <w:szCs w:val="19"/>
                <w:color w:val="auto"/>
              </w:rPr>
            </w:pPr>
          </w:p>
        </w:tc>
      </w:tr>
      <w:tr>
        <w:trPr>
          <w:trHeight w:val="229"/>
        </w:trPr>
        <w:tc>
          <w:tcPr>
            <w:tcW w:w="1360" w:type="dxa"/>
            <w:vAlign w:val="bottom"/>
          </w:tcPr>
          <w:p>
            <w:pPr>
              <w:spacing w:after="0"/>
              <w:rPr>
                <w:sz w:val="19"/>
                <w:szCs w:val="19"/>
                <w:color w:val="auto"/>
              </w:rPr>
            </w:pPr>
          </w:p>
        </w:tc>
        <w:tc>
          <w:tcPr>
            <w:tcW w:w="8680" w:type="dxa"/>
            <w:vAlign w:val="bottom"/>
          </w:tcPr>
          <w:p>
            <w:pPr>
              <w:ind w:left="260"/>
              <w:spacing w:after="0"/>
              <w:rPr>
                <w:sz w:val="20"/>
                <w:szCs w:val="20"/>
                <w:color w:val="auto"/>
              </w:rPr>
            </w:pPr>
            <w:r>
              <w:rPr>
                <w:rFonts w:ascii="Arial" w:cs="Arial" w:eastAsia="Arial" w:hAnsi="Arial"/>
                <w:sz w:val="20"/>
                <w:szCs w:val="20"/>
                <w:b w:val="1"/>
                <w:bCs w:val="1"/>
                <w:color w:val="auto"/>
              </w:rPr>
              <w:t>identified as such at the time provided to Agent and shall not include information that</w:t>
            </w:r>
          </w:p>
        </w:tc>
        <w:tc>
          <w:tcPr>
            <w:tcW w:w="320" w:type="dxa"/>
            <w:vAlign w:val="bottom"/>
          </w:tcPr>
          <w:p>
            <w:pPr>
              <w:spacing w:after="0"/>
              <w:rPr>
                <w:sz w:val="19"/>
                <w:szCs w:val="19"/>
                <w:color w:val="auto"/>
              </w:rPr>
            </w:pPr>
          </w:p>
        </w:tc>
      </w:tr>
      <w:tr>
        <w:trPr>
          <w:trHeight w:val="229"/>
        </w:trPr>
        <w:tc>
          <w:tcPr>
            <w:tcW w:w="1360" w:type="dxa"/>
            <w:vAlign w:val="bottom"/>
          </w:tcPr>
          <w:p>
            <w:pPr>
              <w:spacing w:after="0"/>
              <w:rPr>
                <w:sz w:val="19"/>
                <w:szCs w:val="19"/>
                <w:color w:val="auto"/>
              </w:rPr>
            </w:pPr>
          </w:p>
        </w:tc>
        <w:tc>
          <w:tcPr>
            <w:tcW w:w="8680" w:type="dxa"/>
            <w:vAlign w:val="bottom"/>
          </w:tcPr>
          <w:p>
            <w:pPr>
              <w:ind w:left="260"/>
              <w:spacing w:after="0"/>
              <w:rPr>
                <w:sz w:val="20"/>
                <w:szCs w:val="20"/>
                <w:color w:val="auto"/>
              </w:rPr>
            </w:pPr>
            <w:r>
              <w:rPr>
                <w:rFonts w:ascii="Arial" w:cs="Arial" w:eastAsia="Arial" w:hAnsi="Arial"/>
                <w:sz w:val="20"/>
                <w:szCs w:val="20"/>
                <w:b w:val="1"/>
                <w:bCs w:val="1"/>
                <w:color w:val="auto"/>
                <w:w w:val="92"/>
              </w:rPr>
              <w:t>either: (y) is in the public domain, or becomes part of the public domain after disclosure to such</w:t>
            </w:r>
          </w:p>
        </w:tc>
        <w:tc>
          <w:tcPr>
            <w:tcW w:w="320" w:type="dxa"/>
            <w:vAlign w:val="bottom"/>
          </w:tcPr>
          <w:p>
            <w:pPr>
              <w:spacing w:after="0"/>
              <w:rPr>
                <w:sz w:val="19"/>
                <w:szCs w:val="19"/>
                <w:color w:val="auto"/>
              </w:rPr>
            </w:pPr>
          </w:p>
        </w:tc>
      </w:tr>
      <w:tr>
        <w:trPr>
          <w:trHeight w:val="230"/>
        </w:trPr>
        <w:tc>
          <w:tcPr>
            <w:tcW w:w="1360" w:type="dxa"/>
            <w:vAlign w:val="bottom"/>
          </w:tcPr>
          <w:p>
            <w:pPr>
              <w:spacing w:after="0"/>
              <w:rPr>
                <w:sz w:val="19"/>
                <w:szCs w:val="19"/>
                <w:color w:val="auto"/>
              </w:rPr>
            </w:pPr>
          </w:p>
        </w:tc>
        <w:tc>
          <w:tcPr>
            <w:tcW w:w="8680" w:type="dxa"/>
            <w:vAlign w:val="bottom"/>
          </w:tcPr>
          <w:p>
            <w:pPr>
              <w:ind w:left="260"/>
              <w:spacing w:after="0"/>
              <w:rPr>
                <w:sz w:val="20"/>
                <w:szCs w:val="20"/>
                <w:color w:val="auto"/>
              </w:rPr>
            </w:pPr>
            <w:r>
              <w:rPr>
                <w:rFonts w:ascii="Arial" w:cs="Arial" w:eastAsia="Arial" w:hAnsi="Arial"/>
                <w:sz w:val="20"/>
                <w:szCs w:val="20"/>
                <w:b w:val="1"/>
                <w:bCs w:val="1"/>
                <w:color w:val="auto"/>
                <w:w w:val="88"/>
              </w:rPr>
              <w:t>Person through no fault of such Person, or (z) is disclosed to such Person by a Person other than a</w:t>
            </w:r>
          </w:p>
        </w:tc>
        <w:tc>
          <w:tcPr>
            <w:tcW w:w="320" w:type="dxa"/>
            <w:vAlign w:val="bottom"/>
          </w:tcPr>
          <w:p>
            <w:pPr>
              <w:spacing w:after="0"/>
              <w:rPr>
                <w:sz w:val="19"/>
                <w:szCs w:val="19"/>
                <w:color w:val="auto"/>
              </w:rPr>
            </w:pPr>
          </w:p>
        </w:tc>
      </w:tr>
      <w:tr>
        <w:trPr>
          <w:trHeight w:val="229"/>
        </w:trPr>
        <w:tc>
          <w:tcPr>
            <w:tcW w:w="1360" w:type="dxa"/>
            <w:vAlign w:val="bottom"/>
          </w:tcPr>
          <w:p>
            <w:pPr>
              <w:spacing w:after="0"/>
              <w:rPr>
                <w:sz w:val="19"/>
                <w:szCs w:val="19"/>
                <w:color w:val="auto"/>
              </w:rPr>
            </w:pPr>
          </w:p>
        </w:tc>
        <w:tc>
          <w:tcPr>
            <w:tcW w:w="8680" w:type="dxa"/>
            <w:vAlign w:val="bottom"/>
          </w:tcPr>
          <w:p>
            <w:pPr>
              <w:ind w:left="260"/>
              <w:spacing w:after="0"/>
              <w:rPr>
                <w:sz w:val="20"/>
                <w:szCs w:val="20"/>
                <w:color w:val="auto"/>
              </w:rPr>
            </w:pPr>
            <w:r>
              <w:rPr>
                <w:rFonts w:ascii="Arial" w:cs="Arial" w:eastAsia="Arial" w:hAnsi="Arial"/>
                <w:sz w:val="20"/>
                <w:szCs w:val="20"/>
                <w:b w:val="1"/>
                <w:bCs w:val="1"/>
                <w:color w:val="auto"/>
                <w:w w:val="96"/>
              </w:rPr>
              <w:t>Credit Party, provided, however, Agent does not have actual knowledge that such Person is</w:t>
            </w:r>
          </w:p>
        </w:tc>
        <w:tc>
          <w:tcPr>
            <w:tcW w:w="320" w:type="dxa"/>
            <w:vAlign w:val="bottom"/>
          </w:tcPr>
          <w:p>
            <w:pPr>
              <w:spacing w:after="0"/>
              <w:rPr>
                <w:sz w:val="19"/>
                <w:szCs w:val="19"/>
                <w:color w:val="auto"/>
              </w:rPr>
            </w:pPr>
          </w:p>
        </w:tc>
      </w:tr>
      <w:tr>
        <w:trPr>
          <w:trHeight w:val="229"/>
        </w:trPr>
        <w:tc>
          <w:tcPr>
            <w:tcW w:w="1360" w:type="dxa"/>
            <w:vAlign w:val="bottom"/>
          </w:tcPr>
          <w:p>
            <w:pPr>
              <w:spacing w:after="0"/>
              <w:rPr>
                <w:sz w:val="19"/>
                <w:szCs w:val="19"/>
                <w:color w:val="auto"/>
              </w:rPr>
            </w:pPr>
          </w:p>
        </w:tc>
        <w:tc>
          <w:tcPr>
            <w:tcW w:w="8680" w:type="dxa"/>
            <w:vAlign w:val="bottom"/>
          </w:tcPr>
          <w:p>
            <w:pPr>
              <w:ind w:left="260"/>
              <w:spacing w:after="0"/>
              <w:rPr>
                <w:sz w:val="20"/>
                <w:szCs w:val="20"/>
                <w:color w:val="auto"/>
              </w:rPr>
            </w:pPr>
            <w:r>
              <w:rPr>
                <w:rFonts w:ascii="Arial" w:cs="Arial" w:eastAsia="Arial" w:hAnsi="Arial"/>
                <w:sz w:val="20"/>
                <w:szCs w:val="20"/>
                <w:b w:val="1"/>
                <w:bCs w:val="1"/>
                <w:color w:val="auto"/>
                <w:w w:val="93"/>
              </w:rPr>
              <w:t>prohibited from disclosing such information.  The obligations of Agent and Lenders under this</w:t>
            </w:r>
          </w:p>
        </w:tc>
        <w:tc>
          <w:tcPr>
            <w:tcW w:w="320" w:type="dxa"/>
            <w:vAlign w:val="bottom"/>
          </w:tcPr>
          <w:p>
            <w:pPr>
              <w:spacing w:after="0"/>
              <w:rPr>
                <w:sz w:val="19"/>
                <w:szCs w:val="19"/>
                <w:color w:val="auto"/>
              </w:rPr>
            </w:pPr>
          </w:p>
        </w:tc>
      </w:tr>
      <w:tr>
        <w:trPr>
          <w:trHeight w:val="230"/>
        </w:trPr>
        <w:tc>
          <w:tcPr>
            <w:tcW w:w="1360" w:type="dxa"/>
            <w:vAlign w:val="bottom"/>
          </w:tcPr>
          <w:p>
            <w:pPr>
              <w:spacing w:after="0"/>
              <w:rPr>
                <w:sz w:val="19"/>
                <w:szCs w:val="19"/>
                <w:color w:val="auto"/>
              </w:rPr>
            </w:pPr>
          </w:p>
        </w:tc>
        <w:tc>
          <w:tcPr>
            <w:tcW w:w="8680" w:type="dxa"/>
            <w:vAlign w:val="bottom"/>
          </w:tcPr>
          <w:p>
            <w:pPr>
              <w:ind w:left="260"/>
              <w:spacing w:after="0"/>
              <w:rPr>
                <w:sz w:val="20"/>
                <w:szCs w:val="20"/>
                <w:color w:val="auto"/>
              </w:rPr>
            </w:pPr>
            <w:r>
              <w:rPr>
                <w:rFonts w:ascii="Arial" w:cs="Arial" w:eastAsia="Arial" w:hAnsi="Arial"/>
                <w:sz w:val="20"/>
                <w:szCs w:val="20"/>
                <w:b w:val="1"/>
                <w:bCs w:val="1"/>
                <w:color w:val="auto"/>
                <w:w w:val="98"/>
              </w:rPr>
              <w:t>Section 12.6 shall supersede and replace the obligations of Agent and Lenders under any</w:t>
            </w:r>
          </w:p>
        </w:tc>
        <w:tc>
          <w:tcPr>
            <w:tcW w:w="320" w:type="dxa"/>
            <w:vAlign w:val="bottom"/>
          </w:tcPr>
          <w:p>
            <w:pPr>
              <w:spacing w:after="0"/>
              <w:rPr>
                <w:sz w:val="19"/>
                <w:szCs w:val="19"/>
                <w:color w:val="auto"/>
              </w:rPr>
            </w:pPr>
          </w:p>
        </w:tc>
      </w:tr>
      <w:tr>
        <w:trPr>
          <w:trHeight w:val="229"/>
        </w:trPr>
        <w:tc>
          <w:tcPr>
            <w:tcW w:w="1360" w:type="dxa"/>
            <w:vAlign w:val="bottom"/>
          </w:tcPr>
          <w:p>
            <w:pPr>
              <w:spacing w:after="0"/>
              <w:rPr>
                <w:sz w:val="19"/>
                <w:szCs w:val="19"/>
                <w:color w:val="auto"/>
              </w:rPr>
            </w:pPr>
          </w:p>
        </w:tc>
        <w:tc>
          <w:tcPr>
            <w:tcW w:w="8680" w:type="dxa"/>
            <w:vAlign w:val="bottom"/>
          </w:tcPr>
          <w:p>
            <w:pPr>
              <w:ind w:left="260"/>
              <w:spacing w:after="0"/>
              <w:rPr>
                <w:sz w:val="20"/>
                <w:szCs w:val="20"/>
                <w:color w:val="auto"/>
              </w:rPr>
            </w:pPr>
            <w:r>
              <w:rPr>
                <w:rFonts w:ascii="Arial" w:cs="Arial" w:eastAsia="Arial" w:hAnsi="Arial"/>
                <w:sz w:val="20"/>
                <w:szCs w:val="20"/>
                <w:b w:val="1"/>
                <w:bCs w:val="1"/>
                <w:color w:val="auto"/>
                <w:w w:val="94"/>
              </w:rPr>
              <w:t>confidentiality agreement in respect of this financing executed and delivered by Agent or any</w:t>
            </w:r>
          </w:p>
        </w:tc>
        <w:tc>
          <w:tcPr>
            <w:tcW w:w="320" w:type="dxa"/>
            <w:vAlign w:val="bottom"/>
          </w:tcPr>
          <w:p>
            <w:pPr>
              <w:spacing w:after="0"/>
              <w:rPr>
                <w:sz w:val="19"/>
                <w:szCs w:val="19"/>
                <w:color w:val="auto"/>
              </w:rPr>
            </w:pPr>
          </w:p>
        </w:tc>
      </w:tr>
      <w:tr>
        <w:trPr>
          <w:trHeight w:val="256"/>
        </w:trPr>
        <w:tc>
          <w:tcPr>
            <w:tcW w:w="1360" w:type="dxa"/>
            <w:vAlign w:val="bottom"/>
          </w:tcPr>
          <w:p>
            <w:pPr>
              <w:spacing w:after="0"/>
              <w:rPr>
                <w:sz w:val="22"/>
                <w:szCs w:val="22"/>
                <w:color w:val="auto"/>
              </w:rPr>
            </w:pPr>
          </w:p>
        </w:tc>
        <w:tc>
          <w:tcPr>
            <w:tcW w:w="8680" w:type="dxa"/>
            <w:vAlign w:val="bottom"/>
          </w:tcPr>
          <w:p>
            <w:pPr>
              <w:ind w:left="260"/>
              <w:spacing w:after="0"/>
              <w:rPr>
                <w:sz w:val="20"/>
                <w:szCs w:val="20"/>
                <w:color w:val="auto"/>
              </w:rPr>
            </w:pPr>
            <w:r>
              <w:rPr>
                <w:rFonts w:ascii="Arial" w:cs="Arial" w:eastAsia="Arial" w:hAnsi="Arial"/>
                <w:sz w:val="20"/>
                <w:szCs w:val="20"/>
                <w:b w:val="1"/>
                <w:bCs w:val="1"/>
                <w:color w:val="auto"/>
              </w:rPr>
              <w:t>Lender prior to the date hereof.</w:t>
            </w:r>
          </w:p>
        </w:tc>
        <w:tc>
          <w:tcPr>
            <w:tcW w:w="320" w:type="dxa"/>
            <w:vAlign w:val="bottom"/>
          </w:tcPr>
          <w:p>
            <w:pPr>
              <w:spacing w:after="0"/>
              <w:rPr>
                <w:sz w:val="22"/>
                <w:szCs w:val="22"/>
                <w:color w:val="auto"/>
              </w:rPr>
            </w:pPr>
          </w:p>
        </w:tc>
      </w:tr>
      <w:tr>
        <w:trPr>
          <w:trHeight w:val="445"/>
        </w:trPr>
        <w:tc>
          <w:tcPr>
            <w:tcW w:w="1360" w:type="dxa"/>
            <w:vAlign w:val="bottom"/>
          </w:tcPr>
          <w:p>
            <w:pPr>
              <w:spacing w:after="0"/>
              <w:rPr>
                <w:sz w:val="20"/>
                <w:szCs w:val="20"/>
                <w:color w:val="auto"/>
              </w:rPr>
            </w:pPr>
            <w:r>
              <w:rPr>
                <w:rFonts w:ascii="Arial" w:cs="Arial" w:eastAsia="Arial" w:hAnsi="Arial"/>
                <w:sz w:val="20"/>
                <w:szCs w:val="20"/>
                <w:b w:val="1"/>
                <w:bCs w:val="1"/>
                <w:color w:val="auto"/>
              </w:rPr>
              <w:t>Section 12.7</w:t>
            </w:r>
          </w:p>
        </w:tc>
        <w:tc>
          <w:tcPr>
            <w:tcW w:w="8680" w:type="dxa"/>
            <w:vAlign w:val="bottom"/>
          </w:tcPr>
          <w:p>
            <w:pPr>
              <w:ind w:left="260"/>
              <w:spacing w:after="0"/>
              <w:rPr>
                <w:sz w:val="20"/>
                <w:szCs w:val="20"/>
                <w:color w:val="auto"/>
              </w:rPr>
            </w:pPr>
            <w:r>
              <w:rPr>
                <w:rFonts w:ascii="Arial" w:cs="Arial" w:eastAsia="Arial" w:hAnsi="Arial"/>
                <w:sz w:val="20"/>
                <w:szCs w:val="20"/>
                <w:b w:val="1"/>
                <w:bCs w:val="1"/>
                <w:color w:val="auto"/>
              </w:rPr>
              <w:t>Waiver of Consequential and Other Damages</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86</w:t>
            </w:r>
          </w:p>
        </w:tc>
      </w:tr>
      <w:tr>
        <w:trPr>
          <w:trHeight w:val="446"/>
        </w:trPr>
        <w:tc>
          <w:tcPr>
            <w:tcW w:w="1360" w:type="dxa"/>
            <w:vAlign w:val="bottom"/>
          </w:tcPr>
          <w:p>
            <w:pPr>
              <w:spacing w:after="0"/>
              <w:rPr>
                <w:sz w:val="20"/>
                <w:szCs w:val="20"/>
                <w:color w:val="auto"/>
              </w:rPr>
            </w:pPr>
            <w:r>
              <w:rPr>
                <w:rFonts w:ascii="Arial" w:cs="Arial" w:eastAsia="Arial" w:hAnsi="Arial"/>
                <w:sz w:val="20"/>
                <w:szCs w:val="20"/>
                <w:b w:val="1"/>
                <w:bCs w:val="1"/>
                <w:color w:val="auto"/>
              </w:rPr>
              <w:t>Section 12.8</w:t>
            </w:r>
          </w:p>
        </w:tc>
        <w:tc>
          <w:tcPr>
            <w:tcW w:w="8680" w:type="dxa"/>
            <w:vAlign w:val="bottom"/>
          </w:tcPr>
          <w:p>
            <w:pPr>
              <w:ind w:left="260"/>
              <w:spacing w:after="0"/>
              <w:rPr>
                <w:sz w:val="20"/>
                <w:szCs w:val="20"/>
                <w:color w:val="auto"/>
              </w:rPr>
            </w:pPr>
            <w:r>
              <w:rPr>
                <w:rFonts w:ascii="Arial" w:cs="Arial" w:eastAsia="Arial" w:hAnsi="Arial"/>
                <w:sz w:val="20"/>
                <w:szCs w:val="20"/>
                <w:b w:val="1"/>
                <w:bCs w:val="1"/>
                <w:color w:val="auto"/>
              </w:rPr>
              <w:t>GOVERNING LAW; SUBMISSION TO JURISDICTION.</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86</w:t>
            </w:r>
          </w:p>
        </w:tc>
      </w:tr>
      <w:tr>
        <w:trPr>
          <w:trHeight w:val="445"/>
        </w:trPr>
        <w:tc>
          <w:tcPr>
            <w:tcW w:w="1360" w:type="dxa"/>
            <w:vAlign w:val="bottom"/>
          </w:tcPr>
          <w:p>
            <w:pPr>
              <w:spacing w:after="0"/>
              <w:rPr>
                <w:sz w:val="20"/>
                <w:szCs w:val="20"/>
                <w:color w:val="auto"/>
              </w:rPr>
            </w:pPr>
            <w:r>
              <w:rPr>
                <w:rFonts w:ascii="Arial" w:cs="Arial" w:eastAsia="Arial" w:hAnsi="Arial"/>
                <w:sz w:val="20"/>
                <w:szCs w:val="20"/>
                <w:b w:val="1"/>
                <w:bCs w:val="1"/>
                <w:color w:val="auto"/>
              </w:rPr>
              <w:t>Section 12.9</w:t>
            </w:r>
          </w:p>
        </w:tc>
        <w:tc>
          <w:tcPr>
            <w:tcW w:w="8680" w:type="dxa"/>
            <w:vAlign w:val="bottom"/>
          </w:tcPr>
          <w:p>
            <w:pPr>
              <w:ind w:left="260"/>
              <w:spacing w:after="0"/>
              <w:rPr>
                <w:sz w:val="20"/>
                <w:szCs w:val="20"/>
                <w:color w:val="auto"/>
              </w:rPr>
            </w:pPr>
            <w:r>
              <w:rPr>
                <w:rFonts w:ascii="Arial" w:cs="Arial" w:eastAsia="Arial" w:hAnsi="Arial"/>
                <w:sz w:val="20"/>
                <w:szCs w:val="20"/>
                <w:b w:val="1"/>
                <w:bCs w:val="1"/>
                <w:color w:val="auto"/>
              </w:rPr>
              <w:t>WAIVER OF JURY TRIAL</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86</w:t>
            </w:r>
          </w:p>
        </w:tc>
      </w:tr>
      <w:tr>
        <w:trPr>
          <w:trHeight w:val="445"/>
        </w:trPr>
        <w:tc>
          <w:tcPr>
            <w:tcW w:w="1360" w:type="dxa"/>
            <w:vAlign w:val="bottom"/>
          </w:tcPr>
          <w:p>
            <w:pPr>
              <w:spacing w:after="0"/>
              <w:rPr>
                <w:sz w:val="20"/>
                <w:szCs w:val="20"/>
                <w:color w:val="auto"/>
              </w:rPr>
            </w:pPr>
            <w:r>
              <w:rPr>
                <w:rFonts w:ascii="Arial" w:cs="Arial" w:eastAsia="Arial" w:hAnsi="Arial"/>
                <w:sz w:val="20"/>
                <w:szCs w:val="20"/>
                <w:b w:val="1"/>
                <w:bCs w:val="1"/>
                <w:color w:val="auto"/>
              </w:rPr>
              <w:t>Section 12.10</w:t>
            </w:r>
          </w:p>
        </w:tc>
        <w:tc>
          <w:tcPr>
            <w:tcW w:w="8680" w:type="dxa"/>
            <w:vAlign w:val="bottom"/>
          </w:tcPr>
          <w:p>
            <w:pPr>
              <w:ind w:left="260"/>
              <w:spacing w:after="0"/>
              <w:rPr>
                <w:sz w:val="20"/>
                <w:szCs w:val="20"/>
                <w:color w:val="auto"/>
              </w:rPr>
            </w:pPr>
            <w:r>
              <w:rPr>
                <w:rFonts w:ascii="Arial" w:cs="Arial" w:eastAsia="Arial" w:hAnsi="Arial"/>
                <w:sz w:val="20"/>
                <w:szCs w:val="20"/>
                <w:b w:val="1"/>
                <w:bCs w:val="1"/>
                <w:color w:val="auto"/>
              </w:rPr>
              <w:t>Publication; Advertisement.</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87</w:t>
            </w:r>
          </w:p>
        </w:tc>
      </w:tr>
      <w:tr>
        <w:trPr>
          <w:trHeight w:val="445"/>
        </w:trPr>
        <w:tc>
          <w:tcPr>
            <w:tcW w:w="1360" w:type="dxa"/>
            <w:vAlign w:val="bottom"/>
          </w:tcPr>
          <w:p>
            <w:pPr>
              <w:spacing w:after="0"/>
              <w:rPr>
                <w:sz w:val="20"/>
                <w:szCs w:val="20"/>
                <w:color w:val="auto"/>
              </w:rPr>
            </w:pPr>
            <w:r>
              <w:rPr>
                <w:rFonts w:ascii="Arial" w:cs="Arial" w:eastAsia="Arial" w:hAnsi="Arial"/>
                <w:sz w:val="20"/>
                <w:szCs w:val="20"/>
                <w:b w:val="1"/>
                <w:bCs w:val="1"/>
                <w:color w:val="auto"/>
              </w:rPr>
              <w:t>Section 12.11</w:t>
            </w:r>
          </w:p>
        </w:tc>
        <w:tc>
          <w:tcPr>
            <w:tcW w:w="8680" w:type="dxa"/>
            <w:vAlign w:val="bottom"/>
          </w:tcPr>
          <w:p>
            <w:pPr>
              <w:ind w:left="260"/>
              <w:spacing w:after="0"/>
              <w:rPr>
                <w:sz w:val="20"/>
                <w:szCs w:val="20"/>
                <w:color w:val="auto"/>
              </w:rPr>
            </w:pPr>
            <w:r>
              <w:rPr>
                <w:rFonts w:ascii="Arial" w:cs="Arial" w:eastAsia="Arial" w:hAnsi="Arial"/>
                <w:sz w:val="20"/>
                <w:szCs w:val="20"/>
                <w:b w:val="1"/>
                <w:bCs w:val="1"/>
                <w:color w:val="auto"/>
              </w:rPr>
              <w:t>Counterparts; Integration</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87</w:t>
            </w:r>
          </w:p>
        </w:tc>
      </w:tr>
      <w:tr>
        <w:trPr>
          <w:trHeight w:val="445"/>
        </w:trPr>
        <w:tc>
          <w:tcPr>
            <w:tcW w:w="1360" w:type="dxa"/>
            <w:vAlign w:val="bottom"/>
          </w:tcPr>
          <w:p>
            <w:pPr>
              <w:spacing w:after="0"/>
              <w:rPr>
                <w:sz w:val="20"/>
                <w:szCs w:val="20"/>
                <w:color w:val="auto"/>
              </w:rPr>
            </w:pPr>
            <w:r>
              <w:rPr>
                <w:rFonts w:ascii="Arial" w:cs="Arial" w:eastAsia="Arial" w:hAnsi="Arial"/>
                <w:sz w:val="20"/>
                <w:szCs w:val="20"/>
                <w:b w:val="1"/>
                <w:bCs w:val="1"/>
                <w:color w:val="auto"/>
              </w:rPr>
              <w:t>Section 12.12</w:t>
            </w:r>
          </w:p>
        </w:tc>
        <w:tc>
          <w:tcPr>
            <w:tcW w:w="8680" w:type="dxa"/>
            <w:vAlign w:val="bottom"/>
          </w:tcPr>
          <w:p>
            <w:pPr>
              <w:ind w:left="260"/>
              <w:spacing w:after="0"/>
              <w:rPr>
                <w:sz w:val="20"/>
                <w:szCs w:val="20"/>
                <w:color w:val="auto"/>
              </w:rPr>
            </w:pPr>
            <w:r>
              <w:rPr>
                <w:rFonts w:ascii="Arial" w:cs="Arial" w:eastAsia="Arial" w:hAnsi="Arial"/>
                <w:sz w:val="20"/>
                <w:szCs w:val="20"/>
                <w:b w:val="1"/>
                <w:bCs w:val="1"/>
                <w:color w:val="auto"/>
              </w:rPr>
              <w:t>No Strict Construction</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87</w:t>
            </w:r>
          </w:p>
        </w:tc>
      </w:tr>
      <w:tr>
        <w:trPr>
          <w:trHeight w:val="445"/>
        </w:trPr>
        <w:tc>
          <w:tcPr>
            <w:tcW w:w="1360" w:type="dxa"/>
            <w:vAlign w:val="bottom"/>
          </w:tcPr>
          <w:p>
            <w:pPr>
              <w:spacing w:after="0"/>
              <w:rPr>
                <w:sz w:val="20"/>
                <w:szCs w:val="20"/>
                <w:color w:val="auto"/>
              </w:rPr>
            </w:pPr>
            <w:r>
              <w:rPr>
                <w:rFonts w:ascii="Arial" w:cs="Arial" w:eastAsia="Arial" w:hAnsi="Arial"/>
                <w:sz w:val="20"/>
                <w:szCs w:val="20"/>
                <w:b w:val="1"/>
                <w:bCs w:val="1"/>
                <w:color w:val="auto"/>
              </w:rPr>
              <w:t>Section 12.13</w:t>
            </w:r>
          </w:p>
        </w:tc>
        <w:tc>
          <w:tcPr>
            <w:tcW w:w="8680" w:type="dxa"/>
            <w:vAlign w:val="bottom"/>
          </w:tcPr>
          <w:p>
            <w:pPr>
              <w:ind w:left="260"/>
              <w:spacing w:after="0"/>
              <w:rPr>
                <w:sz w:val="20"/>
                <w:szCs w:val="20"/>
                <w:color w:val="auto"/>
              </w:rPr>
            </w:pPr>
            <w:r>
              <w:rPr>
                <w:rFonts w:ascii="Arial" w:cs="Arial" w:eastAsia="Arial" w:hAnsi="Arial"/>
                <w:sz w:val="20"/>
                <w:szCs w:val="20"/>
                <w:b w:val="1"/>
                <w:bCs w:val="1"/>
                <w:color w:val="auto"/>
              </w:rPr>
              <w:t>Lender Approvals</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87</w:t>
            </w:r>
          </w:p>
        </w:tc>
      </w:tr>
      <w:tr>
        <w:trPr>
          <w:trHeight w:val="445"/>
        </w:trPr>
        <w:tc>
          <w:tcPr>
            <w:tcW w:w="1360" w:type="dxa"/>
            <w:vAlign w:val="bottom"/>
          </w:tcPr>
          <w:p>
            <w:pPr>
              <w:spacing w:after="0"/>
              <w:rPr>
                <w:sz w:val="20"/>
                <w:szCs w:val="20"/>
                <w:color w:val="auto"/>
              </w:rPr>
            </w:pPr>
            <w:r>
              <w:rPr>
                <w:rFonts w:ascii="Arial" w:cs="Arial" w:eastAsia="Arial" w:hAnsi="Arial"/>
                <w:sz w:val="20"/>
                <w:szCs w:val="20"/>
                <w:b w:val="1"/>
                <w:bCs w:val="1"/>
                <w:color w:val="auto"/>
              </w:rPr>
              <w:t>Section 12.14</w:t>
            </w:r>
          </w:p>
        </w:tc>
        <w:tc>
          <w:tcPr>
            <w:tcW w:w="8680" w:type="dxa"/>
            <w:vAlign w:val="bottom"/>
          </w:tcPr>
          <w:p>
            <w:pPr>
              <w:ind w:left="260"/>
              <w:spacing w:after="0"/>
              <w:rPr>
                <w:sz w:val="20"/>
                <w:szCs w:val="20"/>
                <w:color w:val="auto"/>
              </w:rPr>
            </w:pPr>
            <w:r>
              <w:rPr>
                <w:rFonts w:ascii="Arial" w:cs="Arial" w:eastAsia="Arial" w:hAnsi="Arial"/>
                <w:sz w:val="20"/>
                <w:szCs w:val="20"/>
                <w:b w:val="1"/>
                <w:bCs w:val="1"/>
                <w:color w:val="auto"/>
              </w:rPr>
              <w:t>Expenses; Indemnity</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87</w:t>
            </w:r>
          </w:p>
        </w:tc>
      </w:tr>
      <w:tr>
        <w:trPr>
          <w:trHeight w:val="445"/>
        </w:trPr>
        <w:tc>
          <w:tcPr>
            <w:tcW w:w="1360" w:type="dxa"/>
            <w:vAlign w:val="bottom"/>
          </w:tcPr>
          <w:p>
            <w:pPr>
              <w:spacing w:after="0"/>
              <w:rPr>
                <w:sz w:val="20"/>
                <w:szCs w:val="20"/>
                <w:color w:val="auto"/>
              </w:rPr>
            </w:pPr>
            <w:r>
              <w:rPr>
                <w:rFonts w:ascii="Arial" w:cs="Arial" w:eastAsia="Arial" w:hAnsi="Arial"/>
                <w:sz w:val="20"/>
                <w:szCs w:val="20"/>
                <w:b w:val="1"/>
                <w:bCs w:val="1"/>
                <w:color w:val="auto"/>
              </w:rPr>
              <w:t>Section 12.15</w:t>
            </w:r>
          </w:p>
        </w:tc>
        <w:tc>
          <w:tcPr>
            <w:tcW w:w="8680" w:type="dxa"/>
            <w:vAlign w:val="bottom"/>
          </w:tcPr>
          <w:p>
            <w:pPr>
              <w:ind w:left="260"/>
              <w:spacing w:after="0"/>
              <w:rPr>
                <w:sz w:val="20"/>
                <w:szCs w:val="20"/>
                <w:color w:val="auto"/>
              </w:rPr>
            </w:pPr>
            <w:r>
              <w:rPr>
                <w:rFonts w:ascii="Arial" w:cs="Arial" w:eastAsia="Arial" w:hAnsi="Arial"/>
                <w:sz w:val="20"/>
                <w:szCs w:val="20"/>
                <w:b w:val="1"/>
                <w:bCs w:val="1"/>
                <w:color w:val="auto"/>
              </w:rPr>
              <w:t>RESERVED.</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89</w:t>
            </w:r>
          </w:p>
        </w:tc>
      </w:tr>
      <w:tr>
        <w:trPr>
          <w:trHeight w:val="445"/>
        </w:trPr>
        <w:tc>
          <w:tcPr>
            <w:tcW w:w="1360" w:type="dxa"/>
            <w:vAlign w:val="bottom"/>
          </w:tcPr>
          <w:p>
            <w:pPr>
              <w:spacing w:after="0"/>
              <w:rPr>
                <w:sz w:val="20"/>
                <w:szCs w:val="20"/>
                <w:color w:val="auto"/>
              </w:rPr>
            </w:pPr>
            <w:r>
              <w:rPr>
                <w:rFonts w:ascii="Arial" w:cs="Arial" w:eastAsia="Arial" w:hAnsi="Arial"/>
                <w:sz w:val="20"/>
                <w:szCs w:val="20"/>
                <w:b w:val="1"/>
                <w:bCs w:val="1"/>
                <w:color w:val="auto"/>
              </w:rPr>
              <w:t>Section 12.16</w:t>
            </w:r>
          </w:p>
        </w:tc>
        <w:tc>
          <w:tcPr>
            <w:tcW w:w="8680" w:type="dxa"/>
            <w:vAlign w:val="bottom"/>
          </w:tcPr>
          <w:p>
            <w:pPr>
              <w:ind w:left="260"/>
              <w:spacing w:after="0"/>
              <w:rPr>
                <w:sz w:val="20"/>
                <w:szCs w:val="20"/>
                <w:color w:val="auto"/>
              </w:rPr>
            </w:pPr>
            <w:r>
              <w:rPr>
                <w:rFonts w:ascii="Arial" w:cs="Arial" w:eastAsia="Arial" w:hAnsi="Arial"/>
                <w:sz w:val="20"/>
                <w:szCs w:val="20"/>
                <w:b w:val="1"/>
                <w:bCs w:val="1"/>
                <w:color w:val="auto"/>
              </w:rPr>
              <w:t>Reinstatement</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89</w:t>
            </w:r>
          </w:p>
        </w:tc>
      </w:tr>
      <w:tr>
        <w:trPr>
          <w:trHeight w:val="446"/>
        </w:trPr>
        <w:tc>
          <w:tcPr>
            <w:tcW w:w="1360" w:type="dxa"/>
            <w:vAlign w:val="bottom"/>
          </w:tcPr>
          <w:p>
            <w:pPr>
              <w:spacing w:after="0"/>
              <w:rPr>
                <w:sz w:val="20"/>
                <w:szCs w:val="20"/>
                <w:color w:val="auto"/>
              </w:rPr>
            </w:pPr>
            <w:r>
              <w:rPr>
                <w:rFonts w:ascii="Arial" w:cs="Arial" w:eastAsia="Arial" w:hAnsi="Arial"/>
                <w:sz w:val="20"/>
                <w:szCs w:val="20"/>
                <w:b w:val="1"/>
                <w:bCs w:val="1"/>
                <w:color w:val="auto"/>
              </w:rPr>
              <w:t>Section 12.17</w:t>
            </w:r>
          </w:p>
        </w:tc>
        <w:tc>
          <w:tcPr>
            <w:tcW w:w="8680" w:type="dxa"/>
            <w:vAlign w:val="bottom"/>
          </w:tcPr>
          <w:p>
            <w:pPr>
              <w:ind w:left="260"/>
              <w:spacing w:after="0"/>
              <w:rPr>
                <w:sz w:val="20"/>
                <w:szCs w:val="20"/>
                <w:color w:val="auto"/>
              </w:rPr>
            </w:pPr>
            <w:r>
              <w:rPr>
                <w:rFonts w:ascii="Arial" w:cs="Arial" w:eastAsia="Arial" w:hAnsi="Arial"/>
                <w:sz w:val="20"/>
                <w:szCs w:val="20"/>
                <w:b w:val="1"/>
                <w:bCs w:val="1"/>
                <w:color w:val="auto"/>
              </w:rPr>
              <w:t>Successors and Assigns</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89</w:t>
            </w:r>
          </w:p>
        </w:tc>
      </w:tr>
      <w:tr>
        <w:trPr>
          <w:trHeight w:val="445"/>
        </w:trPr>
        <w:tc>
          <w:tcPr>
            <w:tcW w:w="1360" w:type="dxa"/>
            <w:vAlign w:val="bottom"/>
          </w:tcPr>
          <w:p>
            <w:pPr>
              <w:spacing w:after="0"/>
              <w:rPr>
                <w:sz w:val="20"/>
                <w:szCs w:val="20"/>
                <w:color w:val="auto"/>
              </w:rPr>
            </w:pPr>
            <w:r>
              <w:rPr>
                <w:rFonts w:ascii="Arial" w:cs="Arial" w:eastAsia="Arial" w:hAnsi="Arial"/>
                <w:sz w:val="20"/>
                <w:szCs w:val="20"/>
                <w:b w:val="1"/>
                <w:bCs w:val="1"/>
                <w:color w:val="auto"/>
              </w:rPr>
              <w:t>Section 12.18</w:t>
            </w:r>
          </w:p>
        </w:tc>
        <w:tc>
          <w:tcPr>
            <w:tcW w:w="8680" w:type="dxa"/>
            <w:vAlign w:val="bottom"/>
          </w:tcPr>
          <w:p>
            <w:pPr>
              <w:ind w:left="260"/>
              <w:spacing w:after="0"/>
              <w:rPr>
                <w:sz w:val="20"/>
                <w:szCs w:val="20"/>
                <w:color w:val="auto"/>
              </w:rPr>
            </w:pPr>
            <w:r>
              <w:rPr>
                <w:rFonts w:ascii="Arial" w:cs="Arial" w:eastAsia="Arial" w:hAnsi="Arial"/>
                <w:sz w:val="20"/>
                <w:szCs w:val="20"/>
                <w:b w:val="1"/>
                <w:bCs w:val="1"/>
                <w:color w:val="auto"/>
              </w:rPr>
              <w:t>USA PATRIOT Act Notification</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89</w:t>
            </w:r>
          </w:p>
        </w:tc>
      </w:tr>
      <w:tr>
        <w:trPr>
          <w:trHeight w:val="446"/>
        </w:trPr>
        <w:tc>
          <w:tcPr>
            <w:tcW w:w="1360" w:type="dxa"/>
            <w:vAlign w:val="bottom"/>
          </w:tcPr>
          <w:p>
            <w:pPr>
              <w:spacing w:after="0"/>
              <w:rPr>
                <w:sz w:val="20"/>
                <w:szCs w:val="20"/>
                <w:color w:val="auto"/>
              </w:rPr>
            </w:pPr>
            <w:r>
              <w:rPr>
                <w:rFonts w:ascii="Arial" w:cs="Arial" w:eastAsia="Arial" w:hAnsi="Arial"/>
                <w:sz w:val="20"/>
                <w:szCs w:val="20"/>
                <w:b w:val="1"/>
                <w:bCs w:val="1"/>
                <w:color w:val="auto"/>
              </w:rPr>
              <w:t>Section 12.19</w:t>
            </w:r>
          </w:p>
        </w:tc>
        <w:tc>
          <w:tcPr>
            <w:tcW w:w="8680" w:type="dxa"/>
            <w:vAlign w:val="bottom"/>
          </w:tcPr>
          <w:p>
            <w:pPr>
              <w:ind w:left="260"/>
              <w:spacing w:after="0"/>
              <w:rPr>
                <w:sz w:val="20"/>
                <w:szCs w:val="20"/>
                <w:color w:val="auto"/>
              </w:rPr>
            </w:pPr>
            <w:r>
              <w:rPr>
                <w:rFonts w:ascii="Arial" w:cs="Arial" w:eastAsia="Arial" w:hAnsi="Arial"/>
                <w:sz w:val="20"/>
                <w:szCs w:val="20"/>
                <w:b w:val="1"/>
                <w:bCs w:val="1"/>
                <w:color w:val="auto"/>
              </w:rPr>
              <w:t>Acknowledgement and Consent to Bail-In of EEA Financial Institutions</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vii</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20"/>
          <w:szCs w:val="20"/>
          <w:b w:val="1"/>
          <w:bCs w:val="1"/>
          <w:u w:val="single" w:color="auto"/>
          <w:color w:val="auto"/>
        </w:rPr>
        <w:t>CREDIT AND SECURITY AGREEMENT</w:t>
      </w:r>
    </w:p>
    <w:p>
      <w:pPr>
        <w:spacing w:after="0" w:line="216"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CREDIT AND SECURITY AGREEMENT</w:t>
      </w:r>
      <w:r>
        <w:rPr>
          <w:rFonts w:ascii="Arial" w:cs="Arial" w:eastAsia="Arial" w:hAnsi="Arial"/>
          <w:sz w:val="19"/>
          <w:szCs w:val="19"/>
          <w:color w:val="auto"/>
        </w:rPr>
        <w:t xml:space="preserve"> (as the same may be amended, supplemented, restated or otherwise modified from time to time, the “</w:t>
      </w:r>
      <w:r>
        <w:rPr>
          <w:rFonts w:ascii="Arial" w:cs="Arial" w:eastAsia="Arial" w:hAnsi="Arial"/>
          <w:sz w:val="19"/>
          <w:szCs w:val="19"/>
          <w:b w:val="1"/>
          <w:bCs w:val="1"/>
          <w:color w:val="auto"/>
        </w:rPr>
        <w:t>Agreement</w:t>
      </w:r>
      <w:r>
        <w:rPr>
          <w:rFonts w:ascii="Arial" w:cs="Arial" w:eastAsia="Arial" w:hAnsi="Arial"/>
          <w:sz w:val="19"/>
          <w:szCs w:val="19"/>
          <w:color w:val="auto"/>
        </w:rPr>
        <w:t>”) is dated as of August 5, 2020 (the “</w:t>
      </w:r>
      <w:r>
        <w:rPr>
          <w:rFonts w:ascii="Arial" w:cs="Arial" w:eastAsia="Arial" w:hAnsi="Arial"/>
          <w:sz w:val="19"/>
          <w:szCs w:val="19"/>
          <w:b w:val="1"/>
          <w:bCs w:val="1"/>
          <w:color w:val="auto"/>
        </w:rPr>
        <w:t>Closing Date</w:t>
      </w:r>
      <w:r>
        <w:rPr>
          <w:rFonts w:ascii="Arial" w:cs="Arial" w:eastAsia="Arial" w:hAnsi="Arial"/>
          <w:sz w:val="19"/>
          <w:szCs w:val="19"/>
          <w:color w:val="auto"/>
        </w:rPr>
        <w:t xml:space="preserve">”) by and among </w:t>
      </w:r>
      <w:r>
        <w:rPr>
          <w:rFonts w:ascii="Arial" w:cs="Arial" w:eastAsia="Arial" w:hAnsi="Arial"/>
          <w:sz w:val="19"/>
          <w:szCs w:val="19"/>
          <w:b w:val="1"/>
          <w:bCs w:val="1"/>
          <w:color w:val="auto"/>
        </w:rPr>
        <w:t>APTEVO THERAPEUTICS INC.</w:t>
      </w:r>
      <w:r>
        <w:rPr>
          <w:rFonts w:ascii="Arial" w:cs="Arial" w:eastAsia="Arial" w:hAnsi="Arial"/>
          <w:sz w:val="19"/>
          <w:szCs w:val="19"/>
          <w:color w:val="auto"/>
        </w:rPr>
        <w:t>, a Delaware corporation (“</w:t>
      </w:r>
      <w:r>
        <w:rPr>
          <w:rFonts w:ascii="Arial" w:cs="Arial" w:eastAsia="Arial" w:hAnsi="Arial"/>
          <w:sz w:val="19"/>
          <w:szCs w:val="19"/>
          <w:b w:val="1"/>
          <w:bCs w:val="1"/>
          <w:color w:val="auto"/>
        </w:rPr>
        <w:t>Aptevo Therapeutics</w:t>
      </w:r>
      <w:r>
        <w:rPr>
          <w:rFonts w:ascii="Arial" w:cs="Arial" w:eastAsia="Arial" w:hAnsi="Arial"/>
          <w:sz w:val="19"/>
          <w:szCs w:val="19"/>
          <w:color w:val="auto"/>
        </w:rPr>
        <w:t xml:space="preserve">”), </w:t>
      </w:r>
      <w:r>
        <w:rPr>
          <w:rFonts w:ascii="Arial" w:cs="Arial" w:eastAsia="Arial" w:hAnsi="Arial"/>
          <w:sz w:val="19"/>
          <w:szCs w:val="19"/>
          <w:b w:val="1"/>
          <w:bCs w:val="1"/>
          <w:color w:val="auto"/>
        </w:rPr>
        <w:t>APTEVO RESEARCH AND DEVELOPMENT LLC</w:t>
      </w:r>
      <w:r>
        <w:rPr>
          <w:rFonts w:ascii="Arial" w:cs="Arial" w:eastAsia="Arial" w:hAnsi="Arial"/>
          <w:sz w:val="19"/>
          <w:szCs w:val="19"/>
          <w:color w:val="auto"/>
        </w:rPr>
        <w:t>, a Delaware limited liability company (“</w:t>
      </w:r>
      <w:r>
        <w:rPr>
          <w:rFonts w:ascii="Arial" w:cs="Arial" w:eastAsia="Arial" w:hAnsi="Arial"/>
          <w:sz w:val="19"/>
          <w:szCs w:val="19"/>
          <w:b w:val="1"/>
          <w:bCs w:val="1"/>
          <w:color w:val="auto"/>
        </w:rPr>
        <w:t>Aptevo R&amp;D</w:t>
      </w:r>
      <w:r>
        <w:rPr>
          <w:rFonts w:ascii="Arial" w:cs="Arial" w:eastAsia="Arial" w:hAnsi="Arial"/>
          <w:sz w:val="19"/>
          <w:szCs w:val="19"/>
          <w:color w:val="auto"/>
        </w:rPr>
        <w:t>”) and any additional borrower that may hereafter be added to this Agreement (each, individually as a “</w:t>
      </w:r>
      <w:r>
        <w:rPr>
          <w:rFonts w:ascii="Arial" w:cs="Arial" w:eastAsia="Arial" w:hAnsi="Arial"/>
          <w:sz w:val="19"/>
          <w:szCs w:val="19"/>
          <w:b w:val="1"/>
          <w:bCs w:val="1"/>
          <w:color w:val="auto"/>
        </w:rPr>
        <w:t>Borrower</w:t>
      </w:r>
      <w:r>
        <w:rPr>
          <w:rFonts w:ascii="Arial" w:cs="Arial" w:eastAsia="Arial" w:hAnsi="Arial"/>
          <w:sz w:val="19"/>
          <w:szCs w:val="19"/>
          <w:color w:val="auto"/>
        </w:rPr>
        <w:t>”, and collectively with any entities that become party hereto as Borrower and each of their successors and permitted assigns, the “</w:t>
      </w:r>
      <w:r>
        <w:rPr>
          <w:rFonts w:ascii="Arial" w:cs="Arial" w:eastAsia="Arial" w:hAnsi="Arial"/>
          <w:sz w:val="19"/>
          <w:szCs w:val="19"/>
          <w:b w:val="1"/>
          <w:bCs w:val="1"/>
          <w:color w:val="auto"/>
        </w:rPr>
        <w:t>Borrowers</w:t>
      </w:r>
      <w:r>
        <w:rPr>
          <w:rFonts w:ascii="Arial" w:cs="Arial" w:eastAsia="Arial" w:hAnsi="Arial"/>
          <w:sz w:val="19"/>
          <w:szCs w:val="19"/>
          <w:color w:val="auto"/>
        </w:rPr>
        <w:t xml:space="preserve">”), </w:t>
      </w:r>
      <w:r>
        <w:rPr>
          <w:rFonts w:ascii="Arial" w:cs="Arial" w:eastAsia="Arial" w:hAnsi="Arial"/>
          <w:sz w:val="19"/>
          <w:szCs w:val="19"/>
          <w:b w:val="1"/>
          <w:bCs w:val="1"/>
          <w:color w:val="auto"/>
        </w:rPr>
        <w:t>MIDCAP FINANCIAL TRUST,</w:t>
      </w:r>
      <w:r>
        <w:rPr>
          <w:rFonts w:ascii="Arial" w:cs="Arial" w:eastAsia="Arial" w:hAnsi="Arial"/>
          <w:sz w:val="19"/>
          <w:szCs w:val="19"/>
          <w:color w:val="auto"/>
        </w:rPr>
        <w:t xml:space="preserve"> a Delaware statutory trust, individually as a Lender, and as Agent, and the financial institutions or other entities from time to time parties hereto, each as a Lender.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Borrowers have requested that Lenders make available to Borrowers the financing facilities as described herein. Lenders are willing to extend such credit to Borrowers under the terms and conditions herein set forth.</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premises and the agreements, provisions and covenants herein contained,</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Borrowers, Lenders and Agent agree as follows: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1 - DEFINITIONS</w:t>
      </w:r>
    </w:p>
    <w:p>
      <w:pPr>
        <w:spacing w:after="0" w:line="217" w:lineRule="exact"/>
        <w:rPr>
          <w:sz w:val="20"/>
          <w:szCs w:val="20"/>
          <w:color w:val="auto"/>
        </w:rPr>
      </w:pPr>
    </w:p>
    <w:p>
      <w:pPr>
        <w:ind w:left="880"/>
        <w:spacing w:after="0"/>
        <w:tabs>
          <w:tab w:leader="none" w:pos="2420" w:val="left"/>
        </w:tabs>
        <w:rPr>
          <w:sz w:val="20"/>
          <w:szCs w:val="20"/>
          <w:color w:val="auto"/>
        </w:rPr>
      </w:pPr>
      <w:r>
        <w:rPr>
          <w:rFonts w:ascii="Arial" w:cs="Arial" w:eastAsia="Arial" w:hAnsi="Arial"/>
          <w:sz w:val="20"/>
          <w:szCs w:val="20"/>
          <w:b w:val="1"/>
          <w:bCs w:val="1"/>
          <w:color w:val="auto"/>
        </w:rPr>
        <w:t>Section 1.1</w:t>
      </w:r>
      <w:r>
        <w:rPr>
          <w:sz w:val="20"/>
          <w:szCs w:val="20"/>
          <w:color w:val="auto"/>
        </w:rPr>
        <w:tab/>
      </w:r>
      <w:r>
        <w:rPr>
          <w:rFonts w:ascii="Arial" w:cs="Arial" w:eastAsia="Arial" w:hAnsi="Arial"/>
          <w:sz w:val="18"/>
          <w:szCs w:val="18"/>
          <w:u w:val="single" w:color="auto"/>
          <w:color w:val="auto"/>
        </w:rPr>
        <w:t>Certain Defined Terms</w:t>
      </w:r>
      <w:r>
        <w:rPr>
          <w:rFonts w:ascii="Arial" w:cs="Arial" w:eastAsia="Arial" w:hAnsi="Arial"/>
          <w:sz w:val="19"/>
          <w:szCs w:val="19"/>
          <w:color w:val="auto"/>
        </w:rPr>
        <w:t>. The following terms have the following meanings:</w:t>
      </w:r>
    </w:p>
    <w:p>
      <w:pPr>
        <w:spacing w:after="0" w:line="228"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Acceleration Event</w:t>
      </w:r>
      <w:r>
        <w:rPr>
          <w:rFonts w:ascii="Arial" w:cs="Arial" w:eastAsia="Arial" w:hAnsi="Arial"/>
          <w:sz w:val="20"/>
          <w:szCs w:val="20"/>
          <w:color w:val="auto"/>
        </w:rPr>
        <w:t>” means the occurrence of an Event of Default (a) in respect of which Agent has declared all or any portion of the Obligations to be immediately due and payable pursuant to Section 10.2, and/or (b) pursuant to either Section 10.1(e) and/or Section 10.1(f).</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Debtor</w:t>
      </w:r>
      <w:r>
        <w:rPr>
          <w:rFonts w:ascii="Arial" w:cs="Arial" w:eastAsia="Arial" w:hAnsi="Arial"/>
          <w:sz w:val="18"/>
          <w:szCs w:val="18"/>
          <w:color w:val="auto"/>
        </w:rPr>
        <w:t>” means “account debtor”, as defined in Article 9 of the UCC, and any other obligor in respect of an Account.</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Accounts</w:t>
      </w:r>
      <w:r>
        <w:rPr>
          <w:rFonts w:ascii="Arial" w:cs="Arial" w:eastAsia="Arial" w:hAnsi="Arial"/>
          <w:sz w:val="19"/>
          <w:szCs w:val="19"/>
          <w:color w:val="auto"/>
        </w:rPr>
        <w:t>” means, collectively, (a) any right to payment of a monetary obligation, whether or not earned by performance,</w:t>
      </w:r>
    </w:p>
    <w:p>
      <w:pPr>
        <w:spacing w:after="0" w:line="33" w:lineRule="exact"/>
        <w:rPr>
          <w:sz w:val="20"/>
          <w:szCs w:val="20"/>
          <w:color w:val="auto"/>
        </w:rPr>
      </w:pPr>
    </w:p>
    <w:p>
      <w:pPr>
        <w:jc w:val="both"/>
        <w:ind w:firstLine="8"/>
        <w:spacing w:after="0" w:line="270" w:lineRule="auto"/>
        <w:tabs>
          <w:tab w:leader="none" w:pos="309"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without duplication, any “account” (as defined in the UCC), any accounts receivable (whether in the form of payments for services rendered or goods sold, rents, license fees or otherwise), any “health-care-insurance receivables” (as defined in the UCC), any “payment intangibles” (as defined in the UCC) and all other rights to payment and/or reimbursement of every kind and description, whether or not earned by performance, (c) all accounts, “general intangibles” (as defined in the UCC), Intellectual Property, rights, remedies, Guarantees, “supporting obligations” (as defined in the UCC), “letter-of-credit rights” (as defined in the UCC) and security interests in respect of the foregoing, all rights of enforcement and collection, all books and records evidencing or related to the foregoing, and all rights under the Financing Documents in respect of the foregoing, (d) all information and data compiled or derived by any Borrower or to which any Borrower is entitled in respect of or related to the foregoing, and (e) all proceeds of any of the foregoing.</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Additional Titled Agents</w:t>
      </w:r>
      <w:r>
        <w:rPr>
          <w:rFonts w:ascii="Arial" w:cs="Arial" w:eastAsia="Arial" w:hAnsi="Arial"/>
          <w:sz w:val="20"/>
          <w:szCs w:val="20"/>
          <w:color w:val="auto"/>
        </w:rPr>
        <w:t>” has the meaning set forth in Section 11.15.</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59" w:name="page60"/>
    <w:bookmarkEnd w:id="59"/>
    <w:p>
      <w:pPr>
        <w:jc w:val="both"/>
        <w:ind w:firstLine="86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Person, (a) any Person that directly or indirectly controls such Person, (b) any Person which is controlled by or is under common control with such controlling Person, and (c) each of such Person’s (other than, with respect to any Lender, any Lender’s) officers or directors (or Persons functioning in substantially similar roles) and the spouses, parents, descendants and siblings of such officers, directors or other Persons. As used in this definition, the term “control” of a Person means the possession, directly or indirectly, of the power to vote ten percent (10%) or more of any class of voting securities of such Person or to direct or cause the direction of the management or policies of a Person, whether through the ownership of voting securities, by contract or otherwise.</w:t>
      </w:r>
    </w:p>
    <w:p>
      <w:pPr>
        <w:spacing w:after="0" w:line="160"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Agent</w:t>
      </w:r>
      <w:r>
        <w:rPr>
          <w:rFonts w:ascii="Arial" w:cs="Arial" w:eastAsia="Arial" w:hAnsi="Arial"/>
          <w:sz w:val="20"/>
          <w:szCs w:val="20"/>
          <w:color w:val="auto"/>
        </w:rPr>
        <w:t>” means MCF, in its capacity as administrative agent for itself and for Lenders hereunder, as such capacity is established in, and subject to the provisions of, Article 11, and the successors and permitted assigns of MCF in such capacity.</w:t>
      </w:r>
    </w:p>
    <w:p>
      <w:pPr>
        <w:spacing w:after="0" w:line="163"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Anti-Terrorism Laws</w:t>
      </w:r>
      <w:r>
        <w:rPr>
          <w:rFonts w:ascii="Arial" w:cs="Arial" w:eastAsia="Arial" w:hAnsi="Arial"/>
          <w:sz w:val="20"/>
          <w:szCs w:val="20"/>
          <w:color w:val="auto"/>
        </w:rPr>
        <w:t>” means any Laws relating to terrorism or money laundering, including, without limitation, Executive Order No. 13224 (effective September 24, 2001), the USA PATRIOT Act, the Laws comprising or implementing the Bank Secrecy Act, and the Laws administered by OFAC.</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Margin</w:t>
      </w:r>
      <w:r>
        <w:rPr>
          <w:rFonts w:ascii="Arial" w:cs="Arial" w:eastAsia="Arial" w:hAnsi="Arial"/>
          <w:sz w:val="20"/>
          <w:szCs w:val="20"/>
          <w:color w:val="auto"/>
        </w:rPr>
        <w:t>” means six and one quarter percent (6.25%).</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Aptevo R&amp;D</w:t>
      </w:r>
      <w:r>
        <w:rPr>
          <w:rFonts w:ascii="Arial" w:cs="Arial" w:eastAsia="Arial" w:hAnsi="Arial"/>
          <w:sz w:val="20"/>
          <w:szCs w:val="20"/>
          <w:color w:val="auto"/>
        </w:rPr>
        <w:t>” has the meaning given such term in the preamble</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Aptevo Therapeutics</w:t>
      </w:r>
      <w:r>
        <w:rPr>
          <w:rFonts w:ascii="Arial" w:cs="Arial" w:eastAsia="Arial" w:hAnsi="Arial"/>
          <w:sz w:val="20"/>
          <w:szCs w:val="20"/>
          <w:color w:val="auto"/>
        </w:rPr>
        <w:t>” has the meaning given such term in the preamble.</w:t>
      </w:r>
    </w:p>
    <w:p>
      <w:pPr>
        <w:spacing w:after="0" w:line="216"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Asset Disposition</w:t>
      </w:r>
      <w:r>
        <w:rPr>
          <w:rFonts w:ascii="Arial" w:cs="Arial" w:eastAsia="Arial" w:hAnsi="Arial"/>
          <w:sz w:val="20"/>
          <w:szCs w:val="20"/>
          <w:color w:val="auto"/>
        </w:rPr>
        <w:t>” means any sale, lease, license, transfer, assignment or other consensual disposition (including by merger, allocation of assets (including allocation of assets to any series of a limited liability company), division, consolidation or amalgamation) by any Credit Party or any Subsidiary thereof of any asset of such Credit Party or such Subsidiary.</w:t>
      </w:r>
    </w:p>
    <w:p>
      <w:pPr>
        <w:spacing w:after="0" w:line="177" w:lineRule="exact"/>
        <w:rPr>
          <w:sz w:val="20"/>
          <w:szCs w:val="20"/>
          <w:color w:val="auto"/>
        </w:rPr>
      </w:pPr>
    </w:p>
    <w:p>
      <w:pPr>
        <w:jc w:val="both"/>
        <w:ind w:right="20"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Bail-In Action</w:t>
      </w:r>
      <w:r>
        <w:rPr>
          <w:rFonts w:ascii="Arial" w:cs="Arial" w:eastAsia="Arial" w:hAnsi="Arial"/>
          <w:sz w:val="20"/>
          <w:szCs w:val="20"/>
          <w:color w:val="auto"/>
        </w:rPr>
        <w:t>” means the exercise of any Write-Down and Conversion Powers by the applicable EEA Resolution Authority in respect of any liability of an EEA Financial Institution.</w:t>
      </w:r>
    </w:p>
    <w:p>
      <w:pPr>
        <w:spacing w:after="0" w:line="163"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Bail-In Legislation</w:t>
      </w:r>
      <w:r>
        <w:rPr>
          <w:rFonts w:ascii="Arial" w:cs="Arial" w:eastAsia="Arial" w:hAnsi="Arial"/>
          <w:sz w:val="20"/>
          <w:szCs w:val="20"/>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7"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Bankruptcy Code</w:t>
      </w:r>
      <w:r>
        <w:rPr>
          <w:rFonts w:ascii="Arial" w:cs="Arial" w:eastAsia="Arial" w:hAnsi="Arial"/>
          <w:sz w:val="20"/>
          <w:szCs w:val="20"/>
          <w:color w:val="auto"/>
        </w:rPr>
        <w:t>” means Title 11 of the United States Code entitled “Bankruptcy”, as the same may be amended, modified or supplemented from time to time, and any successor statute thereto.</w:t>
      </w:r>
    </w:p>
    <w:p>
      <w:pPr>
        <w:spacing w:after="0" w:line="163"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Base LIBOR Rate</w:t>
      </w:r>
      <w:r>
        <w:rPr>
          <w:rFonts w:ascii="Arial" w:cs="Arial" w:eastAsia="Arial" w:hAnsi="Arial"/>
          <w:sz w:val="20"/>
          <w:szCs w:val="20"/>
          <w:color w:val="auto"/>
        </w:rPr>
        <w:t xml:space="preserve">” means, for each Interest Period, the rate per annum, determined by Agent in accordance with its customary procedures, and utilizing such electronic or other quotation sources as it considers appropriate (rounded upwards, if necessary, to the next 1/100%), to be the rate at which Dollar deposits (for delivery on the first day of such Interest Period) in the amount of $1,000,000 are offered to major banks in the London interbank market on or about 11:00 a.m. (London time) two (2) Business Days prior to the commencement of such Interest Period, for a term comparable to such Interest Period, which determination shall be conclusive in the absence of manifest error; </w:t>
      </w:r>
      <w:r>
        <w:rPr>
          <w:rFonts w:ascii="Arial" w:cs="Arial" w:eastAsia="Arial" w:hAnsi="Arial"/>
          <w:sz w:val="20"/>
          <w:szCs w:val="20"/>
          <w:i w:val="1"/>
          <w:iCs w:val="1"/>
          <w:color w:val="auto"/>
        </w:rPr>
        <w:t>provided</w:t>
      </w:r>
      <w:r>
        <w:rPr>
          <w:rFonts w:ascii="Arial" w:cs="Arial" w:eastAsia="Arial" w:hAnsi="Arial"/>
          <w:sz w:val="20"/>
          <w:szCs w:val="20"/>
          <w:color w:val="auto"/>
        </w:rPr>
        <w:t>,</w:t>
      </w:r>
      <w:r>
        <w:rPr>
          <w:rFonts w:ascii="Arial" w:cs="Arial" w:eastAsia="Arial" w:hAnsi="Arial"/>
          <w:sz w:val="20"/>
          <w:szCs w:val="20"/>
          <w:i w:val="1"/>
          <w:iCs w:val="1"/>
          <w:color w:val="auto"/>
        </w:rPr>
        <w:t xml:space="preserve"> however</w:t>
      </w:r>
      <w:r>
        <w:rPr>
          <w:rFonts w:ascii="Arial" w:cs="Arial" w:eastAsia="Arial" w:hAnsi="Arial"/>
          <w:sz w:val="20"/>
          <w:szCs w:val="20"/>
          <w:color w:val="auto"/>
        </w:rPr>
        <w:t>, if (a) the supervisor for the administrator responsible for determining and publishing such rate per annum (or any</w:t>
      </w:r>
      <w:r>
        <w:rPr>
          <w:rFonts w:ascii="Arial" w:cs="Arial" w:eastAsia="Arial" w:hAnsi="Arial"/>
          <w:sz w:val="20"/>
          <w:szCs w:val="20"/>
          <w:i w:val="1"/>
          <w:iCs w:val="1"/>
          <w:color w:val="auto"/>
        </w:rPr>
        <w:t xml:space="preserve"> </w:t>
      </w:r>
      <w:r>
        <w:rPr>
          <w:rFonts w:ascii="Arial" w:cs="Arial" w:eastAsia="Arial" w:hAnsi="Arial"/>
          <w:sz w:val="20"/>
          <w:szCs w:val="20"/>
          <w:color w:val="auto"/>
        </w:rPr>
        <w:t>component thereof) or any Governmental Authority having jurisdiction over the Agent has made a public announcement identifying a date certain on or after which such rate (or any component thereof) shall no longer be provided or published, as the case may be; or (b) if the Agent shall have determined in good faith, and shall have forthwith given notice of such determination to the Borrower Representative, that timely,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0" w:name="page61"/>
    <w:bookmarkEnd w:id="60"/>
    <w:p>
      <w:pPr>
        <w:jc w:val="both"/>
        <w:spacing w:after="0" w:line="255" w:lineRule="auto"/>
        <w:rPr>
          <w:sz w:val="20"/>
          <w:szCs w:val="20"/>
          <w:color w:val="auto"/>
        </w:rPr>
      </w:pPr>
      <w:r>
        <w:rPr>
          <w:rFonts w:ascii="Arial" w:cs="Arial" w:eastAsia="Arial" w:hAnsi="Arial"/>
          <w:sz w:val="19"/>
          <w:szCs w:val="19"/>
          <w:color w:val="auto"/>
        </w:rPr>
        <w:t>adequate and reasonable means do not exist for ascertaining such rate, and the circumstances giving rise to the Agent’s inability to ascertain LIBOR are unlikely to be temporary, then Agent (acting reasonably) may, upon prior written notice to Borrower Representative, in consultation with Borrower, (i) establish a reasonably comparable index or source that gives due consideration to the then prevailing market convention for determining a rate of interest for similar loans in the United States at such time together with corresponding adjustments to “Applicable Margin” or scale factor or floor to such index that Agent, in its reasonable discretion, has determined is necessary to preserve the current all-in yield (including interest rate margins, any interest rate floors, original issue discount and upfront fees, but without regard to future fluctuations of such alternative index, it being acknowledged and agreed that neither Agent nor any Lender shall have any liability whatsoever from such future fluctuations) to use as the basis for Base LIBOR Rate and (ii) amend this Agreement to reflect such alternative rate of interest and such other changes to this Agreement as may be applicable (including, without limitation, operational, term, conforming and other related changes). Notwithstanding anything to the contrary in this Agreement, such amendment shall become effective without any further action or consent of any other party to this Agreement so long as Agent shall not have received, within five (5) Business Days of the date such amendment is provided to the Lenders, written notice from the Required Lenders stating that such Required Lenders object to such amendment.</w:t>
      </w:r>
    </w:p>
    <w:p>
      <w:pPr>
        <w:spacing w:after="0" w:line="17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Base Rate</w:t>
      </w:r>
      <w:r>
        <w:rPr>
          <w:rFonts w:ascii="Arial" w:cs="Arial" w:eastAsia="Arial" w:hAnsi="Arial"/>
          <w:sz w:val="19"/>
          <w:szCs w:val="19"/>
          <w:color w:val="auto"/>
        </w:rPr>
        <w:t>” means a per annum rate of interest equal to the rate of interest announced, from time to time, within Wells Fargo Bank, National Association (“</w:t>
      </w:r>
      <w:r>
        <w:rPr>
          <w:rFonts w:ascii="Arial" w:cs="Arial" w:eastAsia="Arial" w:hAnsi="Arial"/>
          <w:sz w:val="19"/>
          <w:szCs w:val="19"/>
          <w:b w:val="1"/>
          <w:bCs w:val="1"/>
          <w:color w:val="auto"/>
        </w:rPr>
        <w:t>Wells Fargo</w:t>
      </w:r>
      <w:r>
        <w:rPr>
          <w:rFonts w:ascii="Arial" w:cs="Arial" w:eastAsia="Arial" w:hAnsi="Arial"/>
          <w:sz w:val="19"/>
          <w:szCs w:val="19"/>
          <w:color w:val="auto"/>
        </w:rPr>
        <w:t xml:space="preserve">”) at its principal office in San Francisco as its “prime rate,” with the understanding that the “prime rate” is one of Wells Fargo’s base rates (not necessarily the lowest of such rates) and serves as the basis upon which effective rates of interest are calculated for those loans making reference thereto and is evidenced by the recording thereof after its announcement in such internal publications as Wells Fargo may designate;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Agent may, upon prior written notice to Borrower, choose a reasonably comparable index or source to use as the basis for the Base Rate.</w:t>
      </w:r>
    </w:p>
    <w:p>
      <w:pPr>
        <w:spacing w:after="0" w:line="173"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Blocked Person</w:t>
      </w:r>
      <w:r>
        <w:rPr>
          <w:rFonts w:ascii="Arial" w:cs="Arial" w:eastAsia="Arial" w:hAnsi="Arial"/>
          <w:sz w:val="18"/>
          <w:szCs w:val="18"/>
          <w:color w:val="auto"/>
        </w:rPr>
        <w:t>” means any Person: (a) listed in the annex to, or is otherwise subject to the provisions of, Executive Order No. 13224, (b) owned or controlled by, or acting for or on behalf of, any Person that is listed in the annex to, or is otherwise subject to the provisions of, Executive Order No. 13224, (c) with which any Lender is prohibited from dealing or otherwise engaging in any transaction by any Anti-Terrorism Law, (d) that commits, threatens or conspires to commit or supports “terrorism” as defined in Executive Order No. 13224, or (e) that is named a “specially designated national” or “blocked person” on the most current list published by OFAC or other similar list or is named as a “listed person” or “listed entity” on other lists made under any Anti-Terrorism Law.</w:t>
      </w:r>
    </w:p>
    <w:p>
      <w:pPr>
        <w:spacing w:after="0" w:line="16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Borrower</w:t>
      </w:r>
      <w:r>
        <w:rPr>
          <w:rFonts w:ascii="Arial" w:cs="Arial" w:eastAsia="Arial" w:hAnsi="Arial"/>
          <w:sz w:val="20"/>
          <w:szCs w:val="20"/>
          <w:color w:val="auto"/>
        </w:rPr>
        <w:t>” and “</w:t>
      </w:r>
      <w:r>
        <w:rPr>
          <w:rFonts w:ascii="Arial" w:cs="Arial" w:eastAsia="Arial" w:hAnsi="Arial"/>
          <w:sz w:val="20"/>
          <w:szCs w:val="20"/>
          <w:b w:val="1"/>
          <w:bCs w:val="1"/>
          <w:color w:val="auto"/>
        </w:rPr>
        <w:t>Borrowers</w:t>
      </w:r>
      <w:r>
        <w:rPr>
          <w:rFonts w:ascii="Arial" w:cs="Arial" w:eastAsia="Arial" w:hAnsi="Arial"/>
          <w:sz w:val="20"/>
          <w:szCs w:val="20"/>
          <w:color w:val="auto"/>
        </w:rPr>
        <w:t>” has the meaning set forth in the introductory paragraph hereto.</w:t>
      </w:r>
    </w:p>
    <w:p>
      <w:pPr>
        <w:spacing w:after="0" w:line="216"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Borrower Representative</w:t>
      </w:r>
      <w:r>
        <w:rPr>
          <w:rFonts w:ascii="Arial" w:cs="Arial" w:eastAsia="Arial" w:hAnsi="Arial"/>
          <w:sz w:val="20"/>
          <w:szCs w:val="20"/>
          <w:color w:val="auto"/>
        </w:rPr>
        <w:t>” means Aptevo Therapeutics, in its capacity as Borrower Representative pursuant to the provisions of Section 2.9, or any successor Borrower Representative selected by Borrowers and approved by Agent.</w:t>
      </w:r>
    </w:p>
    <w:p>
      <w:pPr>
        <w:spacing w:after="0" w:line="163" w:lineRule="exact"/>
        <w:rPr>
          <w:sz w:val="20"/>
          <w:szCs w:val="20"/>
          <w:color w:val="auto"/>
        </w:rPr>
      </w:pPr>
    </w:p>
    <w:p>
      <w:pPr>
        <w:jc w:val="both"/>
        <w:ind w:firstLine="864"/>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except a Saturday, Sunday or other day on which either the New York Stock Exchange is closed, or on which commercial banks in Washington, DC and New York City are authorized by law to close and, in the case of a Business Day which relates to a determination of the LIBOR Rate, a day on which dealings are carried on in the London interbank eurodollar market.</w:t>
      </w:r>
    </w:p>
    <w:p>
      <w:pPr>
        <w:spacing w:after="0" w:line="144" w:lineRule="exact"/>
        <w:rPr>
          <w:sz w:val="20"/>
          <w:szCs w:val="20"/>
          <w:color w:val="auto"/>
        </w:rPr>
      </w:pPr>
    </w:p>
    <w:p>
      <w:pPr>
        <w:jc w:val="both"/>
        <w:ind w:right="20"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CERCLA</w:t>
      </w:r>
      <w:r>
        <w:rPr>
          <w:rFonts w:ascii="Arial" w:cs="Arial" w:eastAsia="Arial" w:hAnsi="Arial"/>
          <w:sz w:val="20"/>
          <w:szCs w:val="20"/>
          <w:color w:val="auto"/>
        </w:rPr>
        <w:t xml:space="preserve">” means the Comprehensive Environmental Response, Compensation and Liability Act of 1980, 42 U.S.C.A. § 9601 </w:t>
      </w:r>
      <w:r>
        <w:rPr>
          <w:rFonts w:ascii="Arial" w:cs="Arial" w:eastAsia="Arial" w:hAnsi="Arial"/>
          <w:sz w:val="20"/>
          <w:szCs w:val="20"/>
          <w:i w:val="1"/>
          <w:iCs w:val="1"/>
          <w:color w:val="auto"/>
        </w:rPr>
        <w:t>et</w:t>
      </w:r>
      <w:r>
        <w:rPr>
          <w:rFonts w:ascii="Arial" w:cs="Arial" w:eastAsia="Arial" w:hAnsi="Arial"/>
          <w:sz w:val="20"/>
          <w:szCs w:val="20"/>
          <w:color w:val="auto"/>
        </w:rPr>
        <w:t xml:space="preserve"> </w:t>
      </w:r>
      <w:r>
        <w:rPr>
          <w:rFonts w:ascii="Arial" w:cs="Arial" w:eastAsia="Arial" w:hAnsi="Arial"/>
          <w:sz w:val="20"/>
          <w:szCs w:val="20"/>
          <w:i w:val="1"/>
          <w:iCs w:val="1"/>
          <w:color w:val="auto"/>
        </w:rPr>
        <w:t>seq</w:t>
      </w:r>
      <w:r>
        <w:rPr>
          <w:rFonts w:ascii="Arial" w:cs="Arial" w:eastAsia="Arial" w:hAnsi="Arial"/>
          <w:sz w:val="20"/>
          <w:szCs w:val="20"/>
          <w:color w:val="auto"/>
        </w:rPr>
        <w:t>., as the same may be amended from time to time.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1" w:name="page62"/>
    <w:bookmarkEnd w:id="61"/>
    <w:p>
      <w:pPr>
        <w:jc w:val="both"/>
        <w:ind w:firstLine="864"/>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means any of the following events: (a) any Person (other than another Borrower) or two or more Persons acting in concert shall have acquired beneficial ownership, directly or indirectly, of, or shall have acquired by contract or otherwise, or shall have entered into a contract or arrangement that, upon consummation, will result in its or their acquisition of or control over, voting stock of any Borrower (or other securities convertible into such voting stock) representing more than 50% of the combined voting power of all voting stock of any Borrower; (b) any Borrower ceases to own, directly or indirectly, 100% of the capital stock of any of its Subsidiaries (with the exception of any Subsidiaries permitted to be dissolved, merged or otherwise disposed of to the extent otherwise permitted by this Agreement); or (c) the occurrence of a “Change of Control” or “Change in Control” or terms of similar import under any document or instrument governing or relating to Debt of or equity in such Person. As used herein, “beneficial ownership” shall have the meaning provided in Rule 13d-3 of the Securities and Exchange Commission under the Securities Exchange Act of 1934.</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Closing Date</w:t>
      </w:r>
      <w:r>
        <w:rPr>
          <w:rFonts w:ascii="Arial" w:cs="Arial" w:eastAsia="Arial" w:hAnsi="Arial"/>
          <w:sz w:val="20"/>
          <w:szCs w:val="20"/>
          <w:color w:val="auto"/>
        </w:rPr>
        <w:t>” has the meaning set forth in the introductory paragraph hereto.</w:t>
      </w:r>
    </w:p>
    <w:p>
      <w:pPr>
        <w:spacing w:after="0" w:line="216"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CMS</w:t>
      </w:r>
      <w:r>
        <w:rPr>
          <w:rFonts w:ascii="Arial" w:cs="Arial" w:eastAsia="Arial" w:hAnsi="Arial"/>
          <w:sz w:val="20"/>
          <w:szCs w:val="20"/>
          <w:color w:val="auto"/>
        </w:rPr>
        <w:t>” means the federal Centers for Medicare and Medicaid Services (formerly the federal Health Care Financing Administration), and any successor Governmental Authority.</w:t>
      </w:r>
    </w:p>
    <w:p>
      <w:pPr>
        <w:spacing w:after="0" w:line="163"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Code</w:t>
      </w:r>
      <w:r>
        <w:rPr>
          <w:rFonts w:ascii="Arial" w:cs="Arial" w:eastAsia="Arial" w:hAnsi="Arial"/>
          <w:sz w:val="20"/>
          <w:szCs w:val="20"/>
          <w:color w:val="auto"/>
        </w:rPr>
        <w:t>” means the Internal Revenue Code of 1986, as amended from time to time, any successor statutes thereto, and applicable U.S. Department of Treasury regulations issued pursuant thereto in temporary or final form.</w:t>
      </w:r>
    </w:p>
    <w:p>
      <w:pPr>
        <w:spacing w:after="0" w:line="163"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Collateral</w:t>
      </w:r>
      <w:r>
        <w:rPr>
          <w:rFonts w:ascii="Arial" w:cs="Arial" w:eastAsia="Arial" w:hAnsi="Arial"/>
          <w:sz w:val="19"/>
          <w:szCs w:val="19"/>
          <w:color w:val="auto"/>
        </w:rPr>
        <w:t xml:space="preserve">” means all property, now existing or hereafter acquired, mortgaged or pledged to, or purported to be subjected to a Lien in favor of, Agent, for the benefit of Agent and Lenders, pursuant to this Agreement and the Security Documents, including, without limitation, all of the property described in </w:t>
      </w:r>
      <w:r>
        <w:rPr>
          <w:rFonts w:ascii="Arial" w:cs="Arial" w:eastAsia="Arial" w:hAnsi="Arial"/>
          <w:sz w:val="19"/>
          <w:szCs w:val="19"/>
          <w:u w:val="single" w:color="auto"/>
          <w:color w:val="auto"/>
        </w:rPr>
        <w:t>Schedule 9.1</w:t>
      </w:r>
      <w:r>
        <w:rPr>
          <w:rFonts w:ascii="Arial" w:cs="Arial" w:eastAsia="Arial" w:hAnsi="Arial"/>
          <w:sz w:val="19"/>
          <w:szCs w:val="19"/>
          <w:color w:val="auto"/>
        </w:rPr>
        <w:t xml:space="preserve"> hereto, but excluding any Excluded Property.</w:t>
      </w:r>
    </w:p>
    <w:p>
      <w:pPr>
        <w:spacing w:after="0" w:line="162"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Commercial Products</w:t>
      </w:r>
      <w:r>
        <w:rPr>
          <w:rFonts w:ascii="Arial" w:cs="Arial" w:eastAsia="Arial" w:hAnsi="Arial"/>
          <w:sz w:val="20"/>
          <w:szCs w:val="20"/>
          <w:color w:val="auto"/>
        </w:rPr>
        <w:t>” means commercial products developed or in-licensed by the Borrowers in accordance with the terms of this Agreement.</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Commitment Annex</w:t>
      </w:r>
      <w:r>
        <w:rPr>
          <w:rFonts w:ascii="Arial" w:cs="Arial" w:eastAsia="Arial" w:hAnsi="Arial"/>
          <w:sz w:val="20"/>
          <w:szCs w:val="20"/>
          <w:color w:val="auto"/>
        </w:rPr>
        <w:t xml:space="preserve">” means </w:t>
      </w:r>
      <w:r>
        <w:rPr>
          <w:rFonts w:ascii="Arial" w:cs="Arial" w:eastAsia="Arial" w:hAnsi="Arial"/>
          <w:sz w:val="20"/>
          <w:szCs w:val="20"/>
          <w:u w:val="single" w:color="auto"/>
          <w:color w:val="auto"/>
        </w:rPr>
        <w:t>Annex A</w:t>
      </w:r>
      <w:r>
        <w:rPr>
          <w:rFonts w:ascii="Arial" w:cs="Arial" w:eastAsia="Arial" w:hAnsi="Arial"/>
          <w:sz w:val="20"/>
          <w:szCs w:val="20"/>
          <w:color w:val="auto"/>
        </w:rPr>
        <w:t xml:space="preserve"> to this Agreement.</w:t>
      </w:r>
    </w:p>
    <w:p>
      <w:pPr>
        <w:spacing w:after="0" w:line="216"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Compliance Certificate</w:t>
      </w:r>
      <w:r>
        <w:rPr>
          <w:rFonts w:ascii="Arial" w:cs="Arial" w:eastAsia="Arial" w:hAnsi="Arial"/>
          <w:sz w:val="20"/>
          <w:szCs w:val="20"/>
          <w:color w:val="auto"/>
        </w:rPr>
        <w:t xml:space="preserve">” means a certificate, duly executed by a Responsible Officer of Borrower Representative, appropriately completed and substantially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hereto.</w:t>
      </w:r>
    </w:p>
    <w:p>
      <w:pPr>
        <w:spacing w:after="0" w:line="163"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Consolidated Subsidiary</w:t>
      </w:r>
      <w:r>
        <w:rPr>
          <w:rFonts w:ascii="Arial" w:cs="Arial" w:eastAsia="Arial" w:hAnsi="Arial"/>
          <w:sz w:val="20"/>
          <w:szCs w:val="20"/>
          <w:color w:val="auto"/>
        </w:rPr>
        <w:t>” means, at any date, any Subsidiary the accounts of which would be consolidated with those of “parent” Borrower (or any other Person, as the context may require hereunder) in its consolidated financial statements if such statements were prepared as of such date.</w:t>
      </w:r>
    </w:p>
    <w:p>
      <w:pPr>
        <w:spacing w:after="0" w:line="177"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Obligation</w:t>
      </w:r>
      <w:r>
        <w:rPr>
          <w:rFonts w:ascii="Arial" w:cs="Arial" w:eastAsia="Arial" w:hAnsi="Arial"/>
          <w:sz w:val="18"/>
          <w:szCs w:val="18"/>
          <w:color w:val="auto"/>
        </w:rPr>
        <w:t>” means, with respect to any Person, any direct or indirect liability of such Person: (a) with respect to any Debt of another Person (a “</w:t>
      </w:r>
      <w:r>
        <w:rPr>
          <w:rFonts w:ascii="Arial" w:cs="Arial" w:eastAsia="Arial" w:hAnsi="Arial"/>
          <w:sz w:val="18"/>
          <w:szCs w:val="18"/>
          <w:b w:val="1"/>
          <w:bCs w:val="1"/>
          <w:color w:val="auto"/>
        </w:rPr>
        <w:t>Third Party Obligation</w:t>
      </w:r>
      <w:r>
        <w:rPr>
          <w:rFonts w:ascii="Arial" w:cs="Arial" w:eastAsia="Arial" w:hAnsi="Arial"/>
          <w:sz w:val="18"/>
          <w:szCs w:val="18"/>
          <w:color w:val="auto"/>
        </w:rPr>
        <w:t>”) if the purpose or intent of such Person incurring such liability, or the effect thereof, is to provide assurance to the obligee of such Third Party Obligation that such Third Party Obligation will be paid or discharged, or that any agreement relating thereto will be complied with, or that any holder of such Third Party Obligation will be protected, in whole or in part, against loss with respect thereto; (b) with respect to any undrawn portion of any letter of credit issued for the account of such Person or as to which such Person is otherwise liable for the reimbursement of any drawing; (c) under any Swap Contract, to the extent not yet due and payable; (d) to make take-or-pay or similar payments if required regardless of nonperformance by any other party or parties to an agreement; or (e) for any obligations of another Person pursuant to any Guarantee or pursuant to any agreement to purchase, repurchase or otherwise acquire any obligation or any property constituting security therefor, to provide funds for the payment or discharge of such obligation or to</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2" w:name="page63"/>
    <w:bookmarkEnd w:id="62"/>
    <w:p>
      <w:pPr>
        <w:jc w:val="both"/>
        <w:spacing w:after="0" w:line="250" w:lineRule="auto"/>
        <w:rPr>
          <w:sz w:val="20"/>
          <w:szCs w:val="20"/>
          <w:color w:val="auto"/>
        </w:rPr>
      </w:pPr>
      <w:r>
        <w:rPr>
          <w:rFonts w:ascii="Arial" w:cs="Arial" w:eastAsia="Arial" w:hAnsi="Arial"/>
          <w:sz w:val="20"/>
          <w:szCs w:val="20"/>
          <w:color w:val="auto"/>
        </w:rPr>
        <w:t>preserve the solvency, financial condition or level of income of another Person. The amount of any Contingent Obligation shall be equal to the amount of the obligation so Guaranteed or otherwise supported or, if not a fixed and determinable amount, the maximum amount so Guaranteed or otherwise supported.</w:t>
      </w:r>
    </w:p>
    <w:p>
      <w:pPr>
        <w:spacing w:after="0" w:line="180"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Controlled Group</w:t>
      </w:r>
      <w:r>
        <w:rPr>
          <w:rFonts w:ascii="Arial" w:cs="Arial" w:eastAsia="Arial" w:hAnsi="Arial"/>
          <w:sz w:val="20"/>
          <w:szCs w:val="20"/>
          <w:color w:val="auto"/>
        </w:rPr>
        <w:t>” means all members of any group of corporations and all members of a group of trades or businesses (whether or not incorporated) under common control which, together with any Borrower, are treated as a single employer under Section 414(b), (c), (m) or (o) of the Code or Section 4001(b) of ERISA.</w:t>
      </w:r>
    </w:p>
    <w:p>
      <w:pPr>
        <w:spacing w:after="0" w:line="177"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Correction</w:t>
      </w:r>
      <w:r>
        <w:rPr>
          <w:rFonts w:ascii="Arial" w:cs="Arial" w:eastAsia="Arial" w:hAnsi="Arial"/>
          <w:sz w:val="20"/>
          <w:szCs w:val="20"/>
          <w:color w:val="auto"/>
        </w:rPr>
        <w:t>” means repair, modification, adjustment, relabeling, destruction or inspection (including patient monitoring) that is outside of routine monitoring and monitoring required under applicable Laws of a product without its physical removal to some other location.</w:t>
      </w:r>
    </w:p>
    <w:p>
      <w:pPr>
        <w:spacing w:after="0" w:line="177"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Credit Exposure</w:t>
      </w:r>
      <w:r>
        <w:rPr>
          <w:rFonts w:ascii="Arial" w:cs="Arial" w:eastAsia="Arial" w:hAnsi="Arial"/>
          <w:sz w:val="20"/>
          <w:szCs w:val="20"/>
          <w:color w:val="auto"/>
        </w:rPr>
        <w:t xml:space="preserve">” means, at any time, any portion of the Term Loan Commitments, the Loans or any other portion of the Obligations that remains outstanding;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no Credit Exposure shall be deemed to exist solely due to the existence of contingent indemnification liability, absent the assertion of a claim, or the known existence of a claim reasonably likely to be asserted, with respect thereto.</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Credit Party</w:t>
      </w:r>
      <w:r>
        <w:rPr>
          <w:rFonts w:ascii="Arial" w:cs="Arial" w:eastAsia="Arial" w:hAnsi="Arial"/>
          <w:sz w:val="20"/>
          <w:szCs w:val="20"/>
          <w:color w:val="auto"/>
        </w:rPr>
        <w:t>” means each Borrower and each Guarantor and “</w:t>
      </w:r>
      <w:r>
        <w:rPr>
          <w:rFonts w:ascii="Arial" w:cs="Arial" w:eastAsia="Arial" w:hAnsi="Arial"/>
          <w:sz w:val="20"/>
          <w:szCs w:val="20"/>
          <w:b w:val="1"/>
          <w:bCs w:val="1"/>
          <w:color w:val="auto"/>
        </w:rPr>
        <w:t>Credit Parties</w:t>
      </w:r>
      <w:r>
        <w:rPr>
          <w:rFonts w:ascii="Arial" w:cs="Arial" w:eastAsia="Arial" w:hAnsi="Arial"/>
          <w:sz w:val="20"/>
          <w:szCs w:val="20"/>
          <w:color w:val="auto"/>
        </w:rPr>
        <w:t>” means all such Persons.</w:t>
      </w:r>
    </w:p>
    <w:p>
      <w:pPr>
        <w:spacing w:after="0" w:line="216"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w:t>
      </w:r>
      <w:r>
        <w:rPr>
          <w:rFonts w:ascii="Arial" w:cs="Arial" w:eastAsia="Arial" w:hAnsi="Arial"/>
          <w:sz w:val="18"/>
          <w:szCs w:val="18"/>
          <w:color w:val="auto"/>
        </w:rPr>
        <w:t>” of a Person means at any date, without duplication, (a) all obligations of such Person for borrowed money, (b) all obligations of such Person evidenced by bonds, debentures, notes or other similar instruments, (c) all obligations of such Person to pay the deferred purchase price of property or services, except trade accounts payable arising in the Ordinary Course of Business and which do not remain unpaid more than ninety (90) days past the invoice date, (d) all capital leases of such Person, (e) all non-contingent obligations of such Person to reimburse any bank or other Person in respect of amounts paid under a letter of credit, banker’s acceptance or similar instrument, (f) all equity securities of such Person subject to repurchase or redemption other than at the sole option of such Person, (g) all obligations secured by a Lien on any asset of such Person, whether or not such obligation is otherwise an obligation of such Person,</w:t>
      </w:r>
    </w:p>
    <w:p>
      <w:pPr>
        <w:spacing w:after="0" w:line="5" w:lineRule="exact"/>
        <w:rPr>
          <w:sz w:val="20"/>
          <w:szCs w:val="20"/>
          <w:color w:val="auto"/>
        </w:rPr>
      </w:pPr>
    </w:p>
    <w:p>
      <w:pPr>
        <w:jc w:val="both"/>
        <w:ind w:firstLine="8"/>
        <w:spacing w:after="0"/>
        <w:tabs>
          <w:tab w:leader="none" w:pos="291" w:val="left"/>
        </w:tabs>
        <w:numPr>
          <w:ilvl w:val="0"/>
          <w:numId w:val="33"/>
        </w:numPr>
        <w:rPr>
          <w:rFonts w:ascii="Arial" w:cs="Arial" w:eastAsia="Arial" w:hAnsi="Arial"/>
          <w:sz w:val="20"/>
          <w:szCs w:val="20"/>
          <w:color w:val="auto"/>
        </w:rPr>
      </w:pPr>
      <w:r>
        <w:rPr>
          <w:rFonts w:ascii="Arial" w:cs="Arial" w:eastAsia="Arial" w:hAnsi="Arial"/>
          <w:sz w:val="20"/>
          <w:szCs w:val="20"/>
          <w:color w:val="auto"/>
        </w:rPr>
        <w:t>“earnouts”, purchase price adjustments, profit sharing arrangements, deferred purchase money amounts and similar payment obligations or continuing obligations of any nature of such Person arising out of purchase and sale contracts but in each case solely to the extent carried on the balance sheet of such Person as a liability in accordance with GAAP, (i) all Debt of others Guaranteed by such Person, and (j) the principal balance outstanding under any synthetic lease, tax retention operating lease, off-balance sheet loan or similar off-balance sheet financing product.</w:t>
      </w:r>
    </w:p>
    <w:p>
      <w:pPr>
        <w:spacing w:after="0" w:line="192" w:lineRule="exact"/>
        <w:rPr>
          <w:sz w:val="20"/>
          <w:szCs w:val="20"/>
          <w:color w:val="auto"/>
        </w:rPr>
      </w:pPr>
    </w:p>
    <w:p>
      <w:pPr>
        <w:ind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Default</w:t>
      </w:r>
      <w:r>
        <w:rPr>
          <w:rFonts w:ascii="Arial" w:cs="Arial" w:eastAsia="Arial" w:hAnsi="Arial"/>
          <w:sz w:val="20"/>
          <w:szCs w:val="20"/>
          <w:color w:val="auto"/>
        </w:rPr>
        <w:t>” means any condition or event which with the giving of notice or lapse of time or both would, unless cured or waived, become an Event of Default.</w:t>
      </w:r>
    </w:p>
    <w:p>
      <w:pPr>
        <w:spacing w:after="0" w:line="163" w:lineRule="exact"/>
        <w:rPr>
          <w:sz w:val="20"/>
          <w:szCs w:val="20"/>
          <w:color w:val="auto"/>
        </w:rPr>
      </w:pPr>
    </w:p>
    <w:p>
      <w:pPr>
        <w:ind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Deposit Account</w:t>
      </w:r>
      <w:r>
        <w:rPr>
          <w:rFonts w:ascii="Arial" w:cs="Arial" w:eastAsia="Arial" w:hAnsi="Arial"/>
          <w:sz w:val="20"/>
          <w:szCs w:val="20"/>
          <w:color w:val="auto"/>
        </w:rPr>
        <w:t>” means a “deposit account” (as defined in Article 9 of the UCC), an investment account, or other account in which funds are held or invested for credit to or for the benefit of any Credit Party.</w:t>
      </w:r>
    </w:p>
    <w:p>
      <w:pPr>
        <w:spacing w:after="0" w:line="163" w:lineRule="exact"/>
        <w:rPr>
          <w:sz w:val="20"/>
          <w:szCs w:val="20"/>
          <w:color w:val="auto"/>
        </w:rPr>
      </w:pPr>
    </w:p>
    <w:p>
      <w:pPr>
        <w:ind w:firstLine="864"/>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 Control Agreement</w:t>
      </w:r>
      <w:r>
        <w:rPr>
          <w:rFonts w:ascii="Arial" w:cs="Arial" w:eastAsia="Arial" w:hAnsi="Arial"/>
          <w:sz w:val="18"/>
          <w:szCs w:val="18"/>
          <w:color w:val="auto"/>
        </w:rPr>
        <w:t>” means an agreement, in form and substance reasonably satisfactory to Agent, among Agent, any Borrower and each financial institution in which such Borrower maintains a Deposit Account, which agreement provides that</w:t>
      </w:r>
    </w:p>
    <w:p>
      <w:pPr>
        <w:spacing w:after="0" w:line="1" w:lineRule="exact"/>
        <w:rPr>
          <w:sz w:val="20"/>
          <w:szCs w:val="20"/>
          <w:color w:val="auto"/>
        </w:rPr>
      </w:pPr>
    </w:p>
    <w:p>
      <w:pPr>
        <w:jc w:val="both"/>
        <w:ind w:firstLine="8"/>
        <w:spacing w:after="0" w:line="241" w:lineRule="auto"/>
        <w:tabs>
          <w:tab w:leader="none" w:pos="283" w:val="left"/>
        </w:tabs>
        <w:numPr>
          <w:ilvl w:val="0"/>
          <w:numId w:val="34"/>
        </w:numPr>
        <w:rPr>
          <w:rFonts w:ascii="Arial" w:cs="Arial" w:eastAsia="Arial" w:hAnsi="Arial"/>
          <w:sz w:val="20"/>
          <w:szCs w:val="20"/>
          <w:color w:val="auto"/>
        </w:rPr>
      </w:pPr>
      <w:r>
        <w:rPr>
          <w:rFonts w:ascii="Arial" w:cs="Arial" w:eastAsia="Arial" w:hAnsi="Arial"/>
          <w:sz w:val="20"/>
          <w:szCs w:val="20"/>
          <w:color w:val="auto"/>
        </w:rPr>
        <w:t>such financial institution shall comply with instructions originated by Agent directing disposition of the funds in such Deposit Account without further consent by the applicable Borrower, and (b) such financial institution shall agree that it shall have no Lien on, or right of setoff or recoupment against, such Deposit Account or the contents thereof, other</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3" w:name="page64"/>
    <w:bookmarkEnd w:id="63"/>
    <w:p>
      <w:pPr>
        <w:jc w:val="both"/>
        <w:spacing w:after="0" w:line="260" w:lineRule="auto"/>
        <w:rPr>
          <w:sz w:val="20"/>
          <w:szCs w:val="20"/>
          <w:color w:val="auto"/>
        </w:rPr>
      </w:pPr>
      <w:r>
        <w:rPr>
          <w:rFonts w:ascii="Arial" w:cs="Arial" w:eastAsia="Arial" w:hAnsi="Arial"/>
          <w:sz w:val="20"/>
          <w:szCs w:val="20"/>
          <w:color w:val="auto"/>
        </w:rPr>
        <w:t>than in respect of usual and customary service fees and returned items, and containing such other terms and conditions as Agent may reasonably require.</w:t>
      </w:r>
    </w:p>
    <w:p>
      <w:pPr>
        <w:spacing w:after="0" w:line="171"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Distribution</w:t>
      </w:r>
      <w:r>
        <w:rPr>
          <w:rFonts w:ascii="Arial" w:cs="Arial" w:eastAsia="Arial" w:hAnsi="Arial"/>
          <w:sz w:val="20"/>
          <w:szCs w:val="20"/>
          <w:color w:val="auto"/>
        </w:rPr>
        <w:t>” means as to any Person (a) any dividend or other distribution (whether in cash, securities or other property) on any equity interest in such Person (except those payable solely in its equity interests of the same class), or (b) any payment by such Person on account of (i) the purchase, redemption, retirement, defeasance, surrender, cancellation, termination or acquisition of any equity interests in such Person or any claim respecting the purchase or sale of any equity interest in such Person, or (ii) any option, warrant or other right to acquire any equity interests in such Person.</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Dollars</w:t>
      </w:r>
      <w:r>
        <w:rPr>
          <w:rFonts w:ascii="Arial" w:cs="Arial" w:eastAsia="Arial" w:hAnsi="Arial"/>
          <w:sz w:val="20"/>
          <w:szCs w:val="20"/>
          <w:color w:val="auto"/>
        </w:rPr>
        <w:t>” or “</w:t>
      </w:r>
      <w:r>
        <w:rPr>
          <w:rFonts w:ascii="Arial" w:cs="Arial" w:eastAsia="Arial" w:hAnsi="Arial"/>
          <w:sz w:val="20"/>
          <w:szCs w:val="20"/>
          <w:b w:val="1"/>
          <w:bCs w:val="1"/>
          <w:color w:val="auto"/>
        </w:rPr>
        <w:t>$</w:t>
      </w:r>
      <w:r>
        <w:rPr>
          <w:rFonts w:ascii="Arial" w:cs="Arial" w:eastAsia="Arial" w:hAnsi="Arial"/>
          <w:sz w:val="20"/>
          <w:szCs w:val="20"/>
          <w:color w:val="auto"/>
        </w:rPr>
        <w:t>” means the lawful currency of the United States of America.</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Drug Application</w:t>
      </w:r>
      <w:r>
        <w:rPr>
          <w:rFonts w:ascii="Arial" w:cs="Arial" w:eastAsia="Arial" w:hAnsi="Arial"/>
          <w:sz w:val="18"/>
          <w:szCs w:val="18"/>
          <w:color w:val="auto"/>
        </w:rPr>
        <w:t>” means a biologic license application for any Product, as appropriate, as that term is defined in the FDCA.</w:t>
      </w:r>
    </w:p>
    <w:p>
      <w:pPr>
        <w:spacing w:after="0" w:line="239"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27"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42"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xml:space="preserve">” means any present and future federal, state and local laws, statutes, ordinances, rules, regulations, standards, policies and other governmental directives or requirements pertaining to the environment, natural resources, pollution, health (including any environmental clean-up statutes and all regulations adopted by any local, state, federal or other Governmental Authority, and any statute, ordinance, code, order, decree, law rule or regulation all of which pertain to or impose liability or standards of conduct concerning medical waste or medical products, equipment or supplies), safety or clean-up that apply to any Borrower and relate to Hazardous Materials, including, without limitation, the Comprehensive Environmental Response, Compensation and Liability Act of 1980 (42 U.S.C. § 9601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Resource Conservation and Recovery Act of 1976 (42 U.S.C. § 6901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Federal Water Pollution Control Act (33 U.S.C. § 1251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Hazardous Materials Transportation Act (49 U.S.C. § 5101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Clean Air Act (42 U.S.C. § 7401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Federal Insecticide, Fungicide and Rodenticide Act (7 U.S.C. § 136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Emergency Planning and Community Right-to-Know Act (42 U.S.C. § 11001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Occupational Safety and Health Act (29 U.S.C. § 651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Residential Lead-Based Paint Hazard Reduction Act (42 U.S.C. § 4851 </w:t>
      </w:r>
      <w:r>
        <w:rPr>
          <w:rFonts w:ascii="Arial" w:cs="Arial" w:eastAsia="Arial" w:hAnsi="Arial"/>
          <w:sz w:val="18"/>
          <w:szCs w:val="18"/>
          <w:i w:val="1"/>
          <w:iCs w:val="1"/>
          <w:color w:val="auto"/>
        </w:rPr>
        <w:t>et seq.</w:t>
      </w:r>
      <w:r>
        <w:rPr>
          <w:rFonts w:ascii="Arial" w:cs="Arial" w:eastAsia="Arial" w:hAnsi="Arial"/>
          <w:sz w:val="18"/>
          <w:szCs w:val="18"/>
          <w:color w:val="auto"/>
        </w:rPr>
        <w:t>), any analogous state or local laws, any amendments thereto, and the regulations promulgated pursuant to said laws, together with all amendments from time to time to any of the foregoing.</w:t>
      </w:r>
    </w:p>
    <w:p>
      <w:pPr>
        <w:spacing w:after="0" w:line="165" w:lineRule="exact"/>
        <w:rPr>
          <w:sz w:val="20"/>
          <w:szCs w:val="20"/>
          <w:color w:val="auto"/>
        </w:rPr>
      </w:pPr>
    </w:p>
    <w:p>
      <w:pPr>
        <w:jc w:val="both"/>
        <w:ind w:right="20" w:firstLine="864"/>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as the same may be amended, modified or supplemented from time to time, and any successor statute thereto, and any and all rules or regulations promulgated from time to time thereunder.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4" w:name="page65"/>
    <w:bookmarkEnd w:id="64"/>
    <w:p>
      <w:pPr>
        <w:jc w:val="both"/>
        <w:ind w:firstLine="864"/>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Plan</w:t>
      </w:r>
      <w:r>
        <w:rPr>
          <w:rFonts w:ascii="Arial" w:cs="Arial" w:eastAsia="Arial" w:hAnsi="Arial"/>
          <w:sz w:val="18"/>
          <w:szCs w:val="18"/>
          <w:color w:val="auto"/>
        </w:rPr>
        <w:t>” means any “employee benefit plan”, as such term is defined in Section 3(3) of ERISA (other than a Multiemployer Plan), which any Borrower maintains, sponsors or contributes to, or, in the case of an employee benefit plan which is subject to Section 412 of the Code or Title IV of ERISA, to which any Borrower (including as a result of its membership of the Controlled Group) may have any liability, including any liability by reason of having been a substantial employer within the meaning of Section 4063 of ERISA at any time during the preceding five (5) years, or by reason of being deemed to be a contributing sponsor under Section 4069 of ERISA.</w:t>
      </w:r>
    </w:p>
    <w:p>
      <w:pPr>
        <w:spacing w:after="0" w:line="156"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Event of Default</w:t>
      </w:r>
      <w:r>
        <w:rPr>
          <w:rFonts w:ascii="Arial" w:cs="Arial" w:eastAsia="Arial" w:hAnsi="Arial"/>
          <w:sz w:val="20"/>
          <w:szCs w:val="20"/>
          <w:color w:val="auto"/>
        </w:rPr>
        <w:t>” has the meaning set forth in Section 10.1.</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Excluded Accounts</w:t>
      </w:r>
      <w:r>
        <w:rPr>
          <w:rFonts w:ascii="Arial" w:cs="Arial" w:eastAsia="Arial" w:hAnsi="Arial"/>
          <w:sz w:val="20"/>
          <w:szCs w:val="20"/>
          <w:color w:val="auto"/>
        </w:rPr>
        <w:t>” has the meaning set forth in Section 5.14.</w:t>
      </w:r>
    </w:p>
    <w:p>
      <w:pPr>
        <w:spacing w:after="0" w:line="216"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Excluded Domestic Holdco</w:t>
      </w:r>
      <w:r>
        <w:rPr>
          <w:rFonts w:ascii="Arial" w:cs="Arial" w:eastAsia="Arial" w:hAnsi="Arial"/>
          <w:sz w:val="20"/>
          <w:szCs w:val="20"/>
          <w:color w:val="auto"/>
        </w:rPr>
        <w:t>” means a wholly-owned Subsidiary of Borrower substantially all the assets of which consist of capital stock or other equity interests and debt interests in the Excluded Foreign Subsidiary held directly or indirectly by such Subsidiary and that does not engage in any business, operations or activity other than that of a holding company. For the avoidance of doubt, it is understood and agreed that no Excluded Domestic Holdcos exist as of the Closing Date.</w:t>
      </w:r>
    </w:p>
    <w:p>
      <w:pPr>
        <w:spacing w:after="0" w:line="183"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Excluded Foreign Subsidiaries</w:t>
      </w:r>
      <w:r>
        <w:rPr>
          <w:rFonts w:ascii="Arial" w:cs="Arial" w:eastAsia="Arial" w:hAnsi="Arial"/>
          <w:sz w:val="20"/>
          <w:szCs w:val="20"/>
          <w:color w:val="auto"/>
        </w:rPr>
        <w:t>” means, collectively, each Subsidiary of Borrower not organized under the laws of the United States, a state thereof, or the District of Columbia (a “</w:t>
      </w:r>
      <w:r>
        <w:rPr>
          <w:rFonts w:ascii="Arial" w:cs="Arial" w:eastAsia="Arial" w:hAnsi="Arial"/>
          <w:sz w:val="20"/>
          <w:szCs w:val="20"/>
          <w:b w:val="1"/>
          <w:bCs w:val="1"/>
          <w:color w:val="auto"/>
        </w:rPr>
        <w:t>Foreign Subsidiary</w:t>
      </w:r>
      <w:r>
        <w:rPr>
          <w:rFonts w:ascii="Arial" w:cs="Arial" w:eastAsia="Arial" w:hAnsi="Arial"/>
          <w:sz w:val="20"/>
          <w:szCs w:val="20"/>
          <w:color w:val="auto"/>
        </w:rPr>
        <w:t>”) to the extent a 956 Impact (as defined below) exists with respect to such Subsidiary. A “</w:t>
      </w:r>
      <w:r>
        <w:rPr>
          <w:rFonts w:ascii="Arial" w:cs="Arial" w:eastAsia="Arial" w:hAnsi="Arial"/>
          <w:sz w:val="20"/>
          <w:szCs w:val="20"/>
          <w:b w:val="1"/>
          <w:bCs w:val="1"/>
          <w:color w:val="auto"/>
        </w:rPr>
        <w:t>956 Impact”</w:t>
      </w:r>
      <w:r>
        <w:rPr>
          <w:rFonts w:ascii="Arial" w:cs="Arial" w:eastAsia="Arial" w:hAnsi="Arial"/>
          <w:sz w:val="20"/>
          <w:szCs w:val="20"/>
          <w:color w:val="auto"/>
        </w:rPr>
        <w:t xml:space="preserve"> will be deemed to exist to the extent the issuance of a guaranty by, grant of a Lien by, or pledge of greater than two-thirds of the voting stock of, a Foreign Subsidiary would in the reasonable judgment of the Borrowers results in material incremental income tax liability as a result of the application of Section 956 of the Code, taking into account actual anticipated repatriation of funds, foreign tax credits and other relevant factors.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Excluded Property”</w:t>
      </w:r>
      <w:r>
        <w:rPr>
          <w:rFonts w:ascii="Arial" w:cs="Arial" w:eastAsia="Arial" w:hAnsi="Arial"/>
          <w:sz w:val="20"/>
          <w:szCs w:val="20"/>
          <w:color w:val="auto"/>
        </w:rPr>
        <w:t xml:space="preserve"> means, collectively:</w:t>
      </w:r>
    </w:p>
    <w:p>
      <w:pPr>
        <w:spacing w:after="0" w:line="222" w:lineRule="exact"/>
        <w:rPr>
          <w:sz w:val="20"/>
          <w:szCs w:val="20"/>
          <w:color w:val="auto"/>
        </w:rPr>
      </w:pPr>
    </w:p>
    <w:p>
      <w:pPr>
        <w:jc w:val="both"/>
        <w:ind w:firstLine="1735"/>
        <w:spacing w:after="0" w:line="250" w:lineRule="auto"/>
        <w:tabs>
          <w:tab w:leader="none" w:pos="2595" w:val="left"/>
        </w:tabs>
        <w:numPr>
          <w:ilvl w:val="0"/>
          <w:numId w:val="35"/>
        </w:numPr>
        <w:rPr>
          <w:rFonts w:ascii="Arial" w:cs="Arial" w:eastAsia="Arial" w:hAnsi="Arial"/>
          <w:sz w:val="20"/>
          <w:szCs w:val="20"/>
          <w:color w:val="auto"/>
        </w:rPr>
      </w:pPr>
      <w:r>
        <w:rPr>
          <w:rFonts w:ascii="Arial" w:cs="Arial" w:eastAsia="Arial" w:hAnsi="Arial"/>
          <w:sz w:val="20"/>
          <w:szCs w:val="20"/>
          <w:color w:val="auto"/>
        </w:rPr>
        <w:t>voting shares of any (A) Excluded Foreign Subsidiary of Borrower or (B) Excluded Domestic Holdco, in each case, in excess of 65% of all of the issued and outstanding voting shares of capital stock of such subsidiary if, in each case, a pledge of a greater percentage would result in a 956 Impact existing;</w:t>
      </w:r>
    </w:p>
    <w:p>
      <w:pPr>
        <w:spacing w:after="0" w:line="185" w:lineRule="exact"/>
        <w:rPr>
          <w:rFonts w:ascii="Arial" w:cs="Arial" w:eastAsia="Arial" w:hAnsi="Arial"/>
          <w:sz w:val="20"/>
          <w:szCs w:val="20"/>
          <w:color w:val="auto"/>
        </w:rPr>
      </w:pPr>
    </w:p>
    <w:p>
      <w:pPr>
        <w:jc w:val="both"/>
        <w:ind w:firstLine="1735"/>
        <w:spacing w:after="0" w:line="271" w:lineRule="auto"/>
        <w:tabs>
          <w:tab w:leader="none" w:pos="2606"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any lease, license, contract, property right (including without limitation any jointly owned or jointly developed Intellectual Property rights) or agreement as to which, if and to the extent that, and only for so long as the grant of a security interest therein shall (1) constitute or result in a breach, termination or default under any such lease, license, contract, property right or agreement or render it unenforceable, (2) be prohibited by any applicable Law or (3) require the consent of any third party that cannot be obtained after the use of commercially reasonable efforts to obtain such consent (in each case of clauses (1), (2) and (3), other than to the extent that any such breach, termination, default, prohibition or requirement for consent would be rendered ineffective pursuant to Sections 9-406 or 9-408 of the UCC of any relevant jurisdiction or any other applicable Law); provided that such security interest shall attach immediately to each portion of such lease, license, contract, property rights or agreement that does not result in any of the consequences specified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the Ruxience Royalty Agreement, the IXINITY Royalty Agreement or any Accounts arising under or in connection with either of the foregoing constitute Excluded Property under this clause (b);</w:t>
      </w:r>
    </w:p>
    <w:p>
      <w:pPr>
        <w:spacing w:after="0" w:line="173" w:lineRule="exact"/>
        <w:rPr>
          <w:rFonts w:ascii="Arial" w:cs="Arial" w:eastAsia="Arial" w:hAnsi="Arial"/>
          <w:sz w:val="18"/>
          <w:szCs w:val="18"/>
          <w:color w:val="auto"/>
        </w:rPr>
      </w:pPr>
    </w:p>
    <w:p>
      <w:pPr>
        <w:ind w:left="2600" w:hanging="865"/>
        <w:spacing w:after="0"/>
        <w:tabs>
          <w:tab w:leader="none" w:pos="26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Excluded Accounts;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5" w:name="page66"/>
    <w:bookmarkEnd w:id="65"/>
    <w:p>
      <w:pPr>
        <w:ind w:left="2620" w:hanging="885"/>
        <w:spacing w:after="0"/>
        <w:tabs>
          <w:tab w:leader="none" w:pos="26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intent to use trademark applications or service mark applications;</w:t>
      </w:r>
    </w:p>
    <w:p>
      <w:pPr>
        <w:spacing w:after="0" w:line="215" w:lineRule="exact"/>
        <w:rPr>
          <w:rFonts w:ascii="Arial" w:cs="Arial" w:eastAsia="Arial" w:hAnsi="Arial"/>
          <w:sz w:val="20"/>
          <w:szCs w:val="20"/>
          <w:color w:val="auto"/>
        </w:rPr>
      </w:pPr>
    </w:p>
    <w:p>
      <w:pPr>
        <w:ind w:firstLine="1735"/>
        <w:spacing w:after="0" w:line="316" w:lineRule="auto"/>
        <w:tabs>
          <w:tab w:leader="none" w:pos="25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property which, subject to the terms of Section 5.4, is subject to a Lien of the type described in clause (i) of the definition of Permitted Lien pursuant to documents which prohibit a Borrower from granting any other Liens on such property;</w:t>
      </w:r>
    </w:p>
    <w:p>
      <w:pPr>
        <w:spacing w:after="0" w:line="129" w:lineRule="exact"/>
        <w:rPr>
          <w:rFonts w:ascii="Arial" w:cs="Arial" w:eastAsia="Arial" w:hAnsi="Arial"/>
          <w:sz w:val="18"/>
          <w:szCs w:val="18"/>
          <w:color w:val="auto"/>
        </w:rPr>
      </w:pPr>
    </w:p>
    <w:p>
      <w:pPr>
        <w:jc w:val="both"/>
        <w:ind w:firstLine="1735"/>
        <w:spacing w:after="0" w:line="269" w:lineRule="auto"/>
        <w:tabs>
          <w:tab w:leader="none" w:pos="2573" w:val="left"/>
        </w:tabs>
        <w:numPr>
          <w:ilvl w:val="0"/>
          <w:numId w:val="36"/>
        </w:numPr>
        <w:rPr>
          <w:rFonts w:ascii="Arial" w:cs="Arial" w:eastAsia="Arial" w:hAnsi="Arial"/>
          <w:sz w:val="19"/>
          <w:szCs w:val="19"/>
          <w:color w:val="auto"/>
        </w:rPr>
      </w:pPr>
      <w:r>
        <w:rPr>
          <w:rFonts w:ascii="Arial" w:cs="Arial" w:eastAsia="Arial" w:hAnsi="Arial"/>
          <w:sz w:val="19"/>
          <w:szCs w:val="19"/>
          <w:color w:val="auto"/>
        </w:rPr>
        <w:t>any certificates, licenses and other authorizations issued by any Governmental Authority to the extent that an applicable Law prohibits the granting of a security interest therein (other than to the extent that any such prohibition would be rendered ineffective pursuant to Sections 9-406 or 9-408 of the UCC of any relevant jurisdiction or any other applicable Law); and</w:t>
      </w:r>
    </w:p>
    <w:p>
      <w:pPr>
        <w:spacing w:after="0" w:line="169" w:lineRule="exact"/>
        <w:rPr>
          <w:rFonts w:ascii="Arial" w:cs="Arial" w:eastAsia="Arial" w:hAnsi="Arial"/>
          <w:sz w:val="19"/>
          <w:szCs w:val="19"/>
          <w:color w:val="auto"/>
        </w:rPr>
      </w:pPr>
    </w:p>
    <w:p>
      <w:pPr>
        <w:ind w:firstLine="1735"/>
        <w:spacing w:after="0" w:line="260" w:lineRule="auto"/>
        <w:tabs>
          <w:tab w:leader="none" w:pos="2606" w:val="left"/>
        </w:tabs>
        <w:numPr>
          <w:ilvl w:val="0"/>
          <w:numId w:val="36"/>
        </w:numPr>
        <w:rPr>
          <w:rFonts w:ascii="Arial" w:cs="Arial" w:eastAsia="Arial" w:hAnsi="Arial"/>
          <w:sz w:val="20"/>
          <w:szCs w:val="20"/>
          <w:color w:val="auto"/>
        </w:rPr>
      </w:pPr>
      <w:r>
        <w:rPr>
          <w:rFonts w:ascii="Arial" w:cs="Arial" w:eastAsia="Arial" w:hAnsi="Arial"/>
          <w:sz w:val="20"/>
          <w:szCs w:val="20"/>
          <w:color w:val="auto"/>
        </w:rPr>
        <w:t>at all times during the Wells Fargo LC Period, the Wells Fargo LC Cash Collateral Account, all cash and cash equivalents deposited therein and all identifiable proceeds thereof;</w:t>
      </w:r>
    </w:p>
    <w:p>
      <w:pPr>
        <w:spacing w:after="0" w:line="171" w:lineRule="exact"/>
        <w:rPr>
          <w:sz w:val="20"/>
          <w:szCs w:val="20"/>
          <w:color w:val="auto"/>
        </w:rPr>
      </w:pPr>
    </w:p>
    <w:p>
      <w:pPr>
        <w:jc w:val="both"/>
        <w:ind w:firstLine="1727"/>
        <w:spacing w:after="0" w:line="253" w:lineRule="auto"/>
        <w:rPr>
          <w:sz w:val="20"/>
          <w:szCs w:val="20"/>
          <w:color w:val="auto"/>
        </w:rPr>
      </w:pPr>
      <w:r>
        <w:rPr>
          <w:rFonts w:ascii="Arial" w:cs="Arial" w:eastAsia="Arial" w:hAnsi="Arial"/>
          <w:sz w:val="20"/>
          <w:szCs w:val="20"/>
          <w:i w:val="1"/>
          <w:iCs w:val="1"/>
          <w:color w:val="auto"/>
        </w:rPr>
        <w:t>provided, however</w:t>
      </w:r>
      <w:r>
        <w:rPr>
          <w:rFonts w:ascii="Arial" w:cs="Arial" w:eastAsia="Arial" w:hAnsi="Arial"/>
          <w:sz w:val="20"/>
          <w:szCs w:val="20"/>
          <w:color w:val="auto"/>
        </w:rPr>
        <w:t>, “</w:t>
      </w:r>
      <w:r>
        <w:rPr>
          <w:rFonts w:ascii="Arial" w:cs="Arial" w:eastAsia="Arial" w:hAnsi="Arial"/>
          <w:sz w:val="20"/>
          <w:szCs w:val="20"/>
          <w:b w:val="1"/>
          <w:bCs w:val="1"/>
          <w:color w:val="auto"/>
        </w:rPr>
        <w:t>Excluded Property</w:t>
      </w:r>
      <w:r>
        <w:rPr>
          <w:rFonts w:ascii="Arial" w:cs="Arial" w:eastAsia="Arial" w:hAnsi="Arial"/>
          <w:sz w:val="20"/>
          <w:szCs w:val="20"/>
          <w:color w:val="auto"/>
        </w:rPr>
        <w:t>” shall not include any proceeds, products, substitutions, receivables or</w:t>
      </w:r>
      <w:r>
        <w:rPr>
          <w:rFonts w:ascii="Arial" w:cs="Arial" w:eastAsia="Arial" w:hAnsi="Arial"/>
          <w:sz w:val="20"/>
          <w:szCs w:val="20"/>
          <w:i w:val="1"/>
          <w:iCs w:val="1"/>
          <w:color w:val="auto"/>
        </w:rPr>
        <w:t xml:space="preserve"> </w:t>
      </w:r>
      <w:r>
        <w:rPr>
          <w:rFonts w:ascii="Arial" w:cs="Arial" w:eastAsia="Arial" w:hAnsi="Arial"/>
          <w:sz w:val="20"/>
          <w:szCs w:val="20"/>
          <w:color w:val="auto"/>
        </w:rPr>
        <w:t>replacements of Excluded Property (unless such proceeds, products, substitutions, receivables or replacements would otherwise constitute Excluded Property).</w:t>
      </w:r>
    </w:p>
    <w:p>
      <w:pPr>
        <w:spacing w:after="0" w:line="177"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Excluded Taxes</w:t>
      </w:r>
      <w:r>
        <w:rPr>
          <w:rFonts w:ascii="Arial" w:cs="Arial" w:eastAsia="Arial" w:hAnsi="Arial"/>
          <w:sz w:val="19"/>
          <w:szCs w:val="19"/>
          <w:color w:val="auto"/>
        </w:rPr>
        <w:t>” means any of the following Taxes imposed on or with respect to Agent, any Lender or any other recipient of any payment to be made by or on behalf of any obligation of Credit Parties hereunder or the Obligations or required to be withheld or deducted from a payment to Agent, such Lender or such recipient (including any interest and penalties thereon): (a) Taxes to the extent imposed on or measured by Agent’s, any Lender’s or such recipient’s net income (however denominated), branch profits Taxes, and franchise Taxes and similar Taxes, in each case, (i) imposed by the jurisdiction (or any political subdivision thereof) under which Agent, such Lender or such recipient is organized, has its principal office or conducts business with respect to entering into any of the Financing Documents or taking any action thereunder or (ii) that are Other Connection Taxes; (b) in the case of a Lender, United States withholding Taxes imposed on amounts payable to or for the account of such Lender with respect to an applicable interest in the Loans pursuant to a Law in effect on the date on which (i) such Lender becomes a party to this Agreement other than as a result of an assignment requested by a Credit Party under the terms hereof or (ii) such Lender changes its lending office for funding its Loan, except in each case to the extent that, pursuant to Section 2.8, amounts with respect to such Taxes were payable either to such Lender’s assignor immediately before such Lender acquired the applicable interest in a Loan or Term Loan Commitment or to such Lender immediately before it changed its lending office; (c) Taxes attributable to such Lender’s failure to comply with Section 2.8(c); and (d) any U.S. federal withholding taxes imposed in respect of a Lender under FATCA.</w:t>
      </w:r>
    </w:p>
    <w:p>
      <w:pPr>
        <w:spacing w:after="0" w:line="179"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FATCA</w:t>
      </w:r>
      <w:r>
        <w:rPr>
          <w:rFonts w:ascii="Arial" w:cs="Arial" w:eastAsia="Arial" w:hAnsi="Arial"/>
          <w:sz w:val="19"/>
          <w:szCs w:val="19"/>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intergovernmental agreement (and any associated rules or regulations promulgated thereunder) entered into in connection therewith, and any agreement entered into pursuant to Section 1471(b)(1) of the Code.</w:t>
      </w:r>
    </w:p>
    <w:p>
      <w:pPr>
        <w:spacing w:after="0" w:line="169" w:lineRule="exact"/>
        <w:rPr>
          <w:sz w:val="20"/>
          <w:szCs w:val="20"/>
          <w:color w:val="auto"/>
        </w:rPr>
      </w:pPr>
    </w:p>
    <w:p>
      <w:pPr>
        <w:jc w:val="both"/>
        <w:ind w:firstLine="864"/>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Food and Drug Administration of the United States of America, any comparable state or local Governmental Authority, any comparable Governmental Authority in any non-United States jurisdiction, and any successor agency of any of the foregoing.</w:t>
      </w:r>
    </w:p>
    <w:p>
      <w:pPr>
        <w:spacing w:after="0" w:line="118" w:lineRule="exact"/>
        <w:rPr>
          <w:sz w:val="20"/>
          <w:szCs w:val="20"/>
          <w:color w:val="auto"/>
        </w:rPr>
      </w:pPr>
    </w:p>
    <w:p>
      <w:pPr>
        <w:jc w:val="both"/>
        <w:ind w:right="20"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FDCA</w:t>
      </w:r>
      <w:r>
        <w:rPr>
          <w:rFonts w:ascii="Arial" w:cs="Arial" w:eastAsia="Arial" w:hAnsi="Arial"/>
          <w:sz w:val="20"/>
          <w:szCs w:val="20"/>
          <w:color w:val="auto"/>
        </w:rPr>
        <w:t>” means the Federal Food, Drug and Cosmetic Act, as amended, 21 U.S.C. Section 301 et seq., and all regulations promulgated thereunder.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6" w:name="page67"/>
    <w:bookmarkEnd w:id="66"/>
    <w:p>
      <w:pPr>
        <w:jc w:val="both"/>
        <w:ind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Fee Letter</w:t>
      </w:r>
      <w:r>
        <w:rPr>
          <w:rFonts w:ascii="Arial" w:cs="Arial" w:eastAsia="Arial" w:hAnsi="Arial"/>
          <w:sz w:val="20"/>
          <w:szCs w:val="20"/>
          <w:color w:val="auto"/>
        </w:rPr>
        <w:t>” means each agreement between Agent and Borrowers relating to fees payable to Agent and/or Lenders in connection with this Agreement or the other Financing Documents.</w:t>
      </w:r>
    </w:p>
    <w:p>
      <w:pPr>
        <w:spacing w:after="0" w:line="163" w:lineRule="exact"/>
        <w:rPr>
          <w:sz w:val="20"/>
          <w:szCs w:val="20"/>
          <w:color w:val="auto"/>
        </w:rPr>
      </w:pPr>
    </w:p>
    <w:p>
      <w:pPr>
        <w:jc w:val="both"/>
        <w:ind w:firstLine="86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Financing Documents</w:t>
      </w:r>
      <w:r>
        <w:rPr>
          <w:rFonts w:ascii="Arial" w:cs="Arial" w:eastAsia="Arial" w:hAnsi="Arial"/>
          <w:sz w:val="19"/>
          <w:szCs w:val="19"/>
          <w:color w:val="auto"/>
        </w:rPr>
        <w:t>” means this Agreement, any Notes, the Security Documents, each Fee Letter, each subordination or intercreditor agreement pursuant to which any Debt and/or any Liens securing such Debt is subordinated to all or any portion of the Obligations and all other documents, instruments and agreements related to the Obligations and heretofore executed, executed concurrently herewith or executed at any time and from time to time hereafter, as any or all of the same may be amended, supplemented, restated or otherwise modified from time to time in accordance with the terms hereof.</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Foreign Lender</w:t>
      </w:r>
      <w:r>
        <w:rPr>
          <w:rFonts w:ascii="Arial" w:cs="Arial" w:eastAsia="Arial" w:hAnsi="Arial"/>
          <w:sz w:val="20"/>
          <w:szCs w:val="20"/>
          <w:color w:val="auto"/>
        </w:rPr>
        <w:t>” has the meaning set forth in Section 2.8(c)(i).</w:t>
      </w:r>
    </w:p>
    <w:p>
      <w:pPr>
        <w:spacing w:after="0" w:line="216"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GAAP</w:t>
      </w:r>
      <w:r>
        <w:rPr>
          <w:rFonts w:ascii="Arial" w:cs="Arial" w:eastAsia="Arial" w:hAnsi="Arial"/>
          <w:sz w:val="19"/>
          <w:szCs w:val="19"/>
          <w:color w:val="auto"/>
        </w:rPr>
        <w:t>” means generally accepted accounting principles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United States accounting profession), which are applicable to the circumstances as of the date of determination.</w:t>
      </w:r>
    </w:p>
    <w:p>
      <w:pPr>
        <w:spacing w:after="0" w:line="169"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General Intangible</w:t>
      </w:r>
      <w:r>
        <w:rPr>
          <w:rFonts w:ascii="Arial" w:cs="Arial" w:eastAsia="Arial" w:hAnsi="Arial"/>
          <w:sz w:val="20"/>
          <w:szCs w:val="20"/>
          <w:color w:val="auto"/>
        </w:rPr>
        <w:t>” means any “general intangible” as defined in Article 9 of the UCC, and any personal property, including things in action, other than accounts, chattel paper, commercial tort claims, deposit accounts, documents, goods, instruments, investment property, letter-of-credit rights, letters of credit, money, and oil, gas or other minerals before extraction, but including payment intangibles and software.</w:t>
      </w:r>
    </w:p>
    <w:p>
      <w:pPr>
        <w:spacing w:after="0" w:line="183" w:lineRule="exact"/>
        <w:rPr>
          <w:sz w:val="20"/>
          <w:szCs w:val="20"/>
          <w:color w:val="auto"/>
        </w:rPr>
      </w:pPr>
    </w:p>
    <w:p>
      <w:pPr>
        <w:jc w:val="both"/>
        <w:ind w:right="20"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Good Manufacturing Practices</w:t>
      </w:r>
      <w:r>
        <w:rPr>
          <w:rFonts w:ascii="Arial" w:cs="Arial" w:eastAsia="Arial" w:hAnsi="Arial"/>
          <w:sz w:val="20"/>
          <w:szCs w:val="20"/>
          <w:color w:val="auto"/>
        </w:rPr>
        <w:t>” means current good manufacturing practices, as set forth in 21 C.F.R. Parts 210 and 211 in the United States, or as otherwise defined under applicable Healthcare Law.</w:t>
      </w:r>
    </w:p>
    <w:p>
      <w:pPr>
        <w:spacing w:after="0" w:line="163"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Governmental Authority</w:t>
      </w:r>
      <w:r>
        <w:rPr>
          <w:rFonts w:ascii="Arial" w:cs="Arial" w:eastAsia="Arial" w:hAnsi="Arial"/>
          <w:sz w:val="20"/>
          <w:szCs w:val="20"/>
          <w:color w:val="auto"/>
        </w:rPr>
        <w:t>” means any nation or government, any state, local or other political subdivision thereof, and any agency, department or Person exercising executive, legislative, judicial, regulatory or administrative functions of or pertaining to government.</w:t>
      </w:r>
    </w:p>
    <w:p>
      <w:pPr>
        <w:spacing w:after="0" w:line="177"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 xml:space="preserve">” by any Person means any obligation, contingent or otherwise, of such Person directly or indirectly guaranteeing any Debt or other obligation of any other Person and, without limiting the generality of the foregoing, any obligation, direct or indirect, contingent or otherwise, of such Person (a) to purchase or pay (or advance or supply funds for the purchase or payment of) such Debt or other obligation (whether arising by virtue of partnership arrangements, by agreement to keep-well, to purchase assets, goods, securities or services, to take-or-pay, or to maintain financial statement conditions or otherwise), or (b) entered into for the purpose of assuring in any other manner the obligee of such Debt or other obligation of the payment thereof or to protect such obligee against loss in respect thereof (in whole or in part),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term Guarantee shall not include endorsements for collection or deposit in the Ordinary Course of Business. The term “</w:t>
      </w:r>
      <w:r>
        <w:rPr>
          <w:rFonts w:ascii="Arial" w:cs="Arial" w:eastAsia="Arial" w:hAnsi="Arial"/>
          <w:sz w:val="18"/>
          <w:szCs w:val="18"/>
          <w:b w:val="1"/>
          <w:bCs w:val="1"/>
          <w:color w:val="auto"/>
        </w:rPr>
        <w:t>Guarantee</w:t>
      </w:r>
      <w:r>
        <w:rPr>
          <w:rFonts w:ascii="Arial" w:cs="Arial" w:eastAsia="Arial" w:hAnsi="Arial"/>
          <w:sz w:val="18"/>
          <w:szCs w:val="18"/>
          <w:color w:val="auto"/>
        </w:rPr>
        <w:t>” used as a verb has a corresponding meaning.</w:t>
      </w:r>
    </w:p>
    <w:p>
      <w:pPr>
        <w:spacing w:after="0" w:line="162"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Guarantor</w:t>
      </w:r>
      <w:r>
        <w:rPr>
          <w:rFonts w:ascii="Arial" w:cs="Arial" w:eastAsia="Arial" w:hAnsi="Arial"/>
          <w:sz w:val="20"/>
          <w:szCs w:val="20"/>
          <w:color w:val="auto"/>
        </w:rPr>
        <w:t>” means any Credit Party that has executed or delivered, or shall in the future execute or deliver, any Guarantee of any portion of the Obligations.</w:t>
      </w:r>
    </w:p>
    <w:p>
      <w:pPr>
        <w:spacing w:after="0" w:line="163" w:lineRule="exact"/>
        <w:rPr>
          <w:sz w:val="20"/>
          <w:szCs w:val="20"/>
          <w:color w:val="auto"/>
        </w:rPr>
      </w:pPr>
    </w:p>
    <w:p>
      <w:pPr>
        <w:jc w:val="both"/>
        <w:ind w:firstLine="86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Hazardous Materials</w:t>
      </w:r>
      <w:r>
        <w:rPr>
          <w:rFonts w:ascii="Arial" w:cs="Arial" w:eastAsia="Arial" w:hAnsi="Arial"/>
          <w:sz w:val="19"/>
          <w:szCs w:val="19"/>
          <w:color w:val="auto"/>
        </w:rPr>
        <w:t>” means petroleum and petroleum products and compounds containing them, including gasoline, diesel fuel and oil; explosives, flammable materials; radioactive materials; polychlorinated biphenyls and compounds containing them; lead and lead-based paint; asbestos or asbestos-containing materials; underground or above-ground storage tanks, whether empty or containing any substance; any substance the presence of which is prohibited by any Environmental Laws; toxic mold, any substance that requires special handling; and any other material or substance now or in the future defined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7" w:name="page68"/>
    <w:bookmarkEnd w:id="67"/>
    <w:p>
      <w:pPr>
        <w:jc w:val="both"/>
        <w:spacing w:after="0" w:line="270" w:lineRule="auto"/>
        <w:rPr>
          <w:sz w:val="20"/>
          <w:szCs w:val="20"/>
          <w:color w:val="auto"/>
        </w:rPr>
      </w:pPr>
      <w:r>
        <w:rPr>
          <w:rFonts w:ascii="Arial" w:cs="Arial" w:eastAsia="Arial" w:hAnsi="Arial"/>
          <w:sz w:val="18"/>
          <w:szCs w:val="18"/>
          <w:color w:val="auto"/>
        </w:rPr>
        <w:t>as a “hazardous substance,” “hazardous material,” “hazardous waste,” “toxic substance,” “toxic pollutant,” “contaminant,” “pollutant” or other words of similar import within the meaning of any Environmental Law, including: (a) any “hazardous substance” defined as such in (or for purposes of) CERCLA, or any so-called “superfund” or “superlien” Law, including the judicial interpretation thereof; (b) any “pollutant or contaminant” as defined in 42 U.S.C.A. § 9601(33); (c) any material now defined as “hazardous waste” pursuant to 40 C.F.R. Part 260;</w:t>
      </w:r>
    </w:p>
    <w:p>
      <w:pPr>
        <w:spacing w:after="0" w:line="3" w:lineRule="exact"/>
        <w:rPr>
          <w:sz w:val="20"/>
          <w:szCs w:val="20"/>
          <w:color w:val="auto"/>
        </w:rPr>
      </w:pPr>
    </w:p>
    <w:p>
      <w:pPr>
        <w:jc w:val="both"/>
        <w:ind w:firstLine="8"/>
        <w:spacing w:after="0" w:line="256" w:lineRule="auto"/>
        <w:tabs>
          <w:tab w:leader="none" w:pos="288" w:val="left"/>
        </w:tabs>
        <w:numPr>
          <w:ilvl w:val="0"/>
          <w:numId w:val="37"/>
        </w:numPr>
        <w:rPr>
          <w:rFonts w:ascii="Arial" w:cs="Arial" w:eastAsia="Arial" w:hAnsi="Arial"/>
          <w:sz w:val="19"/>
          <w:szCs w:val="19"/>
          <w:color w:val="auto"/>
        </w:rPr>
      </w:pPr>
      <w:r>
        <w:rPr>
          <w:rFonts w:ascii="Arial" w:cs="Arial" w:eastAsia="Arial" w:hAnsi="Arial"/>
          <w:sz w:val="19"/>
          <w:szCs w:val="19"/>
          <w:color w:val="auto"/>
        </w:rPr>
        <w:t>any petroleum or petroleum by-products, including crude oil or any fraction thereof; (e) natural gas, natural gas liquids, liquefied natural gas, or synthetic gas usable for fuel; (f) any “hazardous chemical” as defined pursuant to 29 C.F.R. Part 1910; (g) any toxic or harmful substances, wastes, materials, pollutants or contaminants (including, without limitation, asbestos, polychlorinated biphenyls, flammable explosives, radioactive materials, infectious substances, materials containing lead-based paint or raw materials which include hazardous constituents); and (h) any other toxic substance or contaminant that is subject to any Environmental Laws.</w:t>
      </w:r>
    </w:p>
    <w:p>
      <w:pPr>
        <w:spacing w:after="0" w:line="17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Healthcare Laws</w:t>
      </w:r>
      <w:r>
        <w:rPr>
          <w:rFonts w:ascii="Arial" w:cs="Arial" w:eastAsia="Arial" w:hAnsi="Arial"/>
          <w:sz w:val="19"/>
          <w:szCs w:val="19"/>
          <w:color w:val="auto"/>
        </w:rPr>
        <w:t>” means all applicable Laws relating to the procurement, development, provision, clinical and non-clinical evaluation or investigation, product approval, manufacture, production, analysis, distribution, importation, exportation, use, handling, quality, reimbursement, sale, labeling, advertising, promotion, or postmarket requirements of any biologic, Product, or other product (including, without limitation, any ingredient or component of the foregoing products) subject to regulation under the Federal Food, Drug, and Cosmetic Act (21 U.S.C. et seq.) and similar state or foreign laws, pharmacy laws, Medicare, Medicaid, and all Laws pursuant to which Permits are issued, in each case, as the same may be amended from time to time.</w:t>
      </w:r>
    </w:p>
    <w:p>
      <w:pPr>
        <w:spacing w:after="0" w:line="173"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Indemnified Taxes</w:t>
      </w:r>
      <w:r>
        <w:rPr>
          <w:rFonts w:ascii="Arial" w:cs="Arial" w:eastAsia="Arial" w:hAnsi="Arial"/>
          <w:sz w:val="20"/>
          <w:szCs w:val="20"/>
          <w:color w:val="auto"/>
        </w:rPr>
        <w:t>” means (a) Taxes, other than Excluded Taxes, imposed on or with respect to any payment made by or on account of any obligation of Borrowers or any other Credit Party under any Financing Documents and (b) to the extent not otherwise described in (a), Other Taxes.</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Instrument</w:t>
      </w:r>
      <w:r>
        <w:rPr>
          <w:rFonts w:ascii="Arial" w:cs="Arial" w:eastAsia="Arial" w:hAnsi="Arial"/>
          <w:sz w:val="20"/>
          <w:szCs w:val="20"/>
          <w:color w:val="auto"/>
        </w:rPr>
        <w:t>” means “instrument”, as defined in Article 9 of the UCC.</w:t>
      </w:r>
    </w:p>
    <w:p>
      <w:pPr>
        <w:spacing w:after="0" w:line="21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Intellectual Property</w:t>
      </w:r>
      <w:r>
        <w:rPr>
          <w:rFonts w:ascii="Arial" w:cs="Arial" w:eastAsia="Arial" w:hAnsi="Arial"/>
          <w:sz w:val="19"/>
          <w:szCs w:val="19"/>
          <w:color w:val="auto"/>
        </w:rPr>
        <w:t>” means all copyright rights, copyright applications, copyright registrations and like protections in each work of authorship and derivative work, whether published or unpublished, any patents, patent applications and like protections, including improvements, divisions, continuations, renewals, reissues, extensions, and continuations-in-part of the same, trademarks, trade names, service marks, mask works, rights of use of any name, domain names, or any other similar rights, any applications therefor, whether registered or not, know-how, operating manuals, trade secret rights, clinical and non-clinical data, rights to unpatented inventions, and any claims for damage by way of any past, present, or future infringement of any of the foregoing.</w:t>
      </w:r>
    </w:p>
    <w:p>
      <w:pPr>
        <w:spacing w:after="0" w:line="173"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Intellectual Property Security Agreement</w:t>
      </w:r>
      <w:r>
        <w:rPr>
          <w:rFonts w:ascii="Arial" w:cs="Arial" w:eastAsia="Arial" w:hAnsi="Arial"/>
          <w:sz w:val="20"/>
          <w:szCs w:val="20"/>
          <w:color w:val="auto"/>
        </w:rPr>
        <w:t>” means that certain Intellectual Property Security Agreement, dated as of the Closing Date, by and among the Borrowers and the Agent.</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means any period commencing on the first day of a calendar month and ending on the last day of such calendar</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month.</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Inventory</w:t>
      </w:r>
      <w:r>
        <w:rPr>
          <w:rFonts w:ascii="Arial" w:cs="Arial" w:eastAsia="Arial" w:hAnsi="Arial"/>
          <w:sz w:val="20"/>
          <w:szCs w:val="20"/>
          <w:color w:val="auto"/>
        </w:rPr>
        <w:t>” means “inventory” as defined in Article 9 of the UCC.</w:t>
      </w:r>
    </w:p>
    <w:p>
      <w:pPr>
        <w:spacing w:after="0" w:line="21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Investment</w:t>
      </w:r>
      <w:r>
        <w:rPr>
          <w:rFonts w:ascii="Arial" w:cs="Arial" w:eastAsia="Arial" w:hAnsi="Arial"/>
          <w:sz w:val="20"/>
          <w:szCs w:val="20"/>
          <w:color w:val="auto"/>
        </w:rPr>
        <w:t>” means, with respect to any Person, directly or indirectly, (a) to purchase or acquire any stock or stock equivalents, or any obligations or other securities of, or any interest in, any Person, including the establishment or creation of a Subsidiary, (b) to make or commit to make any acquisition (including through licensing or by way of merger, consolidation or combination with another Person) of (i) of all or substantially all of the assets of another Person, or (ii) any business, Product, Intellectual Property, business line or product line, division or other unit operation of or from any Person or (c) make, purchase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8" w:name="page69"/>
    <w:bookmarkEnd w:id="68"/>
    <w:p>
      <w:pPr>
        <w:jc w:val="both"/>
        <w:spacing w:after="0" w:line="250" w:lineRule="auto"/>
        <w:rPr>
          <w:sz w:val="20"/>
          <w:szCs w:val="20"/>
          <w:color w:val="auto"/>
        </w:rPr>
      </w:pPr>
      <w:r>
        <w:rPr>
          <w:rFonts w:ascii="Arial" w:cs="Arial" w:eastAsia="Arial" w:hAnsi="Arial"/>
          <w:sz w:val="20"/>
          <w:szCs w:val="20"/>
          <w:color w:val="auto"/>
        </w:rPr>
        <w:t>or hold any advance, loan, extension of credit or capital contribution to or in, or any other investment in, any Person. The amount of any Investment shall be the original cost of such Investment plus the cost of all additions thereto, without any adjustments for increases or decreases in value, or write-ups, write-downs or write-offs with respect thereto.</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IRS</w:t>
      </w:r>
      <w:r>
        <w:rPr>
          <w:rFonts w:ascii="Arial" w:cs="Arial" w:eastAsia="Arial" w:hAnsi="Arial"/>
          <w:sz w:val="20"/>
          <w:szCs w:val="20"/>
          <w:color w:val="auto"/>
        </w:rPr>
        <w:t>” has the meaning set forth in Section 2.8(c)(i).</w:t>
      </w:r>
    </w:p>
    <w:p>
      <w:pPr>
        <w:spacing w:after="0" w:line="216"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IXINITY Royalty Agreement</w:t>
      </w:r>
      <w:r>
        <w:rPr>
          <w:rFonts w:ascii="Arial" w:cs="Arial" w:eastAsia="Arial" w:hAnsi="Arial"/>
          <w:sz w:val="19"/>
          <w:szCs w:val="19"/>
          <w:color w:val="auto"/>
        </w:rPr>
        <w:t>” means certain LLC Purchase Agreement, dated as of February 28, 2020, between Medexus Pharma, Inc. and Aptevo Therapeutics, as amended, supplemented or otherwise modified from time to time prior to the Closing Date and as thereafter amended, supplemented or otherwise modified from time to time in accordance with the terms of this Agreement.</w:t>
      </w:r>
    </w:p>
    <w:p>
      <w:pPr>
        <w:spacing w:after="0" w:line="162"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IXINITY Royalty Excluded Deposit Account</w:t>
      </w:r>
      <w:r>
        <w:rPr>
          <w:rFonts w:ascii="Arial" w:cs="Arial" w:eastAsia="Arial" w:hAnsi="Arial"/>
          <w:sz w:val="18"/>
          <w:szCs w:val="18"/>
          <w:color w:val="auto"/>
        </w:rPr>
        <w:t>” means a segregated Deposit Account of Borrower that may be established for the sole purpose of collecting payments under the IXINITY Royalty Agreement, which payments have been sold as part of a Permitted IXINITY Royalty Stream Disposition (the “</w:t>
      </w:r>
      <w:r>
        <w:rPr>
          <w:rFonts w:ascii="Arial" w:cs="Arial" w:eastAsia="Arial" w:hAnsi="Arial"/>
          <w:sz w:val="18"/>
          <w:szCs w:val="18"/>
          <w:b w:val="1"/>
          <w:bCs w:val="1"/>
          <w:color w:val="auto"/>
        </w:rPr>
        <w:t>Transferred IXINITY Royalty Payments</w:t>
      </w:r>
      <w:r>
        <w:rPr>
          <w:rFonts w:ascii="Arial" w:cs="Arial" w:eastAsia="Arial" w:hAnsi="Arial"/>
          <w:sz w:val="18"/>
          <w:szCs w:val="18"/>
          <w:color w:val="auto"/>
        </w:rPr>
        <w:t xml:space="preserve">”), on behalf of the purchaser of such payments;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 in no event shall the IXINITY Royalty Excluded Deposit Account contain, at any time, any funds of Borrowers or their</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or any other amounts other than the Transferred IXINITY Royalty Payments, and (b) all funds collected in respect of the Transferred IXINITY Royalty Payments shall be disbursed to the purchaser of such Transferred IXINITY Royalty Payments within five (5) Business Days of Borrower’s receipt thereof (or such later date as may be permitted by Agent in its reasonable discretion).</w:t>
      </w:r>
    </w:p>
    <w:p>
      <w:pPr>
        <w:spacing w:after="0" w:line="162"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IXINITY Royalty Stream</w:t>
      </w:r>
      <w:r>
        <w:rPr>
          <w:rFonts w:ascii="Arial" w:cs="Arial" w:eastAsia="Arial" w:hAnsi="Arial"/>
          <w:sz w:val="20"/>
          <w:szCs w:val="20"/>
          <w:color w:val="auto"/>
        </w:rPr>
        <w:t>” means all rights to receive Royalties and all other amounts to be paid to or on behalf of Borrowers or any of their Subsidiaries under or pursuant to the IXINITY Royalty Agreement or any other agreement or document entered into in connection therewith and all other Royalties in respect of IXINITY (coagulation factor IX (recombinant)) or any “Product” (as defined in the IXINITY Royalty Agreement).</w:t>
      </w:r>
    </w:p>
    <w:p>
      <w:pPr>
        <w:spacing w:after="0" w:line="183"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Laws</w:t>
      </w:r>
      <w:r>
        <w:rPr>
          <w:rFonts w:ascii="Arial" w:cs="Arial" w:eastAsia="Arial" w:hAnsi="Arial"/>
          <w:sz w:val="20"/>
          <w:szCs w:val="20"/>
          <w:color w:val="auto"/>
        </w:rPr>
        <w:t>” means any and all federal, state, provincial, territorial, local and foreign statutes, laws, judicial decisions, regulations, ordinances, rules, judgments, orders, decrees, codes, injunctions, permits, governmental agreements and governmental restrictions, whether now or hereafter in effect, which are applicable to any Credit Party in any particular circumstance. “</w:t>
      </w:r>
      <w:r>
        <w:rPr>
          <w:rFonts w:ascii="Arial" w:cs="Arial" w:eastAsia="Arial" w:hAnsi="Arial"/>
          <w:sz w:val="20"/>
          <w:szCs w:val="20"/>
          <w:b w:val="1"/>
          <w:bCs w:val="1"/>
          <w:color w:val="auto"/>
        </w:rPr>
        <w:t>Laws</w:t>
      </w:r>
      <w:r>
        <w:rPr>
          <w:rFonts w:ascii="Arial" w:cs="Arial" w:eastAsia="Arial" w:hAnsi="Arial"/>
          <w:sz w:val="20"/>
          <w:szCs w:val="20"/>
          <w:color w:val="auto"/>
        </w:rPr>
        <w:t>” includes, without limitation, Healthcare Laws and Environmental Laws.</w:t>
      </w:r>
    </w:p>
    <w:p>
      <w:pPr>
        <w:spacing w:after="0" w:line="183"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Lender</w:t>
      </w:r>
      <w:r>
        <w:rPr>
          <w:rFonts w:ascii="Arial" w:cs="Arial" w:eastAsia="Arial" w:hAnsi="Arial"/>
          <w:sz w:val="20"/>
          <w:szCs w:val="20"/>
          <w:color w:val="auto"/>
        </w:rPr>
        <w:t>” means each of (a) MCF, in its capacity as a lender hereunder, (b) each other Person party hereto in its capacity as a lender hereunder, (c) each other Person that becomes a party hereto as Lender pursuant to and as permitted by Section 11.17, and (d) the respective successors of all of the foregoing, and “</w:t>
      </w:r>
      <w:r>
        <w:rPr>
          <w:rFonts w:ascii="Arial" w:cs="Arial" w:eastAsia="Arial" w:hAnsi="Arial"/>
          <w:sz w:val="20"/>
          <w:szCs w:val="20"/>
          <w:b w:val="1"/>
          <w:bCs w:val="1"/>
          <w:color w:val="auto"/>
        </w:rPr>
        <w:t>Lenders</w:t>
      </w:r>
      <w:r>
        <w:rPr>
          <w:rFonts w:ascii="Arial" w:cs="Arial" w:eastAsia="Arial" w:hAnsi="Arial"/>
          <w:sz w:val="20"/>
          <w:szCs w:val="20"/>
          <w:color w:val="auto"/>
        </w:rPr>
        <w:t>” means all of the foregoing.</w:t>
      </w:r>
    </w:p>
    <w:p>
      <w:pPr>
        <w:spacing w:after="0" w:line="177"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LIBOR Rate</w:t>
      </w:r>
      <w:r>
        <w:rPr>
          <w:rFonts w:ascii="Arial" w:cs="Arial" w:eastAsia="Arial" w:hAnsi="Arial"/>
          <w:sz w:val="20"/>
          <w:szCs w:val="20"/>
          <w:color w:val="auto"/>
        </w:rPr>
        <w:t xml:space="preserve">” means, for each Loan, a per annum rate of interest equal to the greater of (a) one and one half of one percent (1.50)% and (b) the rate determined by Agent (rounded upwards, if necessary, to the next 1/100th%) by </w:t>
      </w:r>
      <w:r>
        <w:rPr>
          <w:rFonts w:ascii="Arial" w:cs="Arial" w:eastAsia="Arial" w:hAnsi="Arial"/>
          <w:sz w:val="20"/>
          <w:szCs w:val="20"/>
          <w:i w:val="1"/>
          <w:iCs w:val="1"/>
          <w:color w:val="auto"/>
        </w:rPr>
        <w:t>dividing</w:t>
      </w:r>
      <w:r>
        <w:rPr>
          <w:rFonts w:ascii="Arial" w:cs="Arial" w:eastAsia="Arial" w:hAnsi="Arial"/>
          <w:sz w:val="20"/>
          <w:szCs w:val="20"/>
          <w:color w:val="auto"/>
        </w:rPr>
        <w:t xml:space="preserve"> (i) the Base LIBOR Rate for the Interest Period, </w:t>
      </w:r>
      <w:r>
        <w:rPr>
          <w:rFonts w:ascii="Arial" w:cs="Arial" w:eastAsia="Arial" w:hAnsi="Arial"/>
          <w:sz w:val="20"/>
          <w:szCs w:val="20"/>
          <w:i w:val="1"/>
          <w:iCs w:val="1"/>
          <w:color w:val="auto"/>
        </w:rPr>
        <w:t>by</w:t>
      </w:r>
      <w:r>
        <w:rPr>
          <w:rFonts w:ascii="Arial" w:cs="Arial" w:eastAsia="Arial" w:hAnsi="Arial"/>
          <w:sz w:val="20"/>
          <w:szCs w:val="20"/>
          <w:color w:val="auto"/>
        </w:rPr>
        <w:t xml:space="preserve"> (ii) the sum of one </w:t>
      </w:r>
      <w:r>
        <w:rPr>
          <w:rFonts w:ascii="Arial" w:cs="Arial" w:eastAsia="Arial" w:hAnsi="Arial"/>
          <w:sz w:val="20"/>
          <w:szCs w:val="20"/>
          <w:i w:val="1"/>
          <w:iCs w:val="1"/>
          <w:color w:val="auto"/>
        </w:rPr>
        <w:t>minus</w:t>
      </w:r>
      <w:r>
        <w:rPr>
          <w:rFonts w:ascii="Arial" w:cs="Arial" w:eastAsia="Arial" w:hAnsi="Arial"/>
          <w:sz w:val="20"/>
          <w:szCs w:val="20"/>
          <w:color w:val="auto"/>
        </w:rPr>
        <w:t xml:space="preserve"> the daily average during such Interest Period of the aggregate maximum reserve requirement (expressed as a decimal) then imposed under Regulation D of the Board of Governors of the Federal Reserve System (or any successor thereto) for “Eurocurrency Liabilities” (as defined therein);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no event shall the LIBOR Rate be higher than two and one half of one percent (2.50%).</w:t>
      </w:r>
    </w:p>
    <w:p>
      <w:pPr>
        <w:spacing w:after="0" w:line="184"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Lien</w:t>
      </w:r>
      <w:r>
        <w:rPr>
          <w:rFonts w:ascii="Arial" w:cs="Arial" w:eastAsia="Arial" w:hAnsi="Arial"/>
          <w:sz w:val="20"/>
          <w:szCs w:val="20"/>
          <w:color w:val="auto"/>
        </w:rPr>
        <w:t>” means, with respect to any asset, any mortgage, lien, pledge, charge, security interest or encumbrance of any kind, in respect of such asset. For the purposes of this Agreement and the other Financing Documents, any Borrower or any Subsidiary shall be deemed to own subject to a Lien any asset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9" w:name="page70"/>
    <w:bookmarkEnd w:id="69"/>
    <w:p>
      <w:pPr>
        <w:jc w:val="both"/>
        <w:ind w:right="20"/>
        <w:spacing w:after="0" w:line="260" w:lineRule="auto"/>
        <w:rPr>
          <w:sz w:val="20"/>
          <w:szCs w:val="20"/>
          <w:color w:val="auto"/>
        </w:rPr>
      </w:pPr>
      <w:r>
        <w:rPr>
          <w:rFonts w:ascii="Arial" w:cs="Arial" w:eastAsia="Arial" w:hAnsi="Arial"/>
          <w:sz w:val="20"/>
          <w:szCs w:val="20"/>
          <w:color w:val="auto"/>
        </w:rPr>
        <w:t>which it has acquired or holds subject to the interest of a vendor or lessor under any conditional sale agreement, capital lease or other title retention agreement relating to such asset.</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Litigation</w:t>
      </w:r>
      <w:r>
        <w:rPr>
          <w:rFonts w:ascii="Arial" w:cs="Arial" w:eastAsia="Arial" w:hAnsi="Arial"/>
          <w:sz w:val="20"/>
          <w:szCs w:val="20"/>
          <w:color w:val="auto"/>
        </w:rPr>
        <w:t>” means any action, suit or proceeding before any court, mediator, arbitrator or Governmental Authority.</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Loan Account</w:t>
      </w:r>
      <w:r>
        <w:rPr>
          <w:rFonts w:ascii="Arial" w:cs="Arial" w:eastAsia="Arial" w:hAnsi="Arial"/>
          <w:sz w:val="20"/>
          <w:szCs w:val="20"/>
          <w:color w:val="auto"/>
        </w:rPr>
        <w:t>” has the meaning set forth in Section 2.6(b).</w:t>
      </w:r>
    </w:p>
    <w:p>
      <w:pPr>
        <w:spacing w:after="0" w:line="216"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Loan(s)</w:t>
      </w:r>
      <w:r>
        <w:rPr>
          <w:rFonts w:ascii="Arial" w:cs="Arial" w:eastAsia="Arial" w:hAnsi="Arial"/>
          <w:sz w:val="19"/>
          <w:szCs w:val="19"/>
          <w:color w:val="auto"/>
        </w:rPr>
        <w:t>” means the Term Loan and each and every advance under the Term Loan. All references herein to the “making” of a Loan or words of similar import shall mean, with respect to the Term Loan, the making of any advance in respect of a Term Loan.</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Mandatory Excess Royalty Payment</w:t>
      </w:r>
      <w:r>
        <w:rPr>
          <w:rFonts w:ascii="Arial" w:cs="Arial" w:eastAsia="Arial" w:hAnsi="Arial"/>
          <w:sz w:val="20"/>
          <w:szCs w:val="20"/>
          <w:color w:val="auto"/>
        </w:rPr>
        <w:t>” has the meaning set forth in Section 2.1(a)(ii)(B)(vi).</w:t>
      </w:r>
    </w:p>
    <w:p>
      <w:pPr>
        <w:spacing w:after="0" w:line="21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19"/>
          <w:szCs w:val="19"/>
          <w:b w:val="1"/>
          <w:bCs w:val="1"/>
          <w:color w:val="auto"/>
        </w:rPr>
        <w:t>Mandatory Royalty Stream Disposition Prepayment</w:t>
      </w:r>
      <w:r>
        <w:rPr>
          <w:rFonts w:ascii="Arial" w:cs="Arial" w:eastAsia="Arial" w:hAnsi="Arial"/>
          <w:sz w:val="22"/>
          <w:szCs w:val="22"/>
          <w:color w:val="auto"/>
        </w:rPr>
        <w:t>” has the meaning set forth in Section 2.1(a)(ii)(B)(v).</w:t>
      </w:r>
    </w:p>
    <w:p>
      <w:pPr>
        <w:spacing w:after="0" w:line="205" w:lineRule="exact"/>
        <w:rPr>
          <w:sz w:val="20"/>
          <w:szCs w:val="20"/>
          <w:color w:val="auto"/>
        </w:rPr>
      </w:pPr>
    </w:p>
    <w:p>
      <w:pPr>
        <w:jc w:val="both"/>
        <w:ind w:right="20"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Margin Stock</w:t>
      </w:r>
      <w:r>
        <w:rPr>
          <w:rFonts w:ascii="Arial" w:cs="Arial" w:eastAsia="Arial" w:hAnsi="Arial"/>
          <w:sz w:val="20"/>
          <w:szCs w:val="20"/>
          <w:color w:val="auto"/>
        </w:rPr>
        <w:t>” means “margin stock” as such term is defined in Regulation T, U, or X of the Board of Governors of the Federal Reserve System.</w:t>
      </w:r>
    </w:p>
    <w:p>
      <w:pPr>
        <w:spacing w:after="0" w:line="163"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Market Withdrawal</w:t>
      </w:r>
      <w:r>
        <w:rPr>
          <w:rFonts w:ascii="Arial" w:cs="Arial" w:eastAsia="Arial" w:hAnsi="Arial"/>
          <w:sz w:val="20"/>
          <w:szCs w:val="20"/>
          <w:color w:val="auto"/>
        </w:rPr>
        <w:t>” means a Person’s removal or Correction of a distributed product which involves a minor violation that would not be subject to legal action by the FDA or which involves no violation, e.g., normal stock rotation practices, routine equipment adjustments and repairs, etc.</w:t>
      </w:r>
    </w:p>
    <w:p>
      <w:pPr>
        <w:spacing w:after="0" w:line="177"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Adverse Effect</w:t>
      </w:r>
      <w:r>
        <w:rPr>
          <w:rFonts w:ascii="Arial" w:cs="Arial" w:eastAsia="Arial" w:hAnsi="Arial"/>
          <w:sz w:val="19"/>
          <w:szCs w:val="19"/>
          <w:color w:val="auto"/>
        </w:rPr>
        <w:t xml:space="preserve">” means with respect to any event, act, condition or occurrence of whatever nature (including any adverse determination in any litigation, arbitration, or governmental investigation or proceeding), whether singly or in conjunction with any other event or events, act or acts, condition or conditions, occurrence or occurrences, whether or not related, a material adverse change in, or a material adverse effect upon, any of (a) the condition (financial or otherwise), operations, business, properties or prospects of any of the Credit Parties, (b) the rights and remedies of Agent or Lenders under any Financing Document, or the ability of any Credit Party to perform any of its obligations under any Financing Document to which it is a party, (c) the legality, validity or enforceability of any Financing Document, (d) the existence or perfection of any security interest granted in any Financing Document, (e) the value of any material Collateral, or (f) a material impairment of the prospect of repayment of any portion of the Obligations; </w:t>
      </w:r>
      <w:r>
        <w:rPr>
          <w:rFonts w:ascii="Arial" w:cs="Arial" w:eastAsia="Arial" w:hAnsi="Arial"/>
          <w:sz w:val="19"/>
          <w:szCs w:val="19"/>
          <w:i w:val="1"/>
          <w:iCs w:val="1"/>
          <w:color w:val="auto"/>
        </w:rPr>
        <w:t>provided, however</w:t>
      </w:r>
      <w:r>
        <w:rPr>
          <w:rFonts w:ascii="Arial" w:cs="Arial" w:eastAsia="Arial" w:hAnsi="Arial"/>
          <w:sz w:val="19"/>
          <w:szCs w:val="19"/>
          <w:color w:val="auto"/>
        </w:rPr>
        <w:t>, notwithstanding anything to the contrary contained in clauses (a) through (f) hereof, if any of Borrower’s financial statements filed with the SEC contain a disclosure that there is “substantial doubt about the ability of Borrower to continue as a going concern”, such disclosure shall not by itself constitute a Material Adverse Effect.</w:t>
      </w:r>
    </w:p>
    <w:p>
      <w:pPr>
        <w:spacing w:after="0" w:line="177" w:lineRule="exact"/>
        <w:rPr>
          <w:sz w:val="20"/>
          <w:szCs w:val="20"/>
          <w:color w:val="auto"/>
        </w:rPr>
      </w:pPr>
    </w:p>
    <w:p>
      <w:pPr>
        <w:jc w:val="both"/>
        <w:ind w:right="20"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Material Contracts</w:t>
      </w:r>
      <w:r>
        <w:rPr>
          <w:rFonts w:ascii="Arial" w:cs="Arial" w:eastAsia="Arial" w:hAnsi="Arial"/>
          <w:sz w:val="20"/>
          <w:szCs w:val="20"/>
          <w:color w:val="auto"/>
        </w:rPr>
        <w:t>” means (a) the Subordinated Debt Documents, (b) each Royalty Agreement, (c) the agreements listed on Schedule 3.17, and (d) each other agreement or contract to which such Credit Party or its Subsidiaries is a party the loss or termination of which would reasonably be expected to result in a Material Adverse Effect.</w:t>
      </w:r>
    </w:p>
    <w:p>
      <w:pPr>
        <w:spacing w:after="0" w:line="177"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Material Intangible Assets</w:t>
      </w:r>
      <w:r>
        <w:rPr>
          <w:rFonts w:ascii="Arial" w:cs="Arial" w:eastAsia="Arial" w:hAnsi="Arial"/>
          <w:sz w:val="20"/>
          <w:szCs w:val="20"/>
          <w:color w:val="auto"/>
        </w:rPr>
        <w:t>” means all of (a) Borrower’s Intellectual Property and (b) license or sublicense agreements or other agreements with respect to rights in Intellectual Property, in each case that are material to the condition (financial or other), business or operations of Borrower.</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Maturity Date</w:t>
      </w:r>
      <w:r>
        <w:rPr>
          <w:rFonts w:ascii="Arial" w:cs="Arial" w:eastAsia="Arial" w:hAnsi="Arial"/>
          <w:sz w:val="20"/>
          <w:szCs w:val="20"/>
          <w:color w:val="auto"/>
        </w:rPr>
        <w:t>” means the date that is August 1, 2024.</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Maximum Lawful Rate</w:t>
      </w:r>
      <w:r>
        <w:rPr>
          <w:rFonts w:ascii="Arial" w:cs="Arial" w:eastAsia="Arial" w:hAnsi="Arial"/>
          <w:sz w:val="20"/>
          <w:szCs w:val="20"/>
          <w:color w:val="auto"/>
        </w:rPr>
        <w:t>” has the meaning set forth in Section 2.7.</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70" w:name="page71"/>
    <w:bookmarkEnd w:id="70"/>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MCF</w:t>
      </w:r>
      <w:r>
        <w:rPr>
          <w:rFonts w:ascii="Arial" w:cs="Arial" w:eastAsia="Arial" w:hAnsi="Arial"/>
          <w:sz w:val="20"/>
          <w:szCs w:val="20"/>
          <w:color w:val="auto"/>
        </w:rPr>
        <w:t>” means MidCap Financial Trust, a Delaware statutory trust, and its successors and permitted assigns.</w:t>
      </w:r>
    </w:p>
    <w:p>
      <w:pPr>
        <w:spacing w:after="0" w:line="216"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Medicaid</w:t>
      </w:r>
      <w:r>
        <w:rPr>
          <w:rFonts w:ascii="Arial" w:cs="Arial" w:eastAsia="Arial" w:hAnsi="Arial"/>
          <w:sz w:val="20"/>
          <w:szCs w:val="20"/>
          <w:color w:val="auto"/>
        </w:rPr>
        <w:t>” means the medical assistance programs administered by state agencies and approved by CMS pursuant to the terms of Title XIX of the Social Security Act, codified at 42 U.S.C. 1396 et seq.</w:t>
      </w:r>
    </w:p>
    <w:p>
      <w:pPr>
        <w:spacing w:after="0" w:line="163"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Medicare</w:t>
      </w:r>
      <w:r>
        <w:rPr>
          <w:rFonts w:ascii="Arial" w:cs="Arial" w:eastAsia="Arial" w:hAnsi="Arial"/>
          <w:sz w:val="20"/>
          <w:szCs w:val="20"/>
          <w:color w:val="auto"/>
        </w:rPr>
        <w:t>” means the program of health benefits for the aged and disabled administered by CMS pursuant to the terms of Title XVIII of the Social Security Act, codified at 42 U.S.C. 1395 et seq.</w:t>
      </w:r>
    </w:p>
    <w:p>
      <w:pPr>
        <w:spacing w:after="0" w:line="163"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Multiemployer Plan</w:t>
      </w:r>
      <w:r>
        <w:rPr>
          <w:rFonts w:ascii="Arial" w:cs="Arial" w:eastAsia="Arial" w:hAnsi="Arial"/>
          <w:sz w:val="20"/>
          <w:szCs w:val="20"/>
          <w:color w:val="auto"/>
        </w:rPr>
        <w:t>” means a multiemployer plan within the meaning of Section 4001(a)(3) of ERISA to which any Borrower or any other member of the Controlled Group (or any Person who in the last five years was a member of the Controlled Group) is making or accruing an obligation to make contributions or has within the preceding five plan years (as determined on the applicable date of determination) made contributions.</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Notes</w:t>
      </w:r>
      <w:r>
        <w:rPr>
          <w:rFonts w:ascii="Arial" w:cs="Arial" w:eastAsia="Arial" w:hAnsi="Arial"/>
          <w:sz w:val="20"/>
          <w:szCs w:val="20"/>
          <w:color w:val="auto"/>
        </w:rPr>
        <w:t>” has the meaning set forth in Section 2.3.</w:t>
      </w:r>
    </w:p>
    <w:p>
      <w:pPr>
        <w:spacing w:after="0" w:line="216"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Notice of Borrowing</w:t>
      </w:r>
      <w:r>
        <w:rPr>
          <w:rFonts w:ascii="Arial" w:cs="Arial" w:eastAsia="Arial" w:hAnsi="Arial"/>
          <w:sz w:val="20"/>
          <w:szCs w:val="20"/>
          <w:color w:val="auto"/>
        </w:rPr>
        <w:t xml:space="preserve">” means a notice of a Responsible Officer of Borrower Representative, appropriately completed and substantially in the form of </w:t>
      </w:r>
      <w:r>
        <w:rPr>
          <w:rFonts w:ascii="Arial" w:cs="Arial" w:eastAsia="Arial" w:hAnsi="Arial"/>
          <w:sz w:val="20"/>
          <w:szCs w:val="20"/>
          <w:u w:val="single" w:color="auto"/>
          <w:color w:val="auto"/>
        </w:rPr>
        <w:t>Exhibit D</w:t>
      </w:r>
      <w:r>
        <w:rPr>
          <w:rFonts w:ascii="Arial" w:cs="Arial" w:eastAsia="Arial" w:hAnsi="Arial"/>
          <w:sz w:val="20"/>
          <w:szCs w:val="20"/>
          <w:color w:val="auto"/>
        </w:rPr>
        <w:t xml:space="preserve"> hereto.</w:t>
      </w:r>
    </w:p>
    <w:p>
      <w:pPr>
        <w:spacing w:after="0" w:line="163"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Obligations</w:t>
      </w:r>
      <w:r>
        <w:rPr>
          <w:rFonts w:ascii="Arial" w:cs="Arial" w:eastAsia="Arial" w:hAnsi="Arial"/>
          <w:sz w:val="20"/>
          <w:szCs w:val="20"/>
          <w:color w:val="auto"/>
        </w:rPr>
        <w:t>” means all obligations, liabilities and indebtedness (monetary (including, without limitation, the payment of interest and other amounts arising after the commencement of any case with respect to any Credit Party under the Bankruptcy Code or any similar statute which would accrue and become due but for the commencement of such case, whether or not such amounts are allowed or allowable in whole or in part in such case) or otherwise) of each Credit Party under this Agreement or any other Financing Document, in each case howsoever created, arising or evidenced, whether direct or indirect, absolute or contingent, now or hereafter existing, or due or to become due.</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OFAC</w:t>
      </w:r>
      <w:r>
        <w:rPr>
          <w:rFonts w:ascii="Arial" w:cs="Arial" w:eastAsia="Arial" w:hAnsi="Arial"/>
          <w:sz w:val="20"/>
          <w:szCs w:val="20"/>
          <w:color w:val="auto"/>
        </w:rPr>
        <w:t>” means the U.S. Department of Treasury Office of Foreign Assets Control.</w:t>
      </w:r>
    </w:p>
    <w:p>
      <w:pPr>
        <w:spacing w:after="0" w:line="216"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OFAC Lists</w:t>
      </w:r>
      <w:r>
        <w:rPr>
          <w:rFonts w:ascii="Arial" w:cs="Arial" w:eastAsia="Arial" w:hAnsi="Arial"/>
          <w:sz w:val="19"/>
          <w:szCs w:val="19"/>
          <w:color w:val="auto"/>
        </w:rPr>
        <w:t>” means,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62" w:lineRule="exact"/>
        <w:rPr>
          <w:sz w:val="20"/>
          <w:szCs w:val="20"/>
          <w:color w:val="auto"/>
        </w:rPr>
      </w:pPr>
    </w:p>
    <w:p>
      <w:pPr>
        <w:jc w:val="both"/>
        <w:ind w:right="20" w:firstLine="864"/>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Ordinary Course of Business</w:t>
      </w:r>
      <w:r>
        <w:rPr>
          <w:rFonts w:ascii="Arial" w:cs="Arial" w:eastAsia="Arial" w:hAnsi="Arial"/>
          <w:sz w:val="19"/>
          <w:szCs w:val="19"/>
          <w:color w:val="auto"/>
        </w:rPr>
        <w:t>” means, in respect of any transaction involving any Credit Party, the ordinary course of business of such Credit Party, as conducted by such Credit Party in a manner consistent with past practices in all material respects.</w:t>
      </w:r>
    </w:p>
    <w:p>
      <w:pPr>
        <w:spacing w:after="0" w:line="142"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Organizational Documents</w:t>
      </w:r>
      <w:r>
        <w:rPr>
          <w:rFonts w:ascii="Arial" w:cs="Arial" w:eastAsia="Arial" w:hAnsi="Arial"/>
          <w:sz w:val="20"/>
          <w:szCs w:val="20"/>
          <w:color w:val="auto"/>
        </w:rPr>
        <w:t>” means, with respect to any Person other than a natural person, the documents by which such Person was organized (such as a certificate of incorporation, certificate of limited partnership or articles of organization, and including, without limitation, any certificates of designation for preferred stock or other forms of preferred equity) and which relate to the internal governance of such Person (such as by-laws, a partnership agreement or an operating agreement, joint venture agreement, limited liability company agreement or members agreement), including any and all shareholder agreements or voting agreements relating to the capital stock or other equity interests of such Person.</w:t>
      </w:r>
    </w:p>
    <w:p>
      <w:pPr>
        <w:spacing w:after="0" w:line="184"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Other Connection Taxes</w:t>
      </w:r>
      <w:r>
        <w:rPr>
          <w:rFonts w:ascii="Arial" w:cs="Arial" w:eastAsia="Arial" w:hAnsi="Arial"/>
          <w:sz w:val="20"/>
          <w:szCs w:val="20"/>
          <w:color w:val="auto"/>
        </w:rPr>
        <w:t>” means taxes imposed as a result of a present or former connection between Agent or any Lender and the jurisdiction imposing such tax (other than connections arising from Agent or such Lender having executed, delivered, become a party to, performed its obligations under,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1" w:name="page72"/>
    <w:bookmarkEnd w:id="71"/>
    <w:p>
      <w:pPr>
        <w:jc w:val="both"/>
        <w:spacing w:after="0" w:line="260" w:lineRule="auto"/>
        <w:rPr>
          <w:sz w:val="20"/>
          <w:szCs w:val="20"/>
          <w:color w:val="auto"/>
        </w:rPr>
      </w:pPr>
      <w:r>
        <w:rPr>
          <w:rFonts w:ascii="Arial" w:cs="Arial" w:eastAsia="Arial" w:hAnsi="Arial"/>
          <w:sz w:val="20"/>
          <w:szCs w:val="20"/>
          <w:color w:val="auto"/>
        </w:rPr>
        <w:t>received payments under, engaged in any other transaction pursuant to or enforced any Financing Document, or sold or assigned an interest in any Loans or any Financing Document).</w:t>
      </w:r>
    </w:p>
    <w:p>
      <w:pPr>
        <w:spacing w:after="0" w:line="171"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Other Taxes</w:t>
      </w:r>
      <w:r>
        <w:rPr>
          <w:rFonts w:ascii="Arial" w:cs="Arial" w:eastAsia="Arial" w:hAnsi="Arial"/>
          <w:sz w:val="19"/>
          <w:szCs w:val="19"/>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Financing Document, except any such taxes that are Other Connection Taxes imposed with respect to an assignment (other than an assignment made pursuant to Section 2.8(i)).</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Participant Register</w:t>
      </w:r>
      <w:r>
        <w:rPr>
          <w:rFonts w:ascii="Arial" w:cs="Arial" w:eastAsia="Arial" w:hAnsi="Arial"/>
          <w:sz w:val="20"/>
          <w:szCs w:val="20"/>
          <w:color w:val="auto"/>
        </w:rPr>
        <w:t>” has the meaning set forth in Section 11.17(a)(iii).</w:t>
      </w:r>
    </w:p>
    <w:p>
      <w:pPr>
        <w:spacing w:after="0" w:line="216"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Payment Account</w:t>
      </w:r>
      <w:r>
        <w:rPr>
          <w:rFonts w:ascii="Arial" w:cs="Arial" w:eastAsia="Arial" w:hAnsi="Arial"/>
          <w:sz w:val="20"/>
          <w:szCs w:val="20"/>
          <w:color w:val="auto"/>
        </w:rPr>
        <w:t>” means the account specified on the signature pages hereof into which all payments by or on behalf of each Borrower to Agent under the Financing Documents shall be made, or such other account as Agent shall from time to time specify by notice to Borrower Representative.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Payment Notification</w:t>
      </w:r>
      <w:r>
        <w:rPr>
          <w:rFonts w:ascii="Arial" w:cs="Arial" w:eastAsia="Arial" w:hAnsi="Arial"/>
          <w:sz w:val="20"/>
          <w:szCs w:val="20"/>
          <w:color w:val="auto"/>
        </w:rPr>
        <w:t xml:space="preserve">” means a written notification substantially in the form of </w:t>
      </w:r>
      <w:r>
        <w:rPr>
          <w:rFonts w:ascii="Arial" w:cs="Arial" w:eastAsia="Arial" w:hAnsi="Arial"/>
          <w:sz w:val="20"/>
          <w:szCs w:val="20"/>
          <w:u w:val="single" w:color="auto"/>
          <w:color w:val="auto"/>
        </w:rPr>
        <w:t>Exhibit G</w:t>
      </w:r>
      <w:r>
        <w:rPr>
          <w:rFonts w:ascii="Arial" w:cs="Arial" w:eastAsia="Arial" w:hAnsi="Arial"/>
          <w:sz w:val="20"/>
          <w:szCs w:val="20"/>
          <w:color w:val="auto"/>
        </w:rPr>
        <w:t xml:space="preserve"> hereto.</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means the Pension Benefit Guaranty Corporation and any Person succeeding to any or all of its functions under ERISA.</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Pension Plan</w:t>
      </w:r>
      <w:r>
        <w:rPr>
          <w:rFonts w:ascii="Arial" w:cs="Arial" w:eastAsia="Arial" w:hAnsi="Arial"/>
          <w:sz w:val="20"/>
          <w:szCs w:val="20"/>
          <w:color w:val="auto"/>
        </w:rPr>
        <w:t>” means any ERISA Plan that is subject to Section 412 of the Code or Title IV of ERISA.</w:t>
      </w:r>
    </w:p>
    <w:p>
      <w:pPr>
        <w:spacing w:after="0" w:line="216"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Perfection Certificate</w:t>
      </w:r>
      <w:r>
        <w:rPr>
          <w:rFonts w:ascii="Arial" w:cs="Arial" w:eastAsia="Arial" w:hAnsi="Arial"/>
          <w:sz w:val="20"/>
          <w:szCs w:val="20"/>
          <w:color w:val="auto"/>
        </w:rPr>
        <w:t>” means the Perfection Certificate delivered to Agent as of the Closing Date, together with any amendments thereto required under this Agreement.</w:t>
      </w:r>
    </w:p>
    <w:p>
      <w:pPr>
        <w:spacing w:after="0" w:line="163"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w:t>
      </w:r>
      <w:r>
        <w:rPr>
          <w:rFonts w:ascii="Arial" w:cs="Arial" w:eastAsia="Arial" w:hAnsi="Arial"/>
          <w:sz w:val="18"/>
          <w:szCs w:val="18"/>
          <w:color w:val="auto"/>
        </w:rPr>
        <w:t>” means all licenses, certificates, accreditations, product approvals, provider numbers or provider authorizations, supplier numbers, marketing authorizations, drug authorizations and approvals, other authorizations, registrations, permits, consents and approvals required under an applicable Law to be held by a Credit Party, and which are issued or required under Laws applicable to the business of Borrower or any of its Subsidiaries or necessary in the manufacturing, importing, exporting, possession, ownership, warehousing, marketing, promoting, sale, labeling, furnishing, distribution or delivery of goods or services under Laws applicable to the business of Borrower or any of its Subsidiaries. Without limiting the generality of the foregoing, “</w:t>
      </w:r>
      <w:r>
        <w:rPr>
          <w:rFonts w:ascii="Arial" w:cs="Arial" w:eastAsia="Arial" w:hAnsi="Arial"/>
          <w:sz w:val="18"/>
          <w:szCs w:val="18"/>
          <w:b w:val="1"/>
          <w:bCs w:val="1"/>
          <w:color w:val="auto"/>
        </w:rPr>
        <w:t>Permit</w:t>
      </w:r>
      <w:r>
        <w:rPr>
          <w:rFonts w:ascii="Arial" w:cs="Arial" w:eastAsia="Arial" w:hAnsi="Arial"/>
          <w:sz w:val="18"/>
          <w:szCs w:val="18"/>
          <w:color w:val="auto"/>
        </w:rPr>
        <w:t>” includes any Regulatory Required Permit.</w:t>
      </w:r>
    </w:p>
    <w:p>
      <w:pPr>
        <w:spacing w:after="0" w:line="160"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Asset Dispositions</w:t>
      </w:r>
      <w:r>
        <w:rPr>
          <w:rFonts w:ascii="Arial" w:cs="Arial" w:eastAsia="Arial" w:hAnsi="Arial"/>
          <w:sz w:val="20"/>
          <w:szCs w:val="20"/>
          <w:color w:val="auto"/>
        </w:rPr>
        <w:t xml:space="preserve">” means the following Asset Dispositions,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at the time of such Asset Disposition, no Default or Event of Default exists or would result from such Asset Disposition:</w:t>
      </w:r>
    </w:p>
    <w:p>
      <w:pPr>
        <w:spacing w:after="0" w:line="169" w:lineRule="exact"/>
        <w:rPr>
          <w:sz w:val="20"/>
          <w:szCs w:val="20"/>
          <w:color w:val="auto"/>
        </w:rPr>
      </w:pPr>
    </w:p>
    <w:p>
      <w:pPr>
        <w:ind w:left="2600" w:hanging="865"/>
        <w:spacing w:after="0"/>
        <w:tabs>
          <w:tab w:leader="none" w:pos="26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dispositions of Inventory in the Ordinary Course of Business and not pursuant to any bulk sale;</w:t>
      </w:r>
    </w:p>
    <w:p>
      <w:pPr>
        <w:spacing w:after="0" w:line="215" w:lineRule="exact"/>
        <w:rPr>
          <w:rFonts w:ascii="Arial" w:cs="Arial" w:eastAsia="Arial" w:hAnsi="Arial"/>
          <w:sz w:val="20"/>
          <w:szCs w:val="20"/>
          <w:color w:val="auto"/>
        </w:rPr>
      </w:pPr>
    </w:p>
    <w:p>
      <w:pPr>
        <w:jc w:val="both"/>
        <w:ind w:firstLine="1735"/>
        <w:spacing w:after="0" w:line="250" w:lineRule="auto"/>
        <w:tabs>
          <w:tab w:leader="none" w:pos="2606" w:val="left"/>
        </w:tabs>
        <w:numPr>
          <w:ilvl w:val="0"/>
          <w:numId w:val="38"/>
        </w:numPr>
        <w:rPr>
          <w:rFonts w:ascii="Arial" w:cs="Arial" w:eastAsia="Arial" w:hAnsi="Arial"/>
          <w:sz w:val="20"/>
          <w:szCs w:val="20"/>
          <w:color w:val="auto"/>
        </w:rPr>
      </w:pPr>
      <w:r>
        <w:rPr>
          <w:rFonts w:ascii="Arial" w:cs="Arial" w:eastAsia="Arial" w:hAnsi="Arial"/>
          <w:sz w:val="20"/>
          <w:szCs w:val="20"/>
          <w:color w:val="auto"/>
        </w:rPr>
        <w:t>dispositions of furniture, fixtures and equipment in the Ordinary Course of Business that the applicable Borrower or Subsidiary determines in good faith is no longer used or useful in, or is surplus to, the business of such Borrower and its Subsidiaries;</w:t>
      </w:r>
    </w:p>
    <w:p>
      <w:pPr>
        <w:spacing w:after="0" w:line="185" w:lineRule="exact"/>
        <w:rPr>
          <w:rFonts w:ascii="Arial" w:cs="Arial" w:eastAsia="Arial" w:hAnsi="Arial"/>
          <w:sz w:val="20"/>
          <w:szCs w:val="20"/>
          <w:color w:val="auto"/>
        </w:rPr>
      </w:pPr>
    </w:p>
    <w:p>
      <w:pPr>
        <w:ind w:left="2600" w:hanging="865"/>
        <w:spacing w:after="0"/>
        <w:tabs>
          <w:tab w:leader="none" w:pos="26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dispositions consisting of, or entry into, Permitted Licenses;</w:t>
      </w:r>
    </w:p>
    <w:p>
      <w:pPr>
        <w:spacing w:after="0" w:line="215" w:lineRule="exact"/>
        <w:rPr>
          <w:rFonts w:ascii="Arial" w:cs="Arial" w:eastAsia="Arial" w:hAnsi="Arial"/>
          <w:sz w:val="20"/>
          <w:szCs w:val="20"/>
          <w:color w:val="auto"/>
        </w:rPr>
      </w:pPr>
    </w:p>
    <w:p>
      <w:pPr>
        <w:ind w:firstLine="1735"/>
        <w:spacing w:after="0" w:line="260" w:lineRule="auto"/>
        <w:tabs>
          <w:tab w:leader="none" w:pos="2606" w:val="left"/>
        </w:tabs>
        <w:numPr>
          <w:ilvl w:val="0"/>
          <w:numId w:val="38"/>
        </w:numPr>
        <w:rPr>
          <w:rFonts w:ascii="Arial" w:cs="Arial" w:eastAsia="Arial" w:hAnsi="Arial"/>
          <w:sz w:val="20"/>
          <w:szCs w:val="20"/>
          <w:color w:val="auto"/>
        </w:rPr>
      </w:pPr>
      <w:r>
        <w:rPr>
          <w:rFonts w:ascii="Arial" w:cs="Arial" w:eastAsia="Arial" w:hAnsi="Arial"/>
          <w:sz w:val="20"/>
          <w:szCs w:val="20"/>
          <w:color w:val="auto"/>
        </w:rPr>
        <w:t>dispositions of obsolete or worn out furniture, fixtures and equipment, whether now owned or hereafter acquired, in the Ordinary Course of Business;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72" w:name="page73"/>
    <w:bookmarkEnd w:id="72"/>
    <w:p>
      <w:pPr>
        <w:ind w:left="2600" w:hanging="865"/>
        <w:spacing w:after="0"/>
        <w:tabs>
          <w:tab w:leader="none" w:pos="26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dispositions approved in writing by Agent;</w:t>
      </w:r>
    </w:p>
    <w:p>
      <w:pPr>
        <w:spacing w:after="0" w:line="215" w:lineRule="exact"/>
        <w:rPr>
          <w:rFonts w:ascii="Arial" w:cs="Arial" w:eastAsia="Arial" w:hAnsi="Arial"/>
          <w:sz w:val="20"/>
          <w:szCs w:val="20"/>
          <w:color w:val="auto"/>
        </w:rPr>
      </w:pPr>
    </w:p>
    <w:p>
      <w:pPr>
        <w:ind w:firstLine="1735"/>
        <w:spacing w:after="0" w:line="260" w:lineRule="auto"/>
        <w:tabs>
          <w:tab w:leader="none" w:pos="2573"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abandonment in the Ordinary Course of Business of Intellectual Property (other than Material Intangible Assets) that is no longer used or useful to Borrowers or their Subsidiaries;</w:t>
      </w:r>
    </w:p>
    <w:p>
      <w:pPr>
        <w:spacing w:after="0" w:line="176" w:lineRule="exact"/>
        <w:rPr>
          <w:rFonts w:ascii="Arial" w:cs="Arial" w:eastAsia="Arial" w:hAnsi="Arial"/>
          <w:sz w:val="20"/>
          <w:szCs w:val="20"/>
          <w:color w:val="auto"/>
        </w:rPr>
      </w:pPr>
    </w:p>
    <w:p>
      <w:pPr>
        <w:ind w:firstLine="1735"/>
        <w:spacing w:after="0" w:line="260" w:lineRule="auto"/>
        <w:tabs>
          <w:tab w:leader="none" w:pos="2606" w:val="left"/>
        </w:tabs>
        <w:numPr>
          <w:ilvl w:val="0"/>
          <w:numId w:val="39"/>
        </w:numPr>
        <w:rPr>
          <w:rFonts w:ascii="Arial" w:cs="Arial" w:eastAsia="Arial" w:hAnsi="Arial"/>
          <w:sz w:val="20"/>
          <w:szCs w:val="20"/>
          <w:color w:val="auto"/>
        </w:rPr>
      </w:pPr>
      <w:r>
        <w:rPr>
          <w:rFonts w:ascii="Arial" w:cs="Arial" w:eastAsia="Arial" w:hAnsi="Arial"/>
          <w:sz w:val="20"/>
          <w:szCs w:val="20"/>
          <w:color w:val="auto"/>
        </w:rPr>
        <w:t>dispositions of Accounts to a third party in connection with the compromise, settlement or collection thereof in the Ordinary Course of Business exclusive of factoring or similar arrangements;</w:t>
      </w:r>
    </w:p>
    <w:p>
      <w:pPr>
        <w:spacing w:after="0" w:line="176" w:lineRule="exact"/>
        <w:rPr>
          <w:rFonts w:ascii="Arial" w:cs="Arial" w:eastAsia="Arial" w:hAnsi="Arial"/>
          <w:sz w:val="20"/>
          <w:szCs w:val="20"/>
          <w:color w:val="auto"/>
        </w:rPr>
      </w:pPr>
    </w:p>
    <w:p>
      <w:pPr>
        <w:ind w:left="2620" w:hanging="885"/>
        <w:spacing w:after="0"/>
        <w:tabs>
          <w:tab w:leader="none" w:pos="26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termination of Swap Contracts in the Ordinary Course of Business;</w:t>
      </w:r>
    </w:p>
    <w:p>
      <w:pPr>
        <w:spacing w:after="0" w:line="215" w:lineRule="exact"/>
        <w:rPr>
          <w:rFonts w:ascii="Arial" w:cs="Arial" w:eastAsia="Arial" w:hAnsi="Arial"/>
          <w:sz w:val="20"/>
          <w:szCs w:val="20"/>
          <w:color w:val="auto"/>
        </w:rPr>
      </w:pPr>
    </w:p>
    <w:p>
      <w:pPr>
        <w:ind w:left="2580" w:hanging="845"/>
        <w:spacing w:after="0"/>
        <w:tabs>
          <w:tab w:leader="none" w:pos="25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each Permitted Royalty Stream Disposition; and</w:t>
      </w:r>
    </w:p>
    <w:p>
      <w:pPr>
        <w:spacing w:after="0" w:line="215" w:lineRule="exact"/>
        <w:rPr>
          <w:rFonts w:ascii="Arial" w:cs="Arial" w:eastAsia="Arial" w:hAnsi="Arial"/>
          <w:sz w:val="20"/>
          <w:szCs w:val="20"/>
          <w:color w:val="auto"/>
        </w:rPr>
      </w:pPr>
    </w:p>
    <w:p>
      <w:pPr>
        <w:jc w:val="both"/>
        <w:ind w:firstLine="1735"/>
        <w:spacing w:after="0" w:line="259" w:lineRule="auto"/>
        <w:tabs>
          <w:tab w:leader="none" w:pos="2562" w:val="left"/>
        </w:tabs>
        <w:numPr>
          <w:ilvl w:val="0"/>
          <w:numId w:val="39"/>
        </w:numPr>
        <w:rPr>
          <w:rFonts w:ascii="Arial" w:cs="Arial" w:eastAsia="Arial" w:hAnsi="Arial"/>
          <w:sz w:val="19"/>
          <w:szCs w:val="19"/>
          <w:color w:val="auto"/>
        </w:rPr>
      </w:pPr>
      <w:r>
        <w:rPr>
          <w:rFonts w:ascii="Arial" w:cs="Arial" w:eastAsia="Arial" w:hAnsi="Arial"/>
          <w:sz w:val="19"/>
          <w:szCs w:val="19"/>
          <w:color w:val="auto"/>
        </w:rPr>
        <w:t>dispositions of assets other than those described in clauses (a) through (i) above for cash at fair value if all of the following conditions are met: (i) the assets are not Intellectual Property, Royalties or Royalty Agreements, (ii) the applicable Borrower or Subsidiary determines in good faith is no longer used or useful in the business of such Borrower and its Subsidiaries, (iii) the market value of assets sold or otherwise disposed of in any single transaction or series of related transactions does not exceed $250,000 and the aggregate market value of the assets sold or otherwise disposed of in any fiscal year does not exceed $500,000 and (iv) the net cash proceeds of such disposition are applied to the extent required by Section 2.1(a)(ii)(B)(iii).</w:t>
      </w:r>
    </w:p>
    <w:p>
      <w:pPr>
        <w:spacing w:after="0" w:line="172"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Contest</w:t>
      </w:r>
      <w:r>
        <w:rPr>
          <w:rFonts w:ascii="Arial" w:cs="Arial" w:eastAsia="Arial" w:hAnsi="Arial"/>
          <w:sz w:val="18"/>
          <w:szCs w:val="18"/>
          <w:color w:val="auto"/>
        </w:rPr>
        <w:t xml:space="preserve">” means, with respect to any tax obligation or other obligation allegedly or potentially owing from any Borrower or its Subsidiary to any governmental tax authority or other third party, a contest maintained in good faith by appropriate proceedings promptly instituted and diligently conducted and with respect to which such reserve or other appropriate provision, if any, as shall be required in conformity with GAAP shall have been made on the books and records and financial statements of the applicable Credit Party(ies);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compliance with the obligation that is the subject of such contest is effectively stayed during such challenge; (b) Borrowers’ and their Subsidiaries’ title to, and its right to use, the Collateral is not adversely affected thereby and Agent’s Lien and priority on the Collateral are not adversely affected, altered or impaired thereby; (c) Borrowers have given Agent notice of the commencement of such contest and upon request by Agent, from time to time, notice of the status of such contest by Borrowers and/or confirmation of the continuing satisfaction of this definition; (d) the Collateral or any part thereof or any interest therein shall not be in any danger of being sold, forfeited or lost by reason of such contest by Borrowers or their Subsidiaries; and (e) upon a final determination of such contest, Borrowers and their Subsidiaries shall promptly comply with the requirements thereof.</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Contingent Obligations</w:t>
      </w:r>
      <w:r>
        <w:rPr>
          <w:rFonts w:ascii="Arial" w:cs="Arial" w:eastAsia="Arial" w:hAnsi="Arial"/>
          <w:sz w:val="20"/>
          <w:szCs w:val="20"/>
          <w:color w:val="auto"/>
        </w:rPr>
        <w:t>” means</w:t>
      </w:r>
    </w:p>
    <w:p>
      <w:pPr>
        <w:spacing w:after="0" w:line="222" w:lineRule="exact"/>
        <w:rPr>
          <w:sz w:val="20"/>
          <w:szCs w:val="20"/>
          <w:color w:val="auto"/>
        </w:rPr>
      </w:pPr>
    </w:p>
    <w:p>
      <w:pPr>
        <w:jc w:val="both"/>
        <w:ind w:firstLine="1735"/>
        <w:spacing w:after="0" w:line="282" w:lineRule="auto"/>
        <w:tabs>
          <w:tab w:leader="none" w:pos="25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Contingent Obligations arising in respect of the Debt under the Financing Documents or with respect to other Permitted Debt (other than pursuant to clause (k) of the definition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any such Contingent Obligation is subordinated to the Obligations to the same extent as the Debt to which it relates is subordinated to the Obligations and (ii) no Credit Party may incur Contingent Obligations under this clause (a) in respect of Debt incurred by any Person that is not a Borrower or Guarantor;</w:t>
      </w:r>
    </w:p>
    <w:p>
      <w:pPr>
        <w:spacing w:after="0" w:line="161" w:lineRule="exact"/>
        <w:rPr>
          <w:rFonts w:ascii="Arial" w:cs="Arial" w:eastAsia="Arial" w:hAnsi="Arial"/>
          <w:sz w:val="18"/>
          <w:szCs w:val="18"/>
          <w:color w:val="auto"/>
        </w:rPr>
      </w:pPr>
    </w:p>
    <w:p>
      <w:pPr>
        <w:ind w:left="2620" w:hanging="885"/>
        <w:spacing w:after="0"/>
        <w:tabs>
          <w:tab w:leader="none" w:pos="2620" w:val="left"/>
        </w:tabs>
        <w:numPr>
          <w:ilvl w:val="0"/>
          <w:numId w:val="40"/>
        </w:numPr>
        <w:rPr>
          <w:rFonts w:ascii="Arial" w:cs="Arial" w:eastAsia="Arial" w:hAnsi="Arial"/>
          <w:sz w:val="19"/>
          <w:szCs w:val="19"/>
          <w:color w:val="auto"/>
        </w:rPr>
      </w:pPr>
      <w:r>
        <w:rPr>
          <w:rFonts w:ascii="Arial" w:cs="Arial" w:eastAsia="Arial" w:hAnsi="Arial"/>
          <w:sz w:val="19"/>
          <w:szCs w:val="19"/>
          <w:color w:val="auto"/>
        </w:rPr>
        <w:t>Contingent Obligations resulting from endorsements for collection or deposit in the Ordinary Course of</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Business;</w:t>
      </w:r>
    </w:p>
    <w:p>
      <w:pPr>
        <w:spacing w:after="0" w:line="199" w:lineRule="exact"/>
        <w:rPr>
          <w:rFonts w:ascii="Arial" w:cs="Arial" w:eastAsia="Arial" w:hAnsi="Arial"/>
          <w:sz w:val="19"/>
          <w:szCs w:val="19"/>
          <w:color w:val="auto"/>
        </w:rPr>
      </w:pPr>
    </w:p>
    <w:p>
      <w:pPr>
        <w:ind w:left="2600" w:hanging="865"/>
        <w:spacing w:after="0"/>
        <w:tabs>
          <w:tab w:leader="none" w:pos="26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Contingent Obligations outstanding on the Closing Date and set forth on Schedule 5.1 (including any</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Permitted Refinancings thereof);</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73" w:name="page74"/>
    <w:bookmarkEnd w:id="73"/>
    <w:p>
      <w:pPr>
        <w:ind w:firstLine="1735"/>
        <w:spacing w:after="0" w:line="287" w:lineRule="auto"/>
        <w:tabs>
          <w:tab w:leader="none" w:pos="2606" w:val="left"/>
        </w:tabs>
        <w:numPr>
          <w:ilvl w:val="0"/>
          <w:numId w:val="41"/>
        </w:numPr>
        <w:rPr>
          <w:rFonts w:ascii="Arial" w:cs="Arial" w:eastAsia="Arial" w:hAnsi="Arial"/>
          <w:sz w:val="19"/>
          <w:szCs w:val="19"/>
          <w:color w:val="auto"/>
        </w:rPr>
      </w:pPr>
      <w:r>
        <w:rPr>
          <w:rFonts w:ascii="Arial" w:cs="Arial" w:eastAsia="Arial" w:hAnsi="Arial"/>
          <w:sz w:val="19"/>
          <w:szCs w:val="19"/>
          <w:color w:val="auto"/>
        </w:rPr>
        <w:t>Contingent Obligations incurred in the Ordinary Course of Business with respect to surety and appeal bonds, performance bonds and other similar obligations not to exceed $250,000 in the aggregate at any time outstanding;</w:t>
      </w:r>
    </w:p>
    <w:p>
      <w:pPr>
        <w:spacing w:after="0" w:line="152" w:lineRule="exact"/>
        <w:rPr>
          <w:rFonts w:ascii="Arial" w:cs="Arial" w:eastAsia="Arial" w:hAnsi="Arial"/>
          <w:sz w:val="19"/>
          <w:szCs w:val="19"/>
          <w:color w:val="auto"/>
        </w:rPr>
      </w:pPr>
    </w:p>
    <w:p>
      <w:pPr>
        <w:ind w:left="2600" w:hanging="865"/>
        <w:spacing w:after="0"/>
        <w:tabs>
          <w:tab w:leader="none" w:pos="2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Contingent Obligations arising under indemnity agreements with title insurers to cause such title insurers to</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issue title insurance policies;</w:t>
      </w:r>
    </w:p>
    <w:p>
      <w:pPr>
        <w:spacing w:after="0" w:line="199" w:lineRule="exact"/>
        <w:rPr>
          <w:rFonts w:ascii="Arial" w:cs="Arial" w:eastAsia="Arial" w:hAnsi="Arial"/>
          <w:sz w:val="18"/>
          <w:szCs w:val="18"/>
          <w:color w:val="auto"/>
        </w:rPr>
      </w:pPr>
    </w:p>
    <w:p>
      <w:pPr>
        <w:ind w:right="20" w:firstLine="1735"/>
        <w:spacing w:after="0" w:line="260" w:lineRule="auto"/>
        <w:tabs>
          <w:tab w:leader="none" w:pos="2573" w:val="left"/>
        </w:tabs>
        <w:numPr>
          <w:ilvl w:val="0"/>
          <w:numId w:val="41"/>
        </w:numPr>
        <w:rPr>
          <w:rFonts w:ascii="Arial" w:cs="Arial" w:eastAsia="Arial" w:hAnsi="Arial"/>
          <w:sz w:val="20"/>
          <w:szCs w:val="20"/>
          <w:color w:val="auto"/>
        </w:rPr>
      </w:pPr>
      <w:r>
        <w:rPr>
          <w:rFonts w:ascii="Arial" w:cs="Arial" w:eastAsia="Arial" w:hAnsi="Arial"/>
          <w:sz w:val="20"/>
          <w:szCs w:val="20"/>
          <w:color w:val="auto"/>
        </w:rPr>
        <w:t>Contingent Obligations arising with respect to customary indemnification obligations in favor of purchasers in connection with dispositions of personal property assets permitted under Section 5.6;</w:t>
      </w:r>
    </w:p>
    <w:p>
      <w:pPr>
        <w:spacing w:after="0" w:line="176" w:lineRule="exact"/>
        <w:rPr>
          <w:rFonts w:ascii="Arial" w:cs="Arial" w:eastAsia="Arial" w:hAnsi="Arial"/>
          <w:sz w:val="20"/>
          <w:szCs w:val="20"/>
          <w:color w:val="auto"/>
        </w:rPr>
      </w:pPr>
    </w:p>
    <w:p>
      <w:pPr>
        <w:jc w:val="both"/>
        <w:ind w:firstLine="1735"/>
        <w:spacing w:after="0" w:line="282" w:lineRule="auto"/>
        <w:tabs>
          <w:tab w:leader="none" w:pos="2606" w:val="left"/>
        </w:tabs>
        <w:numPr>
          <w:ilvl w:val="0"/>
          <w:numId w:val="41"/>
        </w:numPr>
        <w:rPr>
          <w:rFonts w:ascii="Arial" w:cs="Arial" w:eastAsia="Arial" w:hAnsi="Arial"/>
          <w:sz w:val="18"/>
          <w:szCs w:val="18"/>
          <w:color w:val="auto"/>
        </w:rPr>
      </w:pPr>
      <w:r>
        <w:rPr>
          <w:rFonts w:ascii="Arial" w:cs="Arial" w:eastAsia="Arial" w:hAnsi="Arial"/>
          <w:sz w:val="18"/>
          <w:szCs w:val="18"/>
          <w:color w:val="auto"/>
        </w:rPr>
        <w:t>so long as there exists no Event of Default both immediately before and immediately after giving effect to any such transaction, Contingent Obligations existing or arising under any Swap Contract, provided, however, that such obligations are (or were) entered into by Borrower or an Affiliate in the Ordinary Course of Business for the purpose of directly mitigating risks associated with liabilities, commitments, investments, assets, or property held or reasonably anticipated by such Person and not for purposes of speculation;</w:t>
      </w:r>
    </w:p>
    <w:p>
      <w:pPr>
        <w:spacing w:after="0" w:line="161" w:lineRule="exact"/>
        <w:rPr>
          <w:rFonts w:ascii="Arial" w:cs="Arial" w:eastAsia="Arial" w:hAnsi="Arial"/>
          <w:sz w:val="18"/>
          <w:szCs w:val="18"/>
          <w:color w:val="auto"/>
        </w:rPr>
      </w:pPr>
    </w:p>
    <w:p>
      <w:pPr>
        <w:jc w:val="both"/>
        <w:ind w:firstLine="1735"/>
        <w:spacing w:after="0" w:line="282" w:lineRule="auto"/>
        <w:tabs>
          <w:tab w:leader="none" w:pos="2606"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Contingent Obligations of Borrower, incurred during the Wells Fargo LC Period under or pursuant to the Wells Fargo Standby Letter of Credit Agreement in respect of the Wells Fargo Letters of Credit;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of such Contingent Obligations shall not, at any time, when combined with the Debt set forth in clause (i) of the definition of “Permitted Debt”, exceed (i) $3,000,000 at any time on or prior to December 31, 2021, or (ii) $0 at any time after December 31, 2021; and</w:t>
      </w:r>
    </w:p>
    <w:p>
      <w:pPr>
        <w:spacing w:after="0" w:line="161" w:lineRule="exact"/>
        <w:rPr>
          <w:rFonts w:ascii="Arial" w:cs="Arial" w:eastAsia="Arial" w:hAnsi="Arial"/>
          <w:sz w:val="18"/>
          <w:szCs w:val="18"/>
          <w:color w:val="auto"/>
        </w:rPr>
      </w:pPr>
    </w:p>
    <w:p>
      <w:pPr>
        <w:ind w:firstLine="1735"/>
        <w:spacing w:after="0" w:line="260" w:lineRule="auto"/>
        <w:tabs>
          <w:tab w:leader="none" w:pos="2562" w:val="left"/>
        </w:tabs>
        <w:numPr>
          <w:ilvl w:val="0"/>
          <w:numId w:val="41"/>
        </w:numPr>
        <w:rPr>
          <w:rFonts w:ascii="Arial" w:cs="Arial" w:eastAsia="Arial" w:hAnsi="Arial"/>
          <w:sz w:val="20"/>
          <w:szCs w:val="20"/>
          <w:color w:val="auto"/>
        </w:rPr>
      </w:pPr>
      <w:r>
        <w:rPr>
          <w:rFonts w:ascii="Arial" w:cs="Arial" w:eastAsia="Arial" w:hAnsi="Arial"/>
          <w:sz w:val="20"/>
          <w:szCs w:val="20"/>
          <w:color w:val="auto"/>
        </w:rPr>
        <w:t>other Contingent Obligations not permitted by clauses (a) through (h) above, not to exceed $250,000 in the aggregate at any time outstanding.</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Debt</w:t>
      </w:r>
      <w:r>
        <w:rPr>
          <w:rFonts w:ascii="Arial" w:cs="Arial" w:eastAsia="Arial" w:hAnsi="Arial"/>
          <w:sz w:val="20"/>
          <w:szCs w:val="20"/>
          <w:color w:val="auto"/>
        </w:rPr>
        <w:t>” means:</w:t>
      </w:r>
    </w:p>
    <w:p>
      <w:pPr>
        <w:spacing w:after="0" w:line="222" w:lineRule="exact"/>
        <w:rPr>
          <w:sz w:val="20"/>
          <w:szCs w:val="20"/>
          <w:color w:val="auto"/>
        </w:rPr>
      </w:pPr>
    </w:p>
    <w:p>
      <w:pPr>
        <w:ind w:left="2600" w:hanging="865"/>
        <w:spacing w:after="0"/>
        <w:tabs>
          <w:tab w:leader="none" w:pos="2600" w:val="left"/>
        </w:tabs>
        <w:numPr>
          <w:ilvl w:val="0"/>
          <w:numId w:val="42"/>
        </w:numPr>
        <w:rPr>
          <w:rFonts w:ascii="Arial" w:cs="Arial" w:eastAsia="Arial" w:hAnsi="Arial"/>
          <w:sz w:val="19"/>
          <w:szCs w:val="19"/>
          <w:color w:val="auto"/>
        </w:rPr>
      </w:pPr>
      <w:r>
        <w:rPr>
          <w:rFonts w:ascii="Arial" w:cs="Arial" w:eastAsia="Arial" w:hAnsi="Arial"/>
          <w:sz w:val="19"/>
          <w:szCs w:val="19"/>
          <w:color w:val="auto"/>
        </w:rPr>
        <w:t>Borrowers’ and their Subsidiaries’ Debt to Agent and each Lender under this Agreement and the other</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Financing Documents;</w:t>
      </w:r>
    </w:p>
    <w:p>
      <w:pPr>
        <w:spacing w:after="0" w:line="199" w:lineRule="exact"/>
        <w:rPr>
          <w:rFonts w:ascii="Arial" w:cs="Arial" w:eastAsia="Arial" w:hAnsi="Arial"/>
          <w:sz w:val="19"/>
          <w:szCs w:val="19"/>
          <w:color w:val="auto"/>
        </w:rPr>
      </w:pPr>
    </w:p>
    <w:p>
      <w:pPr>
        <w:ind w:left="2620" w:hanging="885"/>
        <w:spacing w:after="0"/>
        <w:tabs>
          <w:tab w:leader="none" w:pos="2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Debt incurred as a result of endorsing negotiable instruments received in the Ordinary Course of Business;</w:t>
      </w:r>
    </w:p>
    <w:p>
      <w:pPr>
        <w:spacing w:after="0" w:line="238" w:lineRule="exact"/>
        <w:rPr>
          <w:rFonts w:ascii="Arial" w:cs="Arial" w:eastAsia="Arial" w:hAnsi="Arial"/>
          <w:sz w:val="18"/>
          <w:szCs w:val="18"/>
          <w:color w:val="auto"/>
        </w:rPr>
      </w:pPr>
    </w:p>
    <w:p>
      <w:pPr>
        <w:ind w:firstLine="1735"/>
        <w:spacing w:after="0" w:line="287" w:lineRule="auto"/>
        <w:tabs>
          <w:tab w:leader="none" w:pos="2595" w:val="left"/>
        </w:tabs>
        <w:numPr>
          <w:ilvl w:val="0"/>
          <w:numId w:val="42"/>
        </w:numPr>
        <w:rPr>
          <w:rFonts w:ascii="Arial" w:cs="Arial" w:eastAsia="Arial" w:hAnsi="Arial"/>
          <w:sz w:val="19"/>
          <w:szCs w:val="19"/>
          <w:color w:val="auto"/>
        </w:rPr>
      </w:pPr>
      <w:r>
        <w:rPr>
          <w:rFonts w:ascii="Arial" w:cs="Arial" w:eastAsia="Arial" w:hAnsi="Arial"/>
          <w:sz w:val="19"/>
          <w:szCs w:val="19"/>
          <w:color w:val="auto"/>
        </w:rPr>
        <w:t>purchase money Debt and capital leases not to exceed $1,000,000 at any time (whether in the form of a loan or a lease) used solely to acquire equipment used in the Ordinary Course of Business and secured only by such equipment;</w:t>
      </w:r>
    </w:p>
    <w:p>
      <w:pPr>
        <w:spacing w:after="0" w:line="152" w:lineRule="exact"/>
        <w:rPr>
          <w:rFonts w:ascii="Arial" w:cs="Arial" w:eastAsia="Arial" w:hAnsi="Arial"/>
          <w:sz w:val="19"/>
          <w:szCs w:val="19"/>
          <w:color w:val="auto"/>
        </w:rPr>
      </w:pPr>
    </w:p>
    <w:p>
      <w:pPr>
        <w:ind w:left="2620" w:hanging="885"/>
        <w:spacing w:after="0"/>
        <w:tabs>
          <w:tab w:leader="none" w:pos="2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Debt existing on the Closing Date and described on Schedule 5.1 (including any Permitted Refinancings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thereof);</w:t>
      </w:r>
    </w:p>
    <w:p>
      <w:pPr>
        <w:spacing w:after="0" w:line="199" w:lineRule="exact"/>
        <w:rPr>
          <w:rFonts w:ascii="Arial" w:cs="Arial" w:eastAsia="Arial" w:hAnsi="Arial"/>
          <w:sz w:val="18"/>
          <w:szCs w:val="18"/>
          <w:color w:val="auto"/>
        </w:rPr>
      </w:pPr>
    </w:p>
    <w:p>
      <w:pPr>
        <w:jc w:val="both"/>
        <w:ind w:firstLine="1735"/>
        <w:spacing w:after="0" w:line="282" w:lineRule="auto"/>
        <w:tabs>
          <w:tab w:leader="none" w:pos="25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so long as there exists no Event of Default both immediately before and immediately after giving effect to any such transaction, Debt existing or arising under any Swap Contract,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obligations are (or were) entered into by Borrower or an Affiliate in the Ordinary Course of Business for the purpose of directly mitigating risks associated with liabilities, commitments, investments, assets, or property held or reasonably anticipated by such Person and not for purposes of speculation;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74" w:name="page75"/>
    <w:bookmarkEnd w:id="74"/>
    <w:p>
      <w:pPr>
        <w:jc w:val="both"/>
        <w:ind w:firstLine="1735"/>
        <w:spacing w:after="0" w:line="246" w:lineRule="auto"/>
        <w:tabs>
          <w:tab w:leader="none" w:pos="2573" w:val="left"/>
        </w:tabs>
        <w:numPr>
          <w:ilvl w:val="1"/>
          <w:numId w:val="43"/>
        </w:numPr>
        <w:rPr>
          <w:rFonts w:ascii="Arial" w:cs="Arial" w:eastAsia="Arial" w:hAnsi="Arial"/>
          <w:sz w:val="20"/>
          <w:szCs w:val="20"/>
          <w:color w:val="auto"/>
        </w:rPr>
      </w:pPr>
      <w:r>
        <w:rPr>
          <w:rFonts w:ascii="Arial" w:cs="Arial" w:eastAsia="Arial" w:hAnsi="Arial"/>
          <w:sz w:val="20"/>
          <w:szCs w:val="20"/>
          <w:color w:val="auto"/>
        </w:rPr>
        <w:t>Debt owed to any Person providing property, casualty, liability, or other insurance to the Credit Parties, including to finance insurance premiums, so long as the amount of such Debt is not in excess of the amount of the unpaid cost of, and shall be incurred only to defer the cost of, such insurance for the policy year in which such Debt is incurred and such Debt is outstanding only during such policy year;</w:t>
      </w:r>
    </w:p>
    <w:p>
      <w:pPr>
        <w:spacing w:after="0" w:line="191" w:lineRule="exact"/>
        <w:rPr>
          <w:rFonts w:ascii="Arial" w:cs="Arial" w:eastAsia="Arial" w:hAnsi="Arial"/>
          <w:sz w:val="20"/>
          <w:szCs w:val="20"/>
          <w:color w:val="auto"/>
        </w:rPr>
      </w:pPr>
    </w:p>
    <w:p>
      <w:pPr>
        <w:ind w:right="20" w:firstLine="1735"/>
        <w:spacing w:after="0" w:line="260" w:lineRule="auto"/>
        <w:tabs>
          <w:tab w:leader="none" w:pos="2606" w:val="left"/>
        </w:tabs>
        <w:numPr>
          <w:ilvl w:val="1"/>
          <w:numId w:val="43"/>
        </w:numPr>
        <w:rPr>
          <w:rFonts w:ascii="Arial" w:cs="Arial" w:eastAsia="Arial" w:hAnsi="Arial"/>
          <w:sz w:val="20"/>
          <w:szCs w:val="20"/>
          <w:color w:val="auto"/>
        </w:rPr>
      </w:pPr>
      <w:r>
        <w:rPr>
          <w:rFonts w:ascii="Arial" w:cs="Arial" w:eastAsia="Arial" w:hAnsi="Arial"/>
          <w:sz w:val="20"/>
          <w:szCs w:val="20"/>
          <w:color w:val="auto"/>
        </w:rPr>
        <w:t>trade accounts payable arising and which do not remain unpaid more than ninety (90) days past the invoice date and in the Ordinary Course of Business, or which are the subject of a Permitted Contest;</w:t>
      </w:r>
    </w:p>
    <w:p>
      <w:pPr>
        <w:spacing w:after="0" w:line="176" w:lineRule="exact"/>
        <w:rPr>
          <w:rFonts w:ascii="Arial" w:cs="Arial" w:eastAsia="Arial" w:hAnsi="Arial"/>
          <w:sz w:val="20"/>
          <w:szCs w:val="20"/>
          <w:color w:val="auto"/>
        </w:rPr>
      </w:pPr>
    </w:p>
    <w:p>
      <w:pPr>
        <w:jc w:val="both"/>
        <w:ind w:firstLine="1735"/>
        <w:spacing w:after="0" w:line="246" w:lineRule="auto"/>
        <w:tabs>
          <w:tab w:leader="none" w:pos="2606" w:val="left"/>
        </w:tabs>
        <w:numPr>
          <w:ilvl w:val="1"/>
          <w:numId w:val="43"/>
        </w:numPr>
        <w:rPr>
          <w:rFonts w:ascii="Arial" w:cs="Arial" w:eastAsia="Arial" w:hAnsi="Arial"/>
          <w:sz w:val="20"/>
          <w:szCs w:val="20"/>
          <w:color w:val="auto"/>
        </w:rPr>
      </w:pPr>
      <w:r>
        <w:rPr>
          <w:rFonts w:ascii="Arial" w:cs="Arial" w:eastAsia="Arial" w:hAnsi="Arial"/>
          <w:sz w:val="20"/>
          <w:szCs w:val="20"/>
          <w:color w:val="auto"/>
        </w:rPr>
        <w:t>without limiting the provisions of Section 5.7 with respect to any Investment by a Credit Party, Debt consisting of unsecured intercompany loans and advances (i) incurred by any Borrower owing to one or more other Borrowers, or (ii) incurred by any Excluded Foreign Subsidiary owing to any Borrower in an aggregate amount for all Excluded Foreign Subsidiaries not to exceed $100,000 incurred in any fiscal year;</w:t>
      </w:r>
    </w:p>
    <w:p>
      <w:pPr>
        <w:spacing w:after="0" w:line="191" w:lineRule="exact"/>
        <w:rPr>
          <w:rFonts w:ascii="Arial" w:cs="Arial" w:eastAsia="Arial" w:hAnsi="Arial"/>
          <w:sz w:val="20"/>
          <w:szCs w:val="20"/>
          <w:color w:val="auto"/>
        </w:rPr>
      </w:pPr>
    </w:p>
    <w:p>
      <w:pPr>
        <w:jc w:val="both"/>
        <w:ind w:firstLine="1735"/>
        <w:spacing w:after="0" w:line="272" w:lineRule="auto"/>
        <w:tabs>
          <w:tab w:leader="none" w:pos="2562"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Debt of Borrower incurred during the Wells Fargo LC Period under or pursuant to the Wells Fargo Standby Letter of Credit Agreement in respect of the Wells Fargo Letters of Credit,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of such Debt shall not, at any time, when combined with the Contingent Obligations set forth in clause (h) of the definition of “Permitted Contingent Obligations”, exceed</w:t>
      </w:r>
    </w:p>
    <w:p>
      <w:pPr>
        <w:ind w:left="240" w:hanging="232"/>
        <w:spacing w:after="0"/>
        <w:tabs>
          <w:tab w:leader="none" w:pos="2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$3,000,000 at any time on or prior to December 31, 2021, or (ii) $0 at any time after December 31, 2021;</w:t>
      </w:r>
    </w:p>
    <w:p>
      <w:pPr>
        <w:spacing w:after="0" w:line="199" w:lineRule="exact"/>
        <w:rPr>
          <w:rFonts w:ascii="Arial" w:cs="Arial" w:eastAsia="Arial" w:hAnsi="Arial"/>
          <w:sz w:val="20"/>
          <w:szCs w:val="20"/>
          <w:color w:val="auto"/>
        </w:rPr>
      </w:pPr>
    </w:p>
    <w:p>
      <w:pPr>
        <w:ind w:left="2580" w:hanging="845"/>
        <w:spacing w:after="0"/>
        <w:tabs>
          <w:tab w:leader="none" w:pos="2580" w:val="left"/>
        </w:tabs>
        <w:numPr>
          <w:ilvl w:val="1"/>
          <w:numId w:val="44"/>
        </w:numPr>
        <w:rPr>
          <w:rFonts w:ascii="Arial" w:cs="Arial" w:eastAsia="Arial" w:hAnsi="Arial"/>
          <w:sz w:val="20"/>
          <w:szCs w:val="20"/>
          <w:color w:val="auto"/>
        </w:rPr>
      </w:pPr>
      <w:r>
        <w:rPr>
          <w:rFonts w:ascii="Arial" w:cs="Arial" w:eastAsia="Arial" w:hAnsi="Arial"/>
          <w:sz w:val="20"/>
          <w:szCs w:val="20"/>
          <w:color w:val="auto"/>
        </w:rPr>
        <w:t>any Subordinated Debt;</w:t>
      </w:r>
    </w:p>
    <w:p>
      <w:pPr>
        <w:spacing w:after="0" w:line="215" w:lineRule="exact"/>
        <w:rPr>
          <w:rFonts w:ascii="Arial" w:cs="Arial" w:eastAsia="Arial" w:hAnsi="Arial"/>
          <w:sz w:val="20"/>
          <w:szCs w:val="20"/>
          <w:color w:val="auto"/>
        </w:rPr>
      </w:pPr>
    </w:p>
    <w:p>
      <w:pPr>
        <w:ind w:left="2620" w:hanging="885"/>
        <w:spacing w:after="0"/>
        <w:tabs>
          <w:tab w:leader="none" w:pos="2620" w:val="left"/>
        </w:tabs>
        <w:numPr>
          <w:ilvl w:val="1"/>
          <w:numId w:val="44"/>
        </w:numPr>
        <w:rPr>
          <w:rFonts w:ascii="Arial" w:cs="Arial" w:eastAsia="Arial" w:hAnsi="Arial"/>
          <w:sz w:val="20"/>
          <w:szCs w:val="20"/>
          <w:color w:val="auto"/>
        </w:rPr>
      </w:pPr>
      <w:r>
        <w:rPr>
          <w:rFonts w:ascii="Arial" w:cs="Arial" w:eastAsia="Arial" w:hAnsi="Arial"/>
          <w:sz w:val="20"/>
          <w:szCs w:val="20"/>
          <w:color w:val="auto"/>
        </w:rPr>
        <w:t>Debt consisting of Permitted Contingent Obligations;</w:t>
      </w:r>
    </w:p>
    <w:p>
      <w:pPr>
        <w:spacing w:after="0" w:line="215" w:lineRule="exact"/>
        <w:rPr>
          <w:rFonts w:ascii="Arial" w:cs="Arial" w:eastAsia="Arial" w:hAnsi="Arial"/>
          <w:sz w:val="20"/>
          <w:szCs w:val="20"/>
          <w:color w:val="auto"/>
        </w:rPr>
      </w:pPr>
    </w:p>
    <w:p>
      <w:pPr>
        <w:jc w:val="both"/>
        <w:ind w:firstLine="1735"/>
        <w:spacing w:after="0" w:line="246" w:lineRule="auto"/>
        <w:tabs>
          <w:tab w:leader="none" w:pos="2562" w:val="left"/>
        </w:tabs>
        <w:numPr>
          <w:ilvl w:val="1"/>
          <w:numId w:val="44"/>
        </w:numPr>
        <w:rPr>
          <w:rFonts w:ascii="Arial" w:cs="Arial" w:eastAsia="Arial" w:hAnsi="Arial"/>
          <w:sz w:val="20"/>
          <w:szCs w:val="20"/>
          <w:color w:val="auto"/>
        </w:rPr>
      </w:pPr>
      <w:r>
        <w:rPr>
          <w:rFonts w:ascii="Arial" w:cs="Arial" w:eastAsia="Arial" w:hAnsi="Arial"/>
          <w:sz w:val="20"/>
          <w:szCs w:val="20"/>
          <w:color w:val="auto"/>
        </w:rPr>
        <w:t>intercompany Debt arising from loans made (i) by a Borrower or Secured Guarantor to another Borrower or Secured Guarantor, (ii) by a non-Credit Party Subsidiary of a Borrower to another non-Credit Party Subsidiary of a Borrower, or (iii) any non-Credit Party Subsidiary to a Credit Party (so long as such Debt is subordinated to the Obligations owed by the Credit Parties under the Financing Documents);</w:t>
      </w:r>
    </w:p>
    <w:p>
      <w:pPr>
        <w:spacing w:after="0" w:line="191" w:lineRule="exact"/>
        <w:rPr>
          <w:rFonts w:ascii="Arial" w:cs="Arial" w:eastAsia="Arial" w:hAnsi="Arial"/>
          <w:sz w:val="20"/>
          <w:szCs w:val="20"/>
          <w:color w:val="auto"/>
        </w:rPr>
      </w:pPr>
    </w:p>
    <w:p>
      <w:pPr>
        <w:ind w:left="2660" w:hanging="925"/>
        <w:spacing w:after="0"/>
        <w:tabs>
          <w:tab w:leader="none" w:pos="2660" w:val="left"/>
        </w:tabs>
        <w:numPr>
          <w:ilvl w:val="1"/>
          <w:numId w:val="44"/>
        </w:numPr>
        <w:rPr>
          <w:rFonts w:ascii="Arial" w:cs="Arial" w:eastAsia="Arial" w:hAnsi="Arial"/>
          <w:sz w:val="20"/>
          <w:szCs w:val="20"/>
          <w:color w:val="auto"/>
        </w:rPr>
      </w:pPr>
      <w:r>
        <w:rPr>
          <w:rFonts w:ascii="Arial" w:cs="Arial" w:eastAsia="Arial" w:hAnsi="Arial"/>
          <w:sz w:val="20"/>
          <w:szCs w:val="20"/>
          <w:color w:val="auto"/>
        </w:rPr>
        <w:t>Debt arising from the honoring of an Instrument drawn against insufficient funds;</w:t>
      </w:r>
    </w:p>
    <w:p>
      <w:pPr>
        <w:spacing w:after="0" w:line="215" w:lineRule="exact"/>
        <w:rPr>
          <w:rFonts w:ascii="Arial" w:cs="Arial" w:eastAsia="Arial" w:hAnsi="Arial"/>
          <w:sz w:val="20"/>
          <w:szCs w:val="20"/>
          <w:color w:val="auto"/>
        </w:rPr>
      </w:pPr>
    </w:p>
    <w:p>
      <w:pPr>
        <w:ind w:firstLine="1735"/>
        <w:spacing w:after="0" w:line="260" w:lineRule="auto"/>
        <w:tabs>
          <w:tab w:leader="none" w:pos="2606" w:val="left"/>
        </w:tabs>
        <w:numPr>
          <w:ilvl w:val="1"/>
          <w:numId w:val="44"/>
        </w:numPr>
        <w:rPr>
          <w:rFonts w:ascii="Arial" w:cs="Arial" w:eastAsia="Arial" w:hAnsi="Arial"/>
          <w:sz w:val="20"/>
          <w:szCs w:val="20"/>
          <w:color w:val="auto"/>
        </w:rPr>
      </w:pPr>
      <w:r>
        <w:rPr>
          <w:rFonts w:ascii="Arial" w:cs="Arial" w:eastAsia="Arial" w:hAnsi="Arial"/>
          <w:sz w:val="20"/>
          <w:szCs w:val="20"/>
          <w:color w:val="auto"/>
        </w:rPr>
        <w:t>Debt related to commercial credit cards that, in the aggregate outstanding at any one time, does not exceed $400,000 and is secured solely by cash collateral maintained in a Credit Card Cash Collateral Account;</w:t>
      </w:r>
    </w:p>
    <w:p>
      <w:pPr>
        <w:spacing w:after="0" w:line="176" w:lineRule="exact"/>
        <w:rPr>
          <w:rFonts w:ascii="Arial" w:cs="Arial" w:eastAsia="Arial" w:hAnsi="Arial"/>
          <w:sz w:val="20"/>
          <w:szCs w:val="20"/>
          <w:color w:val="auto"/>
        </w:rPr>
      </w:pPr>
    </w:p>
    <w:p>
      <w:pPr>
        <w:ind w:firstLine="1735"/>
        <w:spacing w:after="0" w:line="260" w:lineRule="auto"/>
        <w:tabs>
          <w:tab w:leader="none" w:pos="2606" w:val="left"/>
        </w:tabs>
        <w:numPr>
          <w:ilvl w:val="1"/>
          <w:numId w:val="44"/>
        </w:numPr>
        <w:rPr>
          <w:rFonts w:ascii="Arial" w:cs="Arial" w:eastAsia="Arial" w:hAnsi="Arial"/>
          <w:sz w:val="20"/>
          <w:szCs w:val="20"/>
          <w:color w:val="auto"/>
        </w:rPr>
      </w:pPr>
      <w:r>
        <w:rPr>
          <w:rFonts w:ascii="Arial" w:cs="Arial" w:eastAsia="Arial" w:hAnsi="Arial"/>
          <w:sz w:val="20"/>
          <w:szCs w:val="20"/>
          <w:color w:val="auto"/>
        </w:rPr>
        <w:t>Debt in respect of taxes, assessments, or government charges to the extent not resulting in an Event of Default and which is the subject of a Permitted Contest; and</w:t>
      </w:r>
    </w:p>
    <w:p>
      <w:pPr>
        <w:spacing w:after="0" w:line="176" w:lineRule="exact"/>
        <w:rPr>
          <w:rFonts w:ascii="Arial" w:cs="Arial" w:eastAsia="Arial" w:hAnsi="Arial"/>
          <w:sz w:val="20"/>
          <w:szCs w:val="20"/>
          <w:color w:val="auto"/>
        </w:rPr>
      </w:pPr>
    </w:p>
    <w:p>
      <w:pPr>
        <w:ind w:left="2620" w:hanging="885"/>
        <w:spacing w:after="0"/>
        <w:tabs>
          <w:tab w:leader="none" w:pos="2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unsecured debt not included in clauses (a) through (o) above that in the aggregate outstanding at any time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does not exceed $500,000.</w:t>
      </w:r>
    </w:p>
    <w:p>
      <w:pPr>
        <w:spacing w:after="0" w:line="194"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Distributions</w:t>
      </w:r>
      <w:r>
        <w:rPr>
          <w:rFonts w:ascii="Arial" w:cs="Arial" w:eastAsia="Arial" w:hAnsi="Arial"/>
          <w:sz w:val="20"/>
          <w:szCs w:val="20"/>
          <w:color w:val="auto"/>
        </w:rPr>
        <w:t xml:space="preserve">” means the following Distributions: (a) dividends by any Subsidiary of any Borrower or Secured Guarantor to such parent Borrower or Secured Guarantor; (b) dividends payable solely in common stock; and (c) repurchases of stock of former employees, directors or consultants pursuant to stock purchase agreements so long as an Event of Default does not exist at the time of such repurchase and would not exist after giving effect to such repurchase,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such repurchase does not exceed $250,000 in the aggregate per fiscal year.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75" w:name="page76"/>
    <w:bookmarkEnd w:id="75"/>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Investments</w:t>
      </w:r>
      <w:r>
        <w:rPr>
          <w:rFonts w:ascii="Arial" w:cs="Arial" w:eastAsia="Arial" w:hAnsi="Arial"/>
          <w:sz w:val="20"/>
          <w:szCs w:val="20"/>
          <w:color w:val="auto"/>
        </w:rPr>
        <w:t>” means:</w:t>
      </w:r>
    </w:p>
    <w:p>
      <w:pPr>
        <w:spacing w:after="0" w:line="222" w:lineRule="exact"/>
        <w:rPr>
          <w:sz w:val="20"/>
          <w:szCs w:val="20"/>
          <w:color w:val="auto"/>
        </w:rPr>
      </w:pPr>
    </w:p>
    <w:p>
      <w:pPr>
        <w:ind w:left="2600" w:hanging="865"/>
        <w:spacing w:after="0"/>
        <w:tabs>
          <w:tab w:leader="none" w:pos="26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Investments shown on Schedule 5.7 and existing on the Closing Date;</w:t>
      </w:r>
    </w:p>
    <w:p>
      <w:pPr>
        <w:spacing w:after="0" w:line="215" w:lineRule="exact"/>
        <w:rPr>
          <w:rFonts w:ascii="Arial" w:cs="Arial" w:eastAsia="Arial" w:hAnsi="Arial"/>
          <w:sz w:val="20"/>
          <w:szCs w:val="20"/>
          <w:color w:val="auto"/>
        </w:rPr>
      </w:pPr>
    </w:p>
    <w:p>
      <w:pPr>
        <w:ind w:left="2620" w:hanging="885"/>
        <w:spacing w:after="0"/>
        <w:tabs>
          <w:tab w:leader="none" w:pos="26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to the extent constituting an Investment, cash and cash equivalents owned by such Person;</w:t>
      </w:r>
    </w:p>
    <w:p>
      <w:pPr>
        <w:spacing w:after="0" w:line="215" w:lineRule="exact"/>
        <w:rPr>
          <w:rFonts w:ascii="Arial" w:cs="Arial" w:eastAsia="Arial" w:hAnsi="Arial"/>
          <w:sz w:val="20"/>
          <w:szCs w:val="20"/>
          <w:color w:val="auto"/>
        </w:rPr>
      </w:pPr>
    </w:p>
    <w:p>
      <w:pPr>
        <w:ind w:right="20" w:firstLine="1735"/>
        <w:spacing w:after="0" w:line="260" w:lineRule="auto"/>
        <w:tabs>
          <w:tab w:leader="none" w:pos="2595" w:val="left"/>
        </w:tabs>
        <w:numPr>
          <w:ilvl w:val="0"/>
          <w:numId w:val="45"/>
        </w:numPr>
        <w:rPr>
          <w:rFonts w:ascii="Arial" w:cs="Arial" w:eastAsia="Arial" w:hAnsi="Arial"/>
          <w:sz w:val="20"/>
          <w:szCs w:val="20"/>
          <w:color w:val="auto"/>
        </w:rPr>
      </w:pPr>
      <w:r>
        <w:rPr>
          <w:rFonts w:ascii="Arial" w:cs="Arial" w:eastAsia="Arial" w:hAnsi="Arial"/>
          <w:sz w:val="20"/>
          <w:szCs w:val="20"/>
          <w:color w:val="auto"/>
        </w:rPr>
        <w:t>Investments consisting of the endorsement of negotiable instruments for deposit or collection or similar transactions in the Ordinary Course of Business;</w:t>
      </w:r>
    </w:p>
    <w:p>
      <w:pPr>
        <w:spacing w:after="0" w:line="176" w:lineRule="exact"/>
        <w:rPr>
          <w:rFonts w:ascii="Arial" w:cs="Arial" w:eastAsia="Arial" w:hAnsi="Arial"/>
          <w:sz w:val="20"/>
          <w:szCs w:val="20"/>
          <w:color w:val="auto"/>
        </w:rPr>
      </w:pPr>
    </w:p>
    <w:p>
      <w:pPr>
        <w:jc w:val="both"/>
        <w:ind w:firstLine="1735"/>
        <w:spacing w:after="0" w:line="263" w:lineRule="auto"/>
        <w:tabs>
          <w:tab w:leader="none" w:pos="2606" w:val="left"/>
        </w:tabs>
        <w:numPr>
          <w:ilvl w:val="0"/>
          <w:numId w:val="45"/>
        </w:numPr>
        <w:rPr>
          <w:rFonts w:ascii="Arial" w:cs="Arial" w:eastAsia="Arial" w:hAnsi="Arial"/>
          <w:sz w:val="19"/>
          <w:szCs w:val="19"/>
          <w:color w:val="auto"/>
        </w:rPr>
      </w:pPr>
      <w:r>
        <w:rPr>
          <w:rFonts w:ascii="Arial" w:cs="Arial" w:eastAsia="Arial" w:hAnsi="Arial"/>
          <w:sz w:val="19"/>
          <w:szCs w:val="19"/>
          <w:color w:val="auto"/>
        </w:rPr>
        <w:t>Investments consisting of (i) travel advances and employee relocation loans and other employee loans and advances in the Ordinary Course of Business, and (ii) loans to employees, officers or directors relating to the purchase of equity securities of Borrowers or their Subsidiaries pursuant to employee stock purchase plans or agreements approved by Borrowers’ Board of Directors (or other governing body), but the aggregate of all such loans outstanding may not exceed $250,000 at any time;</w:t>
      </w:r>
    </w:p>
    <w:p>
      <w:pPr>
        <w:spacing w:after="0" w:line="176" w:lineRule="exact"/>
        <w:rPr>
          <w:rFonts w:ascii="Arial" w:cs="Arial" w:eastAsia="Arial" w:hAnsi="Arial"/>
          <w:sz w:val="19"/>
          <w:szCs w:val="19"/>
          <w:color w:val="auto"/>
        </w:rPr>
      </w:pPr>
    </w:p>
    <w:p>
      <w:pPr>
        <w:jc w:val="both"/>
        <w:ind w:firstLine="1735"/>
        <w:spacing w:after="0" w:line="250" w:lineRule="auto"/>
        <w:tabs>
          <w:tab w:leader="none" w:pos="2595" w:val="left"/>
        </w:tabs>
        <w:numPr>
          <w:ilvl w:val="0"/>
          <w:numId w:val="45"/>
        </w:numPr>
        <w:rPr>
          <w:rFonts w:ascii="Arial" w:cs="Arial" w:eastAsia="Arial" w:hAnsi="Arial"/>
          <w:sz w:val="20"/>
          <w:szCs w:val="20"/>
          <w:color w:val="auto"/>
        </w:rPr>
      </w:pPr>
      <w:r>
        <w:rPr>
          <w:rFonts w:ascii="Arial" w:cs="Arial" w:eastAsia="Arial" w:hAnsi="Arial"/>
          <w:sz w:val="20"/>
          <w:szCs w:val="20"/>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85" w:lineRule="exact"/>
        <w:rPr>
          <w:rFonts w:ascii="Arial" w:cs="Arial" w:eastAsia="Arial" w:hAnsi="Arial"/>
          <w:sz w:val="20"/>
          <w:szCs w:val="20"/>
          <w:color w:val="auto"/>
        </w:rPr>
      </w:pPr>
    </w:p>
    <w:p>
      <w:pPr>
        <w:jc w:val="both"/>
        <w:ind w:firstLine="1735"/>
        <w:spacing w:after="0" w:line="250" w:lineRule="auto"/>
        <w:tabs>
          <w:tab w:leader="none" w:pos="2573" w:val="left"/>
        </w:tabs>
        <w:numPr>
          <w:ilvl w:val="0"/>
          <w:numId w:val="45"/>
        </w:numPr>
        <w:rPr>
          <w:rFonts w:ascii="Arial" w:cs="Arial" w:eastAsia="Arial" w:hAnsi="Arial"/>
          <w:sz w:val="20"/>
          <w:szCs w:val="20"/>
          <w:color w:val="auto"/>
        </w:rPr>
      </w:pPr>
      <w:r>
        <w:rPr>
          <w:rFonts w:ascii="Arial" w:cs="Arial" w:eastAsia="Arial" w:hAnsi="Arial"/>
          <w:sz w:val="20"/>
          <w:szCs w:val="20"/>
          <w:color w:val="auto"/>
        </w:rPr>
        <w:t xml:space="preserve">Investments consisting of notes receivable of, or prepaid royalties and other credit extensions, to customers and suppliers who are not Affiliates, in the Ordinary Course of Business, </w:t>
      </w:r>
      <w:r>
        <w:rPr>
          <w:rFonts w:ascii="Arial" w:cs="Arial" w:eastAsia="Arial" w:hAnsi="Arial"/>
          <w:sz w:val="20"/>
          <w:szCs w:val="20"/>
          <w:i w:val="1"/>
          <w:iCs w:val="1"/>
          <w:color w:val="auto"/>
        </w:rPr>
        <w:t>provided, however</w:t>
      </w:r>
      <w:r>
        <w:rPr>
          <w:rFonts w:ascii="Arial" w:cs="Arial" w:eastAsia="Arial" w:hAnsi="Arial"/>
          <w:sz w:val="20"/>
          <w:szCs w:val="20"/>
          <w:color w:val="auto"/>
        </w:rPr>
        <w:t>, that this subpart (f) shall not apply to Investments of Borrowers in any Subsidiary;</w:t>
      </w:r>
    </w:p>
    <w:p>
      <w:pPr>
        <w:spacing w:after="0" w:line="185" w:lineRule="exact"/>
        <w:rPr>
          <w:rFonts w:ascii="Arial" w:cs="Arial" w:eastAsia="Arial" w:hAnsi="Arial"/>
          <w:sz w:val="20"/>
          <w:szCs w:val="20"/>
          <w:color w:val="auto"/>
        </w:rPr>
      </w:pPr>
    </w:p>
    <w:p>
      <w:pPr>
        <w:ind w:firstLine="1735"/>
        <w:spacing w:after="0" w:line="260" w:lineRule="auto"/>
        <w:tabs>
          <w:tab w:leader="none" w:pos="2606" w:val="left"/>
        </w:tabs>
        <w:numPr>
          <w:ilvl w:val="0"/>
          <w:numId w:val="45"/>
        </w:numPr>
        <w:rPr>
          <w:rFonts w:ascii="Arial" w:cs="Arial" w:eastAsia="Arial" w:hAnsi="Arial"/>
          <w:sz w:val="20"/>
          <w:szCs w:val="20"/>
          <w:color w:val="auto"/>
        </w:rPr>
      </w:pPr>
      <w:r>
        <w:rPr>
          <w:rFonts w:ascii="Arial" w:cs="Arial" w:eastAsia="Arial" w:hAnsi="Arial"/>
          <w:sz w:val="20"/>
          <w:szCs w:val="20"/>
          <w:color w:val="auto"/>
        </w:rPr>
        <w:t>Investments consisting of Deposit Accounts or Securities Accounts in which Agent has received a Deposit Account Control Agreement or Securities Account Control Agreement, as applicable (other than Excluded Accounts);</w:t>
      </w:r>
    </w:p>
    <w:p>
      <w:pPr>
        <w:spacing w:after="0" w:line="176" w:lineRule="exact"/>
        <w:rPr>
          <w:rFonts w:ascii="Arial" w:cs="Arial" w:eastAsia="Arial" w:hAnsi="Arial"/>
          <w:sz w:val="20"/>
          <w:szCs w:val="20"/>
          <w:color w:val="auto"/>
        </w:rPr>
      </w:pPr>
    </w:p>
    <w:p>
      <w:pPr>
        <w:ind w:left="2620" w:hanging="885"/>
        <w:spacing w:after="0"/>
        <w:tabs>
          <w:tab w:leader="none" w:pos="26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ind w:left="2580" w:hanging="845"/>
        <w:spacing w:after="0"/>
        <w:tabs>
          <w:tab w:leader="none" w:pos="25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Investments by any Borrower or Secured Guarantor in another Borrower or Secured Guarantor;</w:t>
      </w:r>
    </w:p>
    <w:p>
      <w:pPr>
        <w:spacing w:after="0" w:line="215" w:lineRule="exact"/>
        <w:rPr>
          <w:rFonts w:ascii="Arial" w:cs="Arial" w:eastAsia="Arial" w:hAnsi="Arial"/>
          <w:sz w:val="20"/>
          <w:szCs w:val="20"/>
          <w:color w:val="auto"/>
        </w:rPr>
      </w:pPr>
    </w:p>
    <w:p>
      <w:pPr>
        <w:jc w:val="both"/>
        <w:ind w:firstLine="1735"/>
        <w:spacing w:after="0" w:line="243" w:lineRule="auto"/>
        <w:tabs>
          <w:tab w:leader="none" w:pos="2562" w:val="left"/>
        </w:tabs>
        <w:numPr>
          <w:ilvl w:val="0"/>
          <w:numId w:val="45"/>
        </w:numPr>
        <w:rPr>
          <w:rFonts w:ascii="Arial" w:cs="Arial" w:eastAsia="Arial" w:hAnsi="Arial"/>
          <w:sz w:val="20"/>
          <w:szCs w:val="20"/>
          <w:color w:val="auto"/>
        </w:rPr>
      </w:pPr>
      <w:r>
        <w:rPr>
          <w:rFonts w:ascii="Arial" w:cs="Arial" w:eastAsia="Arial" w:hAnsi="Arial"/>
          <w:sz w:val="20"/>
          <w:szCs w:val="20"/>
          <w:color w:val="auto"/>
        </w:rPr>
        <w:t xml:space="preserve">Investments of cash and cash equivalents in an Excluded Foreign Subsidiary (either directly or through an Excluded Domestic Holdco) but solely to the extent that the aggregate amount of such Investments with respect to all Excluded Foreign Subsidiaries does not, at any time, exceed $100,000 in the aggregate in any fiscal year;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no event shall the aggregate amount of Investments made in any Excluded Foreign Subsidiary exceed the amount necessary (as reasonably determined by the Borrowers) to fund the current and projected annual operating expenses of such Excluded Foreign Subsidiary (taking into account its revenue from other sources);</w:t>
      </w:r>
    </w:p>
    <w:p>
      <w:pPr>
        <w:spacing w:after="0" w:line="195" w:lineRule="exact"/>
        <w:rPr>
          <w:rFonts w:ascii="Arial" w:cs="Arial" w:eastAsia="Arial" w:hAnsi="Arial"/>
          <w:sz w:val="20"/>
          <w:szCs w:val="20"/>
          <w:color w:val="auto"/>
        </w:rPr>
      </w:pPr>
    </w:p>
    <w:p>
      <w:pPr>
        <w:ind w:firstLine="1735"/>
        <w:spacing w:after="0" w:line="260" w:lineRule="auto"/>
        <w:tabs>
          <w:tab w:leader="none" w:pos="2606" w:val="left"/>
        </w:tabs>
        <w:numPr>
          <w:ilvl w:val="0"/>
          <w:numId w:val="45"/>
        </w:numPr>
        <w:rPr>
          <w:rFonts w:ascii="Arial" w:cs="Arial" w:eastAsia="Arial" w:hAnsi="Arial"/>
          <w:sz w:val="20"/>
          <w:szCs w:val="20"/>
          <w:color w:val="auto"/>
        </w:rPr>
      </w:pPr>
      <w:r>
        <w:rPr>
          <w:rFonts w:ascii="Arial" w:cs="Arial" w:eastAsia="Arial" w:hAnsi="Arial"/>
          <w:sz w:val="20"/>
          <w:szCs w:val="20"/>
          <w:color w:val="auto"/>
        </w:rPr>
        <w:t>Investments by any Excluded Foreign Subsidiary or Excluded Domestic Holdco in any other Excluded Foreign Subsidiary or Excluded Domestic Holdco;</w:t>
      </w:r>
    </w:p>
    <w:p>
      <w:pPr>
        <w:spacing w:after="0" w:line="176" w:lineRule="exact"/>
        <w:rPr>
          <w:rFonts w:ascii="Arial" w:cs="Arial" w:eastAsia="Arial" w:hAnsi="Arial"/>
          <w:sz w:val="20"/>
          <w:szCs w:val="20"/>
          <w:color w:val="auto"/>
        </w:rPr>
      </w:pPr>
    </w:p>
    <w:p>
      <w:pPr>
        <w:ind w:left="2580" w:hanging="845"/>
        <w:spacing w:after="0"/>
        <w:tabs>
          <w:tab w:leader="none" w:pos="25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to the extent constituting an Investment, the entering into of any Permitted License;</w:t>
      </w:r>
    </w:p>
    <w:p>
      <w:pPr>
        <w:spacing w:after="0" w:line="215" w:lineRule="exact"/>
        <w:rPr>
          <w:rFonts w:ascii="Arial" w:cs="Arial" w:eastAsia="Arial" w:hAnsi="Arial"/>
          <w:sz w:val="20"/>
          <w:szCs w:val="20"/>
          <w:color w:val="auto"/>
        </w:rPr>
      </w:pPr>
    </w:p>
    <w:p>
      <w:pPr>
        <w:jc w:val="both"/>
        <w:ind w:firstLine="1735"/>
        <w:spacing w:after="0" w:line="288" w:lineRule="auto"/>
        <w:tabs>
          <w:tab w:leader="none" w:pos="2661" w:val="left"/>
        </w:tabs>
        <w:numPr>
          <w:ilvl w:val="0"/>
          <w:numId w:val="45"/>
        </w:numPr>
        <w:rPr>
          <w:rFonts w:ascii="Arial" w:cs="Arial" w:eastAsia="Arial" w:hAnsi="Arial"/>
          <w:sz w:val="18"/>
          <w:szCs w:val="18"/>
          <w:color w:val="auto"/>
        </w:rPr>
      </w:pPr>
      <w:r>
        <w:rPr>
          <w:rFonts w:ascii="Arial" w:cs="Arial" w:eastAsia="Arial" w:hAnsi="Arial"/>
          <w:sz w:val="18"/>
          <w:szCs w:val="18"/>
          <w:color w:val="auto"/>
        </w:rPr>
        <w:t>so long as no Event of Default exists or would arise as a result thereof, (i) in-licenses by Borrowers or their Subsidiaries of Intellectual Property (and rights thereto) and other technology solely in furtherance of preclinical research and development in the areas of hematology, infectious diseases and immune-oncology, and (ii) (x) in-licenses by Borrowers or their Subsidiaries of Intellectual Property (and rights thereto) and other technology solely in furtherance of clinical research and development in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6" w:name="page77"/>
    <w:bookmarkEnd w:id="76"/>
    <w:p>
      <w:pPr>
        <w:jc w:val="both"/>
        <w:spacing w:after="0" w:line="282" w:lineRule="auto"/>
        <w:rPr>
          <w:sz w:val="20"/>
          <w:szCs w:val="20"/>
          <w:color w:val="auto"/>
        </w:rPr>
      </w:pPr>
      <w:r>
        <w:rPr>
          <w:rFonts w:ascii="Arial" w:cs="Arial" w:eastAsia="Arial" w:hAnsi="Arial"/>
          <w:sz w:val="18"/>
          <w:szCs w:val="18"/>
          <w:color w:val="auto"/>
        </w:rPr>
        <w:t xml:space="preserve">areas of hematology, infectious diseases and immune-oncology, and (y) in-licenses by Borrowers or their Subsidiaries of Intellectual Property (and rights thereto) and other technology that a Borrower believes to be reasonably useful or necessary in pursuit of development and/or commercialization of its existing Products;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the aggregate consideration paid or payable by Credit Parties or their Subsidiaries in connection with such in-licenses pursuant to this clause (ii) exceed $500,000 in any calendar year;</w:t>
      </w:r>
    </w:p>
    <w:p>
      <w:pPr>
        <w:spacing w:after="0" w:line="161" w:lineRule="exact"/>
        <w:rPr>
          <w:sz w:val="20"/>
          <w:szCs w:val="20"/>
          <w:color w:val="auto"/>
        </w:rPr>
      </w:pPr>
    </w:p>
    <w:p>
      <w:pPr>
        <w:ind w:firstLine="1735"/>
        <w:spacing w:after="0" w:line="260" w:lineRule="auto"/>
        <w:tabs>
          <w:tab w:leader="none" w:pos="2606" w:val="left"/>
        </w:tabs>
        <w:numPr>
          <w:ilvl w:val="0"/>
          <w:numId w:val="46"/>
        </w:numPr>
        <w:rPr>
          <w:rFonts w:ascii="Arial" w:cs="Arial" w:eastAsia="Arial" w:hAnsi="Arial"/>
          <w:sz w:val="20"/>
          <w:szCs w:val="20"/>
          <w:color w:val="auto"/>
        </w:rPr>
      </w:pPr>
      <w:r>
        <w:rPr>
          <w:rFonts w:ascii="Arial" w:cs="Arial" w:eastAsia="Arial" w:hAnsi="Arial"/>
          <w:sz w:val="20"/>
          <w:szCs w:val="20"/>
          <w:color w:val="auto"/>
        </w:rPr>
        <w:t>Investments consisting of extensions of credit in the nature of Accounts or notes receivable arising from the grant of trade credit in the Ordinary Course of Business; and</w:t>
      </w:r>
    </w:p>
    <w:p>
      <w:pPr>
        <w:spacing w:after="0" w:line="176" w:lineRule="exact"/>
        <w:rPr>
          <w:rFonts w:ascii="Arial" w:cs="Arial" w:eastAsia="Arial" w:hAnsi="Arial"/>
          <w:sz w:val="20"/>
          <w:szCs w:val="20"/>
          <w:color w:val="auto"/>
        </w:rPr>
      </w:pPr>
    </w:p>
    <w:p>
      <w:pPr>
        <w:ind w:left="2620" w:hanging="885"/>
        <w:spacing w:after="0"/>
        <w:tabs>
          <w:tab w:leader="none" w:pos="2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Investments of cash and cash equivalents in an amount not exceeding $500,000 in the aggregate.</w:t>
      </w:r>
    </w:p>
    <w:p>
      <w:pPr>
        <w:spacing w:after="0" w:line="233"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IXINITY Royalty Stream Disposition</w:t>
      </w:r>
      <w:r>
        <w:rPr>
          <w:rFonts w:ascii="Arial" w:cs="Arial" w:eastAsia="Arial" w:hAnsi="Arial"/>
          <w:sz w:val="18"/>
          <w:szCs w:val="18"/>
          <w:color w:val="auto"/>
        </w:rPr>
        <w:t xml:space="preserve">” means any bona fide nonrecourse sale of all or any portion of the IXINITY Royalty Stream to a third party or third parties;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unless (i) Agent shall otherwise consent in writing (such consent not to be unreasonably withheld or delayed) or (ii) the proceeds of such sale are used to contemporaneously (and in any event on the same calendar day as such sale) to pay all Obligations in full, no Event of Default has occurred and is continuing at the time such sale is consummated or would result therefrom, (b) Agent shall have received at least three (3) Business Days’ prior notification and substantially complete draft documentation pursuant to which the Permitted IXINITY Royalty Stream Disposition will be consummated, (c) such sale is for fair consideration and is on commercially reasonable terms and has been approved by the Aptevo Therapeutics Board of Directors, (d) the unrestricted net cash proceeds received by Borrowers as an upfront payment (not subject to any contractual right of refund or recoupment) on the date the first such sale is consummated are greater than or equal to $7,500,000, (e) such sale is not prohibited by, or otherwise in violation of, the terms of the IXINITY Royalty Agreement or applicable Law and (f) on the date any such sale is consummated, Borrower has made the required Mandatory Royalty Stream Disposition Prepayment in accordance with Section 2.1(a)(ii)(B)(v). Without limiting the foregoing in any way, the parties agree that the Permitted IXINITY Royalty Stream Disposition may involve the creation of an IXINITY Royalty Excluded Deposit Account;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Borrowers and their Subsidiaries shall have no liability to any purchaser or other party for any failure of Medexus Pharma, Inc. or any of its successors or affiliates to make any payments in respect of any portion of the IXINITY Royalty Stream that has been disposed of pursuant to a Permitted IXINITY Royalty Stream Disposition.</w:t>
      </w:r>
    </w:p>
    <w:p>
      <w:pPr>
        <w:spacing w:after="0" w:line="166"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License</w:t>
      </w:r>
      <w:r>
        <w:rPr>
          <w:rFonts w:ascii="Arial" w:cs="Arial" w:eastAsia="Arial" w:hAnsi="Arial"/>
          <w:sz w:val="20"/>
          <w:szCs w:val="20"/>
          <w:color w:val="auto"/>
        </w:rPr>
        <w:t>” means so long as no Event of Default has occurred and is continuing at the time such license is granted or would result from the granting thereof:</w:t>
      </w:r>
    </w:p>
    <w:p>
      <w:pPr>
        <w:spacing w:after="0" w:line="169" w:lineRule="exact"/>
        <w:rPr>
          <w:sz w:val="20"/>
          <w:szCs w:val="20"/>
          <w:color w:val="auto"/>
        </w:rPr>
      </w:pPr>
    </w:p>
    <w:p>
      <w:pPr>
        <w:ind w:firstLine="1735"/>
        <w:spacing w:after="0" w:line="260" w:lineRule="auto"/>
        <w:tabs>
          <w:tab w:leader="none" w:pos="2595" w:val="left"/>
        </w:tabs>
        <w:numPr>
          <w:ilvl w:val="0"/>
          <w:numId w:val="47"/>
        </w:numPr>
        <w:rPr>
          <w:rFonts w:ascii="Arial" w:cs="Arial" w:eastAsia="Arial" w:hAnsi="Arial"/>
          <w:sz w:val="20"/>
          <w:szCs w:val="20"/>
          <w:color w:val="auto"/>
        </w:rPr>
      </w:pPr>
      <w:r>
        <w:rPr>
          <w:rFonts w:ascii="Arial" w:cs="Arial" w:eastAsia="Arial" w:hAnsi="Arial"/>
          <w:sz w:val="20"/>
          <w:szCs w:val="20"/>
          <w:color w:val="auto"/>
        </w:rPr>
        <w:t>any license or sublicense of Intellectual Property rights (including licenses or sublicenses thereto) of a Credit Party to a Borrower or Secured Guarantor;</w:t>
      </w:r>
    </w:p>
    <w:p>
      <w:pPr>
        <w:spacing w:after="0" w:line="176" w:lineRule="exact"/>
        <w:rPr>
          <w:rFonts w:ascii="Arial" w:cs="Arial" w:eastAsia="Arial" w:hAnsi="Arial"/>
          <w:sz w:val="20"/>
          <w:szCs w:val="20"/>
          <w:color w:val="auto"/>
        </w:rPr>
      </w:pPr>
    </w:p>
    <w:p>
      <w:pPr>
        <w:jc w:val="both"/>
        <w:ind w:firstLine="1735"/>
        <w:spacing w:after="0" w:line="246" w:lineRule="auto"/>
        <w:tabs>
          <w:tab w:leader="none" w:pos="2606" w:val="left"/>
        </w:tabs>
        <w:numPr>
          <w:ilvl w:val="0"/>
          <w:numId w:val="47"/>
        </w:numPr>
        <w:rPr>
          <w:rFonts w:ascii="Arial" w:cs="Arial" w:eastAsia="Arial" w:hAnsi="Arial"/>
          <w:sz w:val="20"/>
          <w:szCs w:val="20"/>
          <w:color w:val="auto"/>
        </w:rPr>
      </w:pPr>
      <w:r>
        <w:rPr>
          <w:rFonts w:ascii="Arial" w:cs="Arial" w:eastAsia="Arial" w:hAnsi="Arial"/>
          <w:sz w:val="20"/>
          <w:szCs w:val="20"/>
          <w:color w:val="auto"/>
        </w:rPr>
        <w:t>any non-exclusive license or sublicense of Intellectual Property rights (including licenses or sublicenses thereto) of Borrower or its Subsidiaries so long as all such licenses are granted to third parties or Subsidiaries in the Ordinary Course of Business, do not result in a legal transfer of title to the licensed property, and (except in the case of non-exclusive licenses by a Credit Party to a Subsidiary thereof) have been granted in exchange for fair consideration;</w:t>
      </w:r>
    </w:p>
    <w:p>
      <w:pPr>
        <w:spacing w:after="0" w:line="191" w:lineRule="exact"/>
        <w:rPr>
          <w:rFonts w:ascii="Arial" w:cs="Arial" w:eastAsia="Arial" w:hAnsi="Arial"/>
          <w:sz w:val="20"/>
          <w:szCs w:val="20"/>
          <w:color w:val="auto"/>
        </w:rPr>
      </w:pPr>
    </w:p>
    <w:p>
      <w:pPr>
        <w:jc w:val="both"/>
        <w:ind w:firstLine="1735"/>
        <w:spacing w:after="0" w:line="263" w:lineRule="auto"/>
        <w:tabs>
          <w:tab w:leader="none" w:pos="2648" w:val="left"/>
        </w:tabs>
        <w:numPr>
          <w:ilvl w:val="0"/>
          <w:numId w:val="47"/>
        </w:numPr>
        <w:rPr>
          <w:rFonts w:ascii="Arial" w:cs="Arial" w:eastAsia="Arial" w:hAnsi="Arial"/>
          <w:sz w:val="19"/>
          <w:szCs w:val="19"/>
          <w:color w:val="auto"/>
        </w:rPr>
      </w:pPr>
      <w:r>
        <w:rPr>
          <w:rFonts w:ascii="Arial" w:cs="Arial" w:eastAsia="Arial" w:hAnsi="Arial"/>
          <w:sz w:val="19"/>
          <w:szCs w:val="19"/>
          <w:color w:val="auto"/>
        </w:rPr>
        <w:t>any exclusive license or sublicense of Intellectual Property rights (including licenses or sublicenses thereto) of Borrower or its Subsidiaries to a third party to the extent such Intellectual Property rights relate solely to discrete clinical Products and so long as such licenses do not result in a legal transfer of title to the licensed property, are exclusive solely as to discrete geographical areas outside of North America, and have been granted in exchange for fair consideration;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77" w:name="page78"/>
    <w:bookmarkEnd w:id="77"/>
    <w:p>
      <w:pPr>
        <w:jc w:val="both"/>
        <w:ind w:firstLine="1735"/>
        <w:spacing w:after="0" w:line="282" w:lineRule="auto"/>
        <w:tabs>
          <w:tab w:leader="none" w:pos="2606"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exclusive license or sublicense of Intellectual Property rights (including licenses or sublicenses thereto) of Borrower or its Subsidiaries to a third party to the extent such Intellectual Property rights relate solely to discrete preclinical Products (not, for the avoidance of doubt, clinical Products, Commercial Products or any other commercial Product) and so long as such licenses do not result in a legal transfer of title to the licensed property and have been granted in exchange for fair consideration; and</w:t>
      </w:r>
    </w:p>
    <w:p>
      <w:pPr>
        <w:spacing w:after="0" w:line="161" w:lineRule="exact"/>
        <w:rPr>
          <w:rFonts w:ascii="Arial" w:cs="Arial" w:eastAsia="Arial" w:hAnsi="Arial"/>
          <w:sz w:val="18"/>
          <w:szCs w:val="18"/>
          <w:color w:val="auto"/>
        </w:rPr>
      </w:pPr>
    </w:p>
    <w:p>
      <w:pPr>
        <w:jc w:val="both"/>
        <w:ind w:firstLine="1735"/>
        <w:spacing w:after="0" w:line="274" w:lineRule="auto"/>
        <w:tabs>
          <w:tab w:leader="none" w:pos="25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to the extent not otherwise permitted pursuant to clauses (a)-(d) above, any exclusive license or sublicense of Intellectual Property rights (including licenses or sublicenses thereto) of Borrower or its Subsidiaries to a third party to the extent such Intellectual Property rights relate solely to discrete clinical Products (not, for the avoidance of doubt, Commercial Products or any other commercial Product) and so long as such licenses do not result in a legal transfer of title to the licensed property and have been granted in exchange for fair consideration;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case under this clause (e), Borrower receives a non-refundable net upfront cash payment at the time such license is entered into of at least Ten Million Dollars ($10,000,000) and Borrower has prepaid the Term Loans in accordance with Section 2.1(a)(ii)(B)(iv) on the date Borrower or its Subsidiary enters into such license.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Liens</w:t>
      </w:r>
      <w:r>
        <w:rPr>
          <w:rFonts w:ascii="Arial" w:cs="Arial" w:eastAsia="Arial" w:hAnsi="Arial"/>
          <w:sz w:val="20"/>
          <w:szCs w:val="20"/>
          <w:color w:val="auto"/>
        </w:rPr>
        <w:t>” means:</w:t>
      </w:r>
    </w:p>
    <w:p>
      <w:pPr>
        <w:spacing w:after="0" w:line="222" w:lineRule="exact"/>
        <w:rPr>
          <w:sz w:val="20"/>
          <w:szCs w:val="20"/>
          <w:color w:val="auto"/>
        </w:rPr>
      </w:pPr>
    </w:p>
    <w:p>
      <w:pPr>
        <w:jc w:val="both"/>
        <w:ind w:firstLine="1735"/>
        <w:spacing w:after="0" w:line="250" w:lineRule="auto"/>
        <w:tabs>
          <w:tab w:leader="none" w:pos="2595" w:val="left"/>
        </w:tabs>
        <w:numPr>
          <w:ilvl w:val="0"/>
          <w:numId w:val="49"/>
        </w:numPr>
        <w:rPr>
          <w:rFonts w:ascii="Arial" w:cs="Arial" w:eastAsia="Arial" w:hAnsi="Arial"/>
          <w:sz w:val="20"/>
          <w:szCs w:val="20"/>
          <w:color w:val="auto"/>
        </w:rPr>
      </w:pPr>
      <w:r>
        <w:rPr>
          <w:rFonts w:ascii="Arial" w:cs="Arial" w:eastAsia="Arial" w:hAnsi="Arial"/>
          <w:sz w:val="20"/>
          <w:szCs w:val="20"/>
          <w:color w:val="auto"/>
        </w:rPr>
        <w:t>deposits or pledges of cash to secure obligations under workmen’s compensation, social security or similar laws, or under unemployment insurance (but excluding Liens arising under ERISA or, with respect to any Pension Plan or Multiemployer Plan, the Code) pertaining to a Borrower’s or its Subsidiary’s employees, if any;</w:t>
      </w:r>
    </w:p>
    <w:p>
      <w:pPr>
        <w:spacing w:after="0" w:line="185" w:lineRule="exact"/>
        <w:rPr>
          <w:rFonts w:ascii="Arial" w:cs="Arial" w:eastAsia="Arial" w:hAnsi="Arial"/>
          <w:sz w:val="20"/>
          <w:szCs w:val="20"/>
          <w:color w:val="auto"/>
        </w:rPr>
      </w:pPr>
    </w:p>
    <w:p>
      <w:pPr>
        <w:jc w:val="both"/>
        <w:ind w:firstLine="1735"/>
        <w:spacing w:after="0" w:line="250" w:lineRule="auto"/>
        <w:tabs>
          <w:tab w:leader="none" w:pos="2606" w:val="left"/>
        </w:tabs>
        <w:numPr>
          <w:ilvl w:val="0"/>
          <w:numId w:val="49"/>
        </w:numPr>
        <w:rPr>
          <w:rFonts w:ascii="Arial" w:cs="Arial" w:eastAsia="Arial" w:hAnsi="Arial"/>
          <w:sz w:val="20"/>
          <w:szCs w:val="20"/>
          <w:color w:val="auto"/>
        </w:rPr>
      </w:pPr>
      <w:r>
        <w:rPr>
          <w:rFonts w:ascii="Arial" w:cs="Arial" w:eastAsia="Arial" w:hAnsi="Arial"/>
          <w:sz w:val="20"/>
          <w:szCs w:val="20"/>
          <w:color w:val="auto"/>
        </w:rPr>
        <w:t>deposits or pledges of cash to secure bids, tenders, contracts (other than contracts for the payment of money or the deferred purchase price of property or services), leases, statutory obligations, surety and appeal bonds and other obligations of like nature arising in the Ordinary Course of Business;</w:t>
      </w:r>
    </w:p>
    <w:p>
      <w:pPr>
        <w:spacing w:after="0" w:line="185" w:lineRule="exact"/>
        <w:rPr>
          <w:rFonts w:ascii="Arial" w:cs="Arial" w:eastAsia="Arial" w:hAnsi="Arial"/>
          <w:sz w:val="20"/>
          <w:szCs w:val="20"/>
          <w:color w:val="auto"/>
        </w:rPr>
      </w:pPr>
    </w:p>
    <w:p>
      <w:pPr>
        <w:jc w:val="both"/>
        <w:ind w:firstLine="1735"/>
        <w:spacing w:after="0" w:line="316" w:lineRule="auto"/>
        <w:tabs>
          <w:tab w:leader="none" w:pos="25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carrier’s, warehousemen’s, mechanic’s, workmen’s, materialmen’s or other like Liens on Collateral arising in the Ordinary Course of Business with respect to obligations which are not due, or which are being contested pursuant to a Permitted Contest;</w:t>
      </w:r>
    </w:p>
    <w:p>
      <w:pPr>
        <w:spacing w:after="0" w:line="129" w:lineRule="exact"/>
        <w:rPr>
          <w:rFonts w:ascii="Arial" w:cs="Arial" w:eastAsia="Arial" w:hAnsi="Arial"/>
          <w:sz w:val="18"/>
          <w:szCs w:val="18"/>
          <w:color w:val="auto"/>
        </w:rPr>
      </w:pPr>
    </w:p>
    <w:p>
      <w:pPr>
        <w:ind w:firstLine="1735"/>
        <w:spacing w:after="0" w:line="260" w:lineRule="auto"/>
        <w:tabs>
          <w:tab w:leader="none" w:pos="2606" w:val="left"/>
        </w:tabs>
        <w:numPr>
          <w:ilvl w:val="0"/>
          <w:numId w:val="49"/>
        </w:numPr>
        <w:rPr>
          <w:rFonts w:ascii="Arial" w:cs="Arial" w:eastAsia="Arial" w:hAnsi="Arial"/>
          <w:sz w:val="20"/>
          <w:szCs w:val="20"/>
          <w:color w:val="auto"/>
        </w:rPr>
      </w:pPr>
      <w:r>
        <w:rPr>
          <w:rFonts w:ascii="Arial" w:cs="Arial" w:eastAsia="Arial" w:hAnsi="Arial"/>
          <w:sz w:val="20"/>
          <w:szCs w:val="20"/>
          <w:color w:val="auto"/>
        </w:rPr>
        <w:t>Liens for taxes or other governmental charges that are not at the time delinquent or thereafter payable without penalty or that are the subject of a Permitted Contest;</w:t>
      </w:r>
    </w:p>
    <w:p>
      <w:pPr>
        <w:spacing w:after="0" w:line="176" w:lineRule="exact"/>
        <w:rPr>
          <w:rFonts w:ascii="Arial" w:cs="Arial" w:eastAsia="Arial" w:hAnsi="Arial"/>
          <w:sz w:val="20"/>
          <w:szCs w:val="20"/>
          <w:color w:val="auto"/>
        </w:rPr>
      </w:pPr>
    </w:p>
    <w:p>
      <w:pPr>
        <w:jc w:val="both"/>
        <w:ind w:firstLine="1735"/>
        <w:spacing w:after="0" w:line="250" w:lineRule="auto"/>
        <w:tabs>
          <w:tab w:leader="none" w:pos="2595" w:val="left"/>
        </w:tabs>
        <w:numPr>
          <w:ilvl w:val="0"/>
          <w:numId w:val="49"/>
        </w:numPr>
        <w:rPr>
          <w:rFonts w:ascii="Arial" w:cs="Arial" w:eastAsia="Arial" w:hAnsi="Arial"/>
          <w:sz w:val="20"/>
          <w:szCs w:val="20"/>
          <w:color w:val="auto"/>
        </w:rPr>
      </w:pPr>
      <w:r>
        <w:rPr>
          <w:rFonts w:ascii="Arial" w:cs="Arial" w:eastAsia="Arial" w:hAnsi="Arial"/>
          <w:sz w:val="20"/>
          <w:szCs w:val="20"/>
          <w:color w:val="auto"/>
        </w:rPr>
        <w:t>attachments, appeal bonds, judgments and other similar Liens on Collateral for sums not exceeding $250,000 in the aggregate arising in connection with court proceedings; provided, however, that the execution or other enforcement of such Liens is effectively stayed and the claims secured thereby are the subject of a Permitted Contest;</w:t>
      </w:r>
    </w:p>
    <w:p>
      <w:pPr>
        <w:spacing w:after="0" w:line="185" w:lineRule="exact"/>
        <w:rPr>
          <w:rFonts w:ascii="Arial" w:cs="Arial" w:eastAsia="Arial" w:hAnsi="Arial"/>
          <w:sz w:val="20"/>
          <w:szCs w:val="20"/>
          <w:color w:val="auto"/>
        </w:rPr>
      </w:pPr>
    </w:p>
    <w:p>
      <w:pPr>
        <w:jc w:val="both"/>
        <w:ind w:firstLine="1735"/>
        <w:spacing w:after="0" w:line="276" w:lineRule="auto"/>
        <w:tabs>
          <w:tab w:leader="none" w:pos="2573"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Liens with respect to real estate, easements, rights of way, restrictions, minor defects or irregularities of title, none of which, individually or in the aggregate, materially interfere with the benefits of the security intended to be provided by the Security Documents, materially affect the value or marketability of the Collateral, impair the use or operation of the Collateral for the use currently being made thereof or impair Borrowers’ ability to pay the Obligations in a timely manner or impair the use of the Collateral or the ordinary conduct of the business of any Borrower or any Subsidiary and which, in the case of any real estate that is part of the Collateral, are set forth as exceptions to or subordinate matters in the title insurance policy accepted by Agent insuring the lien of the Security Documents;</w:t>
      </w:r>
    </w:p>
    <w:p>
      <w:pPr>
        <w:spacing w:after="0" w:line="164" w:lineRule="exact"/>
        <w:rPr>
          <w:rFonts w:ascii="Arial" w:cs="Arial" w:eastAsia="Arial" w:hAnsi="Arial"/>
          <w:sz w:val="18"/>
          <w:szCs w:val="18"/>
          <w:color w:val="auto"/>
        </w:rPr>
      </w:pPr>
    </w:p>
    <w:p>
      <w:pPr>
        <w:ind w:left="2620" w:hanging="885"/>
        <w:spacing w:after="0"/>
        <w:tabs>
          <w:tab w:leader="none" w:pos="2620" w:val="left"/>
        </w:tabs>
        <w:numPr>
          <w:ilvl w:val="0"/>
          <w:numId w:val="49"/>
        </w:numPr>
        <w:rPr>
          <w:rFonts w:ascii="Arial" w:cs="Arial" w:eastAsia="Arial" w:hAnsi="Arial"/>
          <w:sz w:val="20"/>
          <w:szCs w:val="20"/>
          <w:color w:val="auto"/>
        </w:rPr>
      </w:pPr>
      <w:r>
        <w:rPr>
          <w:rFonts w:ascii="Arial" w:cs="Arial" w:eastAsia="Arial" w:hAnsi="Arial"/>
          <w:sz w:val="20"/>
          <w:szCs w:val="20"/>
          <w:color w:val="auto"/>
        </w:rPr>
        <w:t>Liens and encumbrances in favor of the Agent under the Financing Documents;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78" w:name="page79"/>
    <w:bookmarkEnd w:id="78"/>
    <w:p>
      <w:pPr>
        <w:ind w:left="2620" w:hanging="885"/>
        <w:spacing w:after="0"/>
        <w:tabs>
          <w:tab w:leader="none" w:pos="2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Liens existing on the Closing Date and set forth on Schedule 5.2 (including any Permitted Refinancings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thereof);</w:t>
      </w:r>
    </w:p>
    <w:p>
      <w:pPr>
        <w:spacing w:after="0" w:line="200" w:lineRule="exact"/>
        <w:rPr>
          <w:sz w:val="20"/>
          <w:szCs w:val="20"/>
          <w:color w:val="auto"/>
        </w:rPr>
      </w:pPr>
    </w:p>
    <w:p>
      <w:pPr>
        <w:ind w:firstLine="1735"/>
        <w:spacing w:after="0" w:line="287" w:lineRule="auto"/>
        <w:tabs>
          <w:tab w:leader="none" w:pos="2562" w:val="left"/>
        </w:tabs>
        <w:numPr>
          <w:ilvl w:val="0"/>
          <w:numId w:val="51"/>
        </w:numPr>
        <w:rPr>
          <w:rFonts w:ascii="Arial" w:cs="Arial" w:eastAsia="Arial" w:hAnsi="Arial"/>
          <w:sz w:val="19"/>
          <w:szCs w:val="19"/>
          <w:color w:val="auto"/>
        </w:rPr>
      </w:pPr>
      <w:r>
        <w:rPr>
          <w:rFonts w:ascii="Arial" w:cs="Arial" w:eastAsia="Arial" w:hAnsi="Arial"/>
          <w:sz w:val="19"/>
          <w:szCs w:val="19"/>
          <w:color w:val="auto"/>
        </w:rPr>
        <w:t>any Lien on any equipment securing Debt permitted under subpart (c) of the definition of Permitted Debt, provided, however, that such Lien attaches concurrently with or within twenty (20) days after the acquisition thereof;</w:t>
      </w:r>
    </w:p>
    <w:p>
      <w:pPr>
        <w:spacing w:after="0" w:line="152" w:lineRule="exact"/>
        <w:rPr>
          <w:rFonts w:ascii="Arial" w:cs="Arial" w:eastAsia="Arial" w:hAnsi="Arial"/>
          <w:sz w:val="19"/>
          <w:szCs w:val="19"/>
          <w:color w:val="auto"/>
        </w:rPr>
      </w:pPr>
    </w:p>
    <w:p>
      <w:pPr>
        <w:ind w:firstLine="1735"/>
        <w:spacing w:after="0" w:line="260" w:lineRule="auto"/>
        <w:tabs>
          <w:tab w:leader="none" w:pos="2562" w:val="left"/>
        </w:tabs>
        <w:numPr>
          <w:ilvl w:val="0"/>
          <w:numId w:val="51"/>
        </w:numPr>
        <w:rPr>
          <w:rFonts w:ascii="Arial" w:cs="Arial" w:eastAsia="Arial" w:hAnsi="Arial"/>
          <w:sz w:val="20"/>
          <w:szCs w:val="20"/>
          <w:color w:val="auto"/>
        </w:rPr>
      </w:pPr>
      <w:r>
        <w:rPr>
          <w:rFonts w:ascii="Arial" w:cs="Arial" w:eastAsia="Arial" w:hAnsi="Arial"/>
          <w:sz w:val="20"/>
          <w:szCs w:val="20"/>
          <w:color w:val="auto"/>
        </w:rPr>
        <w:t>Liens and encumbrances of the purchaser of all or a portion of the IXINITY Royalty Stream on the IXINITY Royalty Excluded Deposit Account;</w:t>
      </w:r>
    </w:p>
    <w:p>
      <w:pPr>
        <w:spacing w:after="0" w:line="176" w:lineRule="exact"/>
        <w:rPr>
          <w:rFonts w:ascii="Arial" w:cs="Arial" w:eastAsia="Arial" w:hAnsi="Arial"/>
          <w:sz w:val="20"/>
          <w:szCs w:val="20"/>
          <w:color w:val="auto"/>
        </w:rPr>
      </w:pPr>
    </w:p>
    <w:p>
      <w:pPr>
        <w:ind w:left="2620" w:hanging="885"/>
        <w:spacing w:after="0"/>
        <w:tabs>
          <w:tab w:leader="none" w:pos="2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precautionary financing statements in connection with operating leases or consigned goods in the Ordinary</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Course of Business;</w:t>
      </w:r>
    </w:p>
    <w:p>
      <w:pPr>
        <w:spacing w:after="0" w:line="199" w:lineRule="exact"/>
        <w:rPr>
          <w:rFonts w:ascii="Arial" w:cs="Arial" w:eastAsia="Arial" w:hAnsi="Arial"/>
          <w:sz w:val="18"/>
          <w:szCs w:val="18"/>
          <w:color w:val="auto"/>
        </w:rPr>
      </w:pPr>
    </w:p>
    <w:p>
      <w:pPr>
        <w:ind w:left="2580" w:hanging="845"/>
        <w:spacing w:after="0"/>
        <w:tabs>
          <w:tab w:leader="none" w:pos="2580" w:val="left"/>
        </w:tabs>
        <w:numPr>
          <w:ilvl w:val="0"/>
          <w:numId w:val="51"/>
        </w:numPr>
        <w:rPr>
          <w:rFonts w:ascii="Arial" w:cs="Arial" w:eastAsia="Arial" w:hAnsi="Arial"/>
          <w:sz w:val="19"/>
          <w:szCs w:val="19"/>
          <w:color w:val="auto"/>
        </w:rPr>
      </w:pPr>
      <w:r>
        <w:rPr>
          <w:rFonts w:ascii="Arial" w:cs="Arial" w:eastAsia="Arial" w:hAnsi="Arial"/>
          <w:sz w:val="19"/>
          <w:szCs w:val="19"/>
          <w:color w:val="auto"/>
        </w:rPr>
        <w:t>Liens of the applicable depository bank in respect of the Credit Card Cash Collateral Accounts and the</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amounts contained therein;</w:t>
      </w:r>
    </w:p>
    <w:p>
      <w:pPr>
        <w:spacing w:after="0" w:line="199" w:lineRule="exact"/>
        <w:rPr>
          <w:rFonts w:ascii="Arial" w:cs="Arial" w:eastAsia="Arial" w:hAnsi="Arial"/>
          <w:sz w:val="19"/>
          <w:szCs w:val="19"/>
          <w:color w:val="auto"/>
        </w:rPr>
      </w:pPr>
    </w:p>
    <w:p>
      <w:pPr>
        <w:jc w:val="both"/>
        <w:ind w:firstLine="1735"/>
        <w:spacing w:after="0" w:line="246" w:lineRule="auto"/>
        <w:tabs>
          <w:tab w:leader="none" w:pos="2661" w:val="left"/>
        </w:tabs>
        <w:numPr>
          <w:ilvl w:val="0"/>
          <w:numId w:val="51"/>
        </w:numPr>
        <w:rPr>
          <w:rFonts w:ascii="Arial" w:cs="Arial" w:eastAsia="Arial" w:hAnsi="Arial"/>
          <w:sz w:val="20"/>
          <w:szCs w:val="20"/>
          <w:color w:val="auto"/>
        </w:rPr>
      </w:pPr>
      <w:r>
        <w:rPr>
          <w:rFonts w:ascii="Arial" w:cs="Arial" w:eastAsia="Arial" w:hAnsi="Arial"/>
          <w:sz w:val="20"/>
          <w:szCs w:val="20"/>
          <w:color w:val="auto"/>
        </w:rPr>
        <w:t>during the Wells Fargo LC Period, Liens on the Wells Fargo LC Cash Collateral Account and the cash and cash equivalents deposited therein, in an aggregate amount not to exceed (i) $3,000,000 at any time on or prior to December 31, 2021, or (ii) $0 at any time after December 31, 2021, securing Borrower’s obligations under the Wells Fargo Standby Letter of Credit Agreement and the Wells Fargo Letters of Credit;</w:t>
      </w:r>
    </w:p>
    <w:p>
      <w:pPr>
        <w:spacing w:after="0" w:line="191" w:lineRule="exact"/>
        <w:rPr>
          <w:rFonts w:ascii="Arial" w:cs="Arial" w:eastAsia="Arial" w:hAnsi="Arial"/>
          <w:sz w:val="20"/>
          <w:szCs w:val="20"/>
          <w:color w:val="auto"/>
        </w:rPr>
      </w:pPr>
    </w:p>
    <w:p>
      <w:pPr>
        <w:jc w:val="both"/>
        <w:ind w:firstLine="1735"/>
        <w:spacing w:after="0" w:line="244" w:lineRule="auto"/>
        <w:tabs>
          <w:tab w:leader="none" w:pos="2606" w:val="left"/>
        </w:tabs>
        <w:numPr>
          <w:ilvl w:val="0"/>
          <w:numId w:val="51"/>
        </w:numPr>
        <w:rPr>
          <w:rFonts w:ascii="Arial" w:cs="Arial" w:eastAsia="Arial" w:hAnsi="Arial"/>
          <w:sz w:val="20"/>
          <w:szCs w:val="20"/>
          <w:color w:val="auto"/>
        </w:rPr>
      </w:pPr>
      <w:r>
        <w:rPr>
          <w:rFonts w:ascii="Arial" w:cs="Arial" w:eastAsia="Arial" w:hAnsi="Arial"/>
          <w:sz w:val="20"/>
          <w:szCs w:val="20"/>
          <w:color w:val="auto"/>
        </w:rPr>
        <w:t>Liens granted in the Ordinary Course of Business on the unearned portion of insurance premiums securing the financing of insurance premiums to the extent the financing is permitted under clause (f) of the definition of Permitted Debt; provided that in the case of directors and officers, fiduciary, lawyer professional liability, employees practices liability, crime and product liability insurance, the liens securing such financing may be granted on the applicable policies of insurance and all payments to the insured under or in respect of such policies; and</w:t>
      </w:r>
    </w:p>
    <w:p>
      <w:pPr>
        <w:spacing w:after="0" w:line="86" w:lineRule="exact"/>
        <w:rPr>
          <w:rFonts w:ascii="Arial" w:cs="Arial" w:eastAsia="Arial" w:hAnsi="Arial"/>
          <w:sz w:val="20"/>
          <w:szCs w:val="20"/>
          <w:color w:val="auto"/>
        </w:rPr>
      </w:pPr>
    </w:p>
    <w:p>
      <w:pPr>
        <w:ind w:left="2620" w:hanging="885"/>
        <w:spacing w:after="0"/>
        <w:tabs>
          <w:tab w:leader="none" w:pos="26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to the extent constituting the granting of a Lien, the making of a Permitted Asset Disposition.</w:t>
      </w:r>
    </w:p>
    <w:p>
      <w:pPr>
        <w:spacing w:after="0" w:line="210"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Modifications</w:t>
      </w:r>
      <w:r>
        <w:rPr>
          <w:rFonts w:ascii="Arial" w:cs="Arial" w:eastAsia="Arial" w:hAnsi="Arial"/>
          <w:sz w:val="20"/>
          <w:szCs w:val="20"/>
          <w:color w:val="auto"/>
        </w:rPr>
        <w:t>” means (a) such amendments or other modifications to a Borrower’s or Subsidiary’s Organizational Documents as are required under this Agreement or by applicable Law and fully disclosed to Agent within thirty (30) days after such amendments or modifications have become effective, and (b) such amendments or modifications to a Borrower’s or Subsidiary’s Organizational Documents (other than those involving a reorganization of a Borrower or Subsidiary under the laws of a different jurisdiction) that would not adversely affect the rights and interests of Agent or Lenders and fully disclosed to Agent within thirty (30) days after such amendments or modifications have become effective.</w:t>
      </w:r>
    </w:p>
    <w:p>
      <w:pPr>
        <w:spacing w:after="0" w:line="184"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Refinancing</w:t>
      </w:r>
      <w:r>
        <w:rPr>
          <w:rFonts w:ascii="Arial" w:cs="Arial" w:eastAsia="Arial" w:hAnsi="Arial"/>
          <w:sz w:val="18"/>
          <w:szCs w:val="18"/>
          <w:color w:val="auto"/>
        </w:rPr>
        <w:t>” means Debt constituting a refinancing or extension of Debt permitted under clauses (c) or (d) of the definition of Permitted Debt and that (a) has an aggregate outstanding principal amount not greater than the aggregate principal amount of the Debt being refinanced or extended, (b) has a weighted average maturity (measured as of the date of such refinancing or extension) and maturity no shorter than that of the Debt being refinanced or extended, (c) is not entered into as part of a sale leaseback transaction, (d) is not secured by a Lien on any assets other than the collateral securing the Debt being refinanced or extended, (e) the obligors of which are the same as the obligors of the Debt being refinanced or extended and (f) is otherwise on terms no less favorable to Credit Parties and their Subsidiaries, taken as a whole, than those of the Debt being refinanced or extended.</w:t>
      </w:r>
    </w:p>
    <w:p>
      <w:pPr>
        <w:spacing w:after="0" w:line="162"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Royalty Stream Disposition</w:t>
      </w:r>
      <w:r>
        <w:rPr>
          <w:rFonts w:ascii="Arial" w:cs="Arial" w:eastAsia="Arial" w:hAnsi="Arial"/>
          <w:sz w:val="20"/>
          <w:szCs w:val="20"/>
          <w:color w:val="auto"/>
        </w:rPr>
        <w:t>” means (a) each Permitted Ruxience Royalty Stream Disposition, and (b) each Permitted IXINITY Royalty Stream Disposition.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79" w:name="page80"/>
    <w:bookmarkEnd w:id="79"/>
    <w:p>
      <w:pPr>
        <w:jc w:val="both"/>
        <w:ind w:firstLine="864"/>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Ruxience Royalty Stream Disposition</w:t>
      </w:r>
      <w:r>
        <w:rPr>
          <w:rFonts w:ascii="Arial" w:cs="Arial" w:eastAsia="Arial" w:hAnsi="Arial"/>
          <w:sz w:val="18"/>
          <w:szCs w:val="18"/>
          <w:color w:val="auto"/>
        </w:rPr>
        <w:t xml:space="preserve">” means any bona fide nonrecourse sale of all or any portion of the Ruxience Royalty Stream to a third party or third parties;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unless (i) Agent shall otherwise consent in writing (such consent not to be unreasonably withheld or delayed) or (ii) the proceeds of such sale are used to contemporaneously (and in any event on the same calendar day as such sale) to pay all Obligations in full, no Event of Default has occurred and is continuing at the time such sale is consummated or would result therefrom, (b) Agent shall have received at least three (3) Business Days’ prior notification and substantially complete draft documentation pursuant to which the Permitted Ruxience Royalty Stream Disposition will be consummated, (c) such sale is for fair consideration and is on commercially reasonable terms and has been approved by the Aptevo Therapeutics Board of Directors, (d) the unrestricted net cash proceeds received by Borrowers as an upfront payment (not subject to any contractual right of refund or recoupment) on the date the first such sale is consummated are greater than or equal to $20,000,000, (e) such sale is not prohibited by, or otherwise in violation of, the terms of the Ruxience Royalty Agreement or applicable Law, and (f) on the date any such sale is consummated, Borrower has made the required Mandatory Royalty Stream Disposition Prepayment in accordance with Section 2.1(a)(ii)(B)(v).</w:t>
      </w:r>
    </w:p>
    <w:p>
      <w:pPr>
        <w:spacing w:after="0" w:line="170" w:lineRule="exact"/>
        <w:rPr>
          <w:sz w:val="20"/>
          <w:szCs w:val="20"/>
          <w:color w:val="auto"/>
        </w:rPr>
      </w:pPr>
    </w:p>
    <w:p>
      <w:pPr>
        <w:jc w:val="both"/>
        <w:ind w:right="20"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means any natural person, corporation, limited liability company, professional association, limited partnership, general partnership, joint stock company, joint venture, association, company, trust, bank, trust company, land trust, business trust or other organization, whether or not a legal entity, and any Governmental Authority.</w:t>
      </w:r>
    </w:p>
    <w:p>
      <w:pPr>
        <w:spacing w:after="0" w:line="177" w:lineRule="exact"/>
        <w:rPr>
          <w:sz w:val="20"/>
          <w:szCs w:val="20"/>
          <w:color w:val="auto"/>
        </w:rPr>
      </w:pPr>
    </w:p>
    <w:p>
      <w:pPr>
        <w:jc w:val="both"/>
        <w:ind w:firstLine="864"/>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Piper Sandler Securities Account</w:t>
      </w:r>
      <w:r>
        <w:rPr>
          <w:rFonts w:ascii="Arial" w:cs="Arial" w:eastAsia="Arial" w:hAnsi="Arial"/>
          <w:sz w:val="18"/>
          <w:szCs w:val="18"/>
          <w:color w:val="auto"/>
        </w:rPr>
        <w:t xml:space="preserve">” means that certain Securities Account of Borrower maintained as a brokerage account at Piper Sandler &amp; Co., with an account number of T6A-018841 for purposes of receiving proceeds from the sale of Aptevo Therapeutics’ common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on deposit in such Securities Account shall not at any time exceed $250,000.</w:t>
      </w:r>
    </w:p>
    <w:p>
      <w:pPr>
        <w:spacing w:after="0" w:line="144" w:lineRule="exact"/>
        <w:rPr>
          <w:sz w:val="20"/>
          <w:szCs w:val="20"/>
          <w:color w:val="auto"/>
        </w:rPr>
      </w:pPr>
    </w:p>
    <w:p>
      <w:pPr>
        <w:jc w:val="both"/>
        <w:ind w:right="20"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Pledge Agreement</w:t>
      </w:r>
      <w:r>
        <w:rPr>
          <w:rFonts w:ascii="Arial" w:cs="Arial" w:eastAsia="Arial" w:hAnsi="Arial"/>
          <w:sz w:val="20"/>
          <w:szCs w:val="20"/>
          <w:color w:val="auto"/>
        </w:rPr>
        <w:t>” means that certain Pledge Agreement, dated as of the Closing Date, by and among each Pledgor (as defined therein) and Issuer (as defined therein) and the Agent.</w:t>
      </w:r>
    </w:p>
    <w:p>
      <w:pPr>
        <w:spacing w:after="0" w:line="163"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 Rata Share</w:t>
      </w:r>
      <w:r>
        <w:rPr>
          <w:rFonts w:ascii="Arial" w:cs="Arial" w:eastAsia="Arial" w:hAnsi="Arial"/>
          <w:sz w:val="19"/>
          <w:szCs w:val="19"/>
          <w:color w:val="auto"/>
        </w:rPr>
        <w:t xml:space="preserve">” means (a) with respect to a Lender’s obligation to make advances in respect of a Term Loan and such Lender’s right to receive payments of principal and interest with respect to the Term Loans, the Term Loan Commitment Percentage of such Lender, and (b) for all other purposes (including, without limitation, the indemnification obligations arising under Section 11.6) with respect to any Lender, the percentage obtained by </w:t>
      </w:r>
      <w:r>
        <w:rPr>
          <w:rFonts w:ascii="Arial" w:cs="Arial" w:eastAsia="Arial" w:hAnsi="Arial"/>
          <w:sz w:val="19"/>
          <w:szCs w:val="19"/>
          <w:i w:val="1"/>
          <w:iCs w:val="1"/>
          <w:color w:val="auto"/>
        </w:rPr>
        <w:t>dividing</w:t>
      </w:r>
      <w:r>
        <w:rPr>
          <w:rFonts w:ascii="Arial" w:cs="Arial" w:eastAsia="Arial" w:hAnsi="Arial"/>
          <w:sz w:val="19"/>
          <w:szCs w:val="19"/>
          <w:color w:val="auto"/>
        </w:rPr>
        <w:t xml:space="preserve"> (i) the Term Loan Commitment Amount of such Lender (or, in the event the Term Loan Commitment shall have been terminated, such Lender’s then outstanding principal advances of such Lender under the Term Loan), </w:t>
      </w:r>
      <w:r>
        <w:rPr>
          <w:rFonts w:ascii="Arial" w:cs="Arial" w:eastAsia="Arial" w:hAnsi="Arial"/>
          <w:sz w:val="19"/>
          <w:szCs w:val="19"/>
          <w:i w:val="1"/>
          <w:iCs w:val="1"/>
          <w:color w:val="auto"/>
        </w:rPr>
        <w:t>by</w:t>
      </w:r>
      <w:r>
        <w:rPr>
          <w:rFonts w:ascii="Arial" w:cs="Arial" w:eastAsia="Arial" w:hAnsi="Arial"/>
          <w:sz w:val="19"/>
          <w:szCs w:val="19"/>
          <w:color w:val="auto"/>
        </w:rPr>
        <w:t xml:space="preserve"> (ii) the sum of the Term Loan Commitment (or, in the event the Term Loan Commitment shall have been terminated, the then outstanding principal advances of such Lenders under the Term Loan) of all Lenders.</w:t>
      </w:r>
    </w:p>
    <w:p>
      <w:pPr>
        <w:spacing w:after="0" w:line="172" w:lineRule="exact"/>
        <w:rPr>
          <w:sz w:val="20"/>
          <w:szCs w:val="20"/>
          <w:color w:val="auto"/>
        </w:rPr>
      </w:pPr>
    </w:p>
    <w:p>
      <w:pPr>
        <w:jc w:val="both"/>
        <w:ind w:right="20"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Products</w:t>
      </w:r>
      <w:r>
        <w:rPr>
          <w:rFonts w:ascii="Arial" w:cs="Arial" w:eastAsia="Arial" w:hAnsi="Arial"/>
          <w:sz w:val="20"/>
          <w:szCs w:val="20"/>
          <w:color w:val="auto"/>
        </w:rPr>
        <w:t>” means, from time to time, any products currently manufactured, sold, developed, tested or marketed by or acquired by any Borrower or any of its Subsidiaries.</w:t>
      </w:r>
    </w:p>
    <w:p>
      <w:pPr>
        <w:spacing w:after="0" w:line="163"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Recall</w:t>
      </w:r>
      <w:r>
        <w:rPr>
          <w:rFonts w:ascii="Arial" w:cs="Arial" w:eastAsia="Arial" w:hAnsi="Arial"/>
          <w:sz w:val="20"/>
          <w:szCs w:val="20"/>
          <w:color w:val="auto"/>
        </w:rPr>
        <w:t>” means a Person’s removal or Correction of a marketed product that the FDA considers to be in violation of the laws it administers and against which the FDA would initiate legal action, e.g., seizure.</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Register</w:t>
      </w:r>
      <w:r>
        <w:rPr>
          <w:rFonts w:ascii="Arial" w:cs="Arial" w:eastAsia="Arial" w:hAnsi="Arial"/>
          <w:sz w:val="20"/>
          <w:szCs w:val="20"/>
          <w:color w:val="auto"/>
        </w:rPr>
        <w:t>” has the meaning set forth in Section 11.17(a)(iii).</w:t>
      </w:r>
    </w:p>
    <w:p>
      <w:pPr>
        <w:spacing w:after="0" w:line="216"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Registered Intellectual Property</w:t>
      </w:r>
      <w:r>
        <w:rPr>
          <w:rFonts w:ascii="Arial" w:cs="Arial" w:eastAsia="Arial" w:hAnsi="Arial"/>
          <w:sz w:val="20"/>
          <w:szCs w:val="20"/>
          <w:color w:val="auto"/>
        </w:rPr>
        <w:t>” means any patent, registered trademark or servicemark, registered copyright, registered mask work, or any pending application for any of the foregoing.</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Regulatory Reporting Event</w:t>
      </w:r>
      <w:r>
        <w:rPr>
          <w:rFonts w:ascii="Arial" w:cs="Arial" w:eastAsia="Arial" w:hAnsi="Arial"/>
          <w:sz w:val="20"/>
          <w:szCs w:val="20"/>
          <w:color w:val="auto"/>
        </w:rPr>
        <w:t>” has the meaning set forth in Section 4.17.</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0" w:name="page81"/>
    <w:bookmarkEnd w:id="80"/>
    <w:p>
      <w:pPr>
        <w:jc w:val="both"/>
        <w:ind w:firstLine="864"/>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Required Permit</w:t>
      </w:r>
      <w:r>
        <w:rPr>
          <w:rFonts w:ascii="Arial" w:cs="Arial" w:eastAsia="Arial" w:hAnsi="Arial"/>
          <w:sz w:val="18"/>
          <w:szCs w:val="18"/>
          <w:color w:val="auto"/>
        </w:rPr>
        <w:t>” means any and all licenses, approvals and permits issued by the FDA, or any other applicable Governmental Authority, including without limitation Drug Applications, necessary for the testing, manufacture, marketing or sale of any Product by any applicable Borrower(s) and its Subsidiaries as such activities are being conducted by such Borrower and its Subsidiaries with respect to such Product at such time and any drug listings and drug establishment registrations under 21 U.S.C. Section 510 as may be required under applicable Laws, and those issued by state governments for the conduct of Borrower’s or any Subsidiary’s business.</w:t>
      </w:r>
    </w:p>
    <w:p>
      <w:pPr>
        <w:spacing w:after="0" w:line="156"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Required Lenders</w:t>
      </w:r>
      <w:r>
        <w:rPr>
          <w:rFonts w:ascii="Arial" w:cs="Arial" w:eastAsia="Arial" w:hAnsi="Arial"/>
          <w:sz w:val="20"/>
          <w:szCs w:val="20"/>
          <w:color w:val="auto"/>
        </w:rPr>
        <w:t>” means at any time Lenders holding (a) fifty percent (50%) or more of the sum of the Term Loan Commitment (taken as a whole), or (b) if the Term Loan Commitment has been terminated, fifty percent (50%) or more of the then aggregate outstanding principal balance of the Loans</w:t>
      </w:r>
      <w:r>
        <w:rPr>
          <w:rFonts w:ascii="Arial" w:cs="Arial" w:eastAsia="Arial" w:hAnsi="Arial"/>
          <w:sz w:val="20"/>
          <w:szCs w:val="20"/>
          <w:i w:val="1"/>
          <w:iCs w:val="1"/>
          <w:color w:val="auto"/>
        </w:rPr>
        <w:t>.</w:t>
      </w:r>
    </w:p>
    <w:p>
      <w:pPr>
        <w:spacing w:after="0" w:line="177"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Responsible Officer</w:t>
      </w:r>
      <w:r>
        <w:rPr>
          <w:rFonts w:ascii="Arial" w:cs="Arial" w:eastAsia="Arial" w:hAnsi="Arial"/>
          <w:sz w:val="19"/>
          <w:szCs w:val="19"/>
          <w:color w:val="auto"/>
        </w:rPr>
        <w:t>” means any of the Chief Executive Officer, Chief Operating Officer, Chief Financial Officer, Treasurer, Comptroller, Vice President of Finance, or any other officer of the applicable Borrower reasonably acceptable to Agent.</w:t>
      </w:r>
    </w:p>
    <w:p>
      <w:pPr>
        <w:spacing w:after="0" w:line="142"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Royalty</w:t>
      </w:r>
      <w:r>
        <w:rPr>
          <w:rFonts w:ascii="Arial" w:cs="Arial" w:eastAsia="Arial" w:hAnsi="Arial"/>
          <w:sz w:val="18"/>
          <w:szCs w:val="18"/>
          <w:color w:val="auto"/>
        </w:rPr>
        <w:t>” means a royalty, earnout, distribution, license fee or other payment or income or receivable of any type, including any such payments characterized as a share of net profits, up-front or lump sum payment, milestone payment, commission, fee or any other similar amount owed to any Person as a result of such Person’s rights (including in connection with any sale or transfer) in respect of any Intellectual Property, any Product or any device, drug or other biologic or pharmaceutical product or preparation or diagnostic test.</w:t>
      </w:r>
    </w:p>
    <w:p>
      <w:pPr>
        <w:spacing w:after="0" w:line="152"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Royalty Agreement</w:t>
      </w:r>
      <w:r>
        <w:rPr>
          <w:rFonts w:ascii="Arial" w:cs="Arial" w:eastAsia="Arial" w:hAnsi="Arial"/>
          <w:sz w:val="21"/>
          <w:szCs w:val="21"/>
          <w:color w:val="auto"/>
        </w:rPr>
        <w:t>”</w:t>
      </w:r>
      <w:r>
        <w:rPr>
          <w:rFonts w:ascii="Arial" w:cs="Arial" w:eastAsia="Arial" w:hAnsi="Arial"/>
          <w:sz w:val="20"/>
          <w:szCs w:val="20"/>
          <w:color w:val="auto"/>
        </w:rPr>
        <w:t xml:space="preserve"> means each of (a) the Ruxience Royalty Agreement, (b) the IXINITY Royalty Agreement, and (c) each other agreement or document pursuant to which Credit Parties or their subsidiaries are reasonably expected to receive Royalties (net of any payments required to be made by the Credit Parties in respect of the sales resulting in such Royalties) in excess of (i) $1,000,000 per year or (ii) $7,500,000 in aggregate during the term of such agreement or document.</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Royalty Stream</w:t>
      </w:r>
      <w:r>
        <w:rPr>
          <w:rFonts w:ascii="Arial" w:cs="Arial" w:eastAsia="Arial" w:hAnsi="Arial"/>
          <w:sz w:val="20"/>
          <w:szCs w:val="20"/>
          <w:color w:val="auto"/>
        </w:rPr>
        <w:t>” means each of the Ruxience Royalty Stream and the IXINITY Royalty Stream.</w:t>
      </w:r>
    </w:p>
    <w:p>
      <w:pPr>
        <w:spacing w:after="0" w:line="216"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Ruxience Royalty Agreement</w:t>
      </w:r>
      <w:r>
        <w:rPr>
          <w:rFonts w:ascii="Arial" w:cs="Arial" w:eastAsia="Arial" w:hAnsi="Arial"/>
          <w:sz w:val="18"/>
          <w:szCs w:val="18"/>
          <w:color w:val="auto"/>
        </w:rPr>
        <w:t>” means that certain License and Collaboration Agreement between Wyeth LLC and Aptevo R&amp;D (as successor in interest to Emergent Product Development Seattle, LLC, as successor in interest to Trubion Pharmaceuticals, Inc.), dated as of December 19, 2005, as amended, supplemented or otherwise modified from time to time prior to the Closing Date and as thereafter amended, supplemented or otherwise modified from time to time in accordance with the terms of this Agreement.</w:t>
      </w:r>
    </w:p>
    <w:p>
      <w:pPr>
        <w:spacing w:after="0" w:line="151"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Ruxience Royalty Stream</w:t>
      </w:r>
      <w:r>
        <w:rPr>
          <w:rFonts w:ascii="Arial" w:cs="Arial" w:eastAsia="Arial" w:hAnsi="Arial"/>
          <w:sz w:val="20"/>
          <w:szCs w:val="20"/>
          <w:color w:val="auto"/>
        </w:rPr>
        <w:t>” means all rights to receive Royalties and all other amounts to be paid to or on behalf of Borrowers or any of their Subsidiaries under or pursuant to the Ruxience Royalty Agreement or any other agreement or document entered into in connection therewith and all other Royalties in respect of Ruxience, any other CD-20 Product (as defined in the Ruxience Royalty Agreement), or any CD20 Biosimilar Product (as defined in the Ruxience Royalty Agreement).</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w:t>
      </w:r>
      <w:r>
        <w:rPr>
          <w:rFonts w:ascii="Arial" w:cs="Arial" w:eastAsia="Arial" w:hAnsi="Arial"/>
          <w:sz w:val="20"/>
          <w:szCs w:val="20"/>
          <w:color w:val="auto"/>
        </w:rPr>
        <w:t>” means the United States Securities and Exchange Commission.</w:t>
      </w:r>
    </w:p>
    <w:p>
      <w:pPr>
        <w:spacing w:after="0" w:line="216"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Secured Guarantor</w:t>
      </w:r>
      <w:r>
        <w:rPr>
          <w:rFonts w:ascii="Arial" w:cs="Arial" w:eastAsia="Arial" w:hAnsi="Arial"/>
          <w:sz w:val="20"/>
          <w:szCs w:val="20"/>
          <w:color w:val="auto"/>
        </w:rPr>
        <w:t>” means any Credit Party that has executed or delivered, or shall in the future execute or deliver to Agent, any Guarantee of all or any portion of the Obligations, the obligations under which are secured by all or substantially all of its property of the type described in Schedule 9.1 hereto (other than Excluded Property).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1" w:name="page82"/>
    <w:bookmarkEnd w:id="81"/>
    <w:p>
      <w:pPr>
        <w:jc w:val="both"/>
        <w:ind w:right="20"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Securities Account</w:t>
      </w:r>
      <w:r>
        <w:rPr>
          <w:rFonts w:ascii="Arial" w:cs="Arial" w:eastAsia="Arial" w:hAnsi="Arial"/>
          <w:sz w:val="20"/>
          <w:szCs w:val="20"/>
          <w:color w:val="auto"/>
        </w:rPr>
        <w:t>” means a “securities account” (as defined in Article 9 of the UCC), an investment account, or other account in which investment property or securities are held or invested for credit to or for the benefit of any Borrower.</w:t>
      </w:r>
    </w:p>
    <w:p>
      <w:pPr>
        <w:spacing w:after="0" w:line="163"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Securities Account Control Agreement</w:t>
      </w:r>
      <w:r>
        <w:rPr>
          <w:rFonts w:ascii="Arial" w:cs="Arial" w:eastAsia="Arial" w:hAnsi="Arial"/>
          <w:sz w:val="20"/>
          <w:szCs w:val="20"/>
          <w:color w:val="auto"/>
        </w:rPr>
        <w:t>” means an agreement, in form and substance reasonably satisfactory to Agent, among Agent, any applicable Borrower and each securities intermediary in which such Borrower maintains a Securities Account pursuant to which Agent shall obtain “control” (as defined in Article 9 of the UCC) over such Securities Account.</w:t>
      </w:r>
    </w:p>
    <w:p>
      <w:pPr>
        <w:spacing w:after="0" w:line="177" w:lineRule="exact"/>
        <w:rPr>
          <w:sz w:val="20"/>
          <w:szCs w:val="20"/>
          <w:color w:val="auto"/>
        </w:rPr>
      </w:pPr>
    </w:p>
    <w:p>
      <w:pPr>
        <w:jc w:val="both"/>
        <w:ind w:firstLine="86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Security Document</w:t>
      </w:r>
      <w:r>
        <w:rPr>
          <w:rFonts w:ascii="Arial" w:cs="Arial" w:eastAsia="Arial" w:hAnsi="Arial"/>
          <w:sz w:val="19"/>
          <w:szCs w:val="19"/>
          <w:color w:val="auto"/>
        </w:rPr>
        <w:t>” means this Agreement, the Intellectual Property Security Agreement, the Pledge Agreement, each collateral assignment agreement with respect to any Royalty Agreement, and each other agreement, document or instrument executed concurrently herewith or at any time hereafter pursuant to which one or more Credit Parties or any other Person either (a) Guarantees payment or performance of all or any portion of the Obligations, and/or (b) provides, as security for all or any portion of the Obligations, a Lien on any of its assets in favor of Agent for its own benefit and the benefit of the Lenders.</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Solvent</w:t>
      </w:r>
      <w:r>
        <w:rPr>
          <w:rFonts w:ascii="Arial" w:cs="Arial" w:eastAsia="Arial" w:hAnsi="Arial"/>
          <w:sz w:val="18"/>
          <w:szCs w:val="18"/>
          <w:color w:val="auto"/>
        </w:rPr>
        <w:t>” means, with respect to any Person, that such Person (a) owns and will own assets the fair saleable value of which are</w:t>
      </w:r>
    </w:p>
    <w:p>
      <w:pPr>
        <w:spacing w:after="0" w:line="45" w:lineRule="exact"/>
        <w:rPr>
          <w:sz w:val="20"/>
          <w:szCs w:val="20"/>
          <w:color w:val="auto"/>
        </w:rPr>
      </w:pPr>
    </w:p>
    <w:p>
      <w:pPr>
        <w:jc w:val="both"/>
        <w:ind w:firstLine="8"/>
        <w:spacing w:after="0" w:line="256" w:lineRule="auto"/>
        <w:tabs>
          <w:tab w:leader="none" w:pos="261" w:val="left"/>
        </w:tabs>
        <w:numPr>
          <w:ilvl w:val="0"/>
          <w:numId w:val="52"/>
        </w:numPr>
        <w:rPr>
          <w:rFonts w:ascii="Arial" w:cs="Arial" w:eastAsia="Arial" w:hAnsi="Arial"/>
          <w:sz w:val="19"/>
          <w:szCs w:val="19"/>
          <w:color w:val="auto"/>
        </w:rPr>
      </w:pPr>
      <w:r>
        <w:rPr>
          <w:rFonts w:ascii="Arial" w:cs="Arial" w:eastAsia="Arial" w:hAnsi="Arial"/>
          <w:sz w:val="19"/>
          <w:szCs w:val="19"/>
          <w:color w:val="auto"/>
        </w:rPr>
        <w:t>greater than the total amount of its debts and liabilities (including subordinated and Contingent Obligations), and (ii) greater than the amount that will be required to pay the probable liabilities of its then existing debts as they become absolute and matured considering all financing alternatives and potential asset sales reasonably available to it; (b) has capital that is not unreasonably small in relation to its business as presently conducted or after giving effect to any contemplated transaction; and (c) does not intend to incur and does not believe that it will incur debts beyond its ability to pay such debts as they become due.</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Stated Rate</w:t>
      </w:r>
      <w:r>
        <w:rPr>
          <w:rFonts w:ascii="Arial" w:cs="Arial" w:eastAsia="Arial" w:hAnsi="Arial"/>
          <w:sz w:val="20"/>
          <w:szCs w:val="20"/>
          <w:color w:val="auto"/>
        </w:rPr>
        <w:t>” has the meaning set forth in Section 2.7.</w:t>
      </w:r>
    </w:p>
    <w:p>
      <w:pPr>
        <w:spacing w:after="0" w:line="216"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Subordinated Debt</w:t>
      </w:r>
      <w:r>
        <w:rPr>
          <w:rFonts w:ascii="Arial" w:cs="Arial" w:eastAsia="Arial" w:hAnsi="Arial"/>
          <w:sz w:val="20"/>
          <w:szCs w:val="20"/>
          <w:color w:val="auto"/>
        </w:rPr>
        <w:t>” means any Debt of Borrowers incurred pursuant to the terms of the Subordinated Debt Documents and with the prior written consent of Agent, all of which documents must be in form and substance acceptable to Agent in its sole discretion. As of the Closing Date, there is no Subordinated Debt.</w:t>
      </w:r>
    </w:p>
    <w:p>
      <w:pPr>
        <w:spacing w:after="0" w:line="177"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Subordinated Debt Documents</w:t>
      </w:r>
      <w:r>
        <w:rPr>
          <w:rFonts w:ascii="Arial" w:cs="Arial" w:eastAsia="Arial" w:hAnsi="Arial"/>
          <w:sz w:val="20"/>
          <w:szCs w:val="20"/>
          <w:color w:val="auto"/>
        </w:rPr>
        <w:t>” means any documents evidencing and/or securing Debt governed by a Subordination Agreement, all of which documents must be in form and substance acceptable to Agent in its sole discretion. As of the Closing Date, there are no Subordinated Debt Documents.</w:t>
      </w:r>
    </w:p>
    <w:p>
      <w:pPr>
        <w:spacing w:after="0" w:line="177"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Subordination Agreement</w:t>
      </w:r>
      <w:r>
        <w:rPr>
          <w:rFonts w:ascii="Arial" w:cs="Arial" w:eastAsia="Arial" w:hAnsi="Arial"/>
          <w:sz w:val="18"/>
          <w:szCs w:val="18"/>
          <w:color w:val="auto"/>
        </w:rPr>
        <w:t>” means each agreement between Agent and another creditor of the Credit Parties, as the same may be amended, supplemented, restated or otherwise modified from time to time in accordance with the terms thereof, pursuant to which the Debt owing from any Credit Party and/or the Liens securing such Debt granted by any Credit Party to such creditor are subordinated in any way to the Obligations and the Liens created under the Security Documents, the terms and provisions of such Subordination Agreements to have been agreed to by and be acceptable to Agent in the exercise of its sole discretion.</w:t>
      </w:r>
    </w:p>
    <w:p>
      <w:pPr>
        <w:spacing w:after="0" w:line="156"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Subsidiary</w:t>
      </w:r>
      <w:r>
        <w:rPr>
          <w:rFonts w:ascii="Arial" w:cs="Arial" w:eastAsia="Arial" w:hAnsi="Arial"/>
          <w:sz w:val="20"/>
          <w:szCs w:val="20"/>
          <w:color w:val="auto"/>
        </w:rPr>
        <w:t>” means, with respect to any Person, (a) any corporation of which an aggregate of more than fifty percent (50%) of the outstanding capital stock having ordinary voting power to elect a majority of the board of directors of such corporation (irrespective of whether, at the time, capital stock of any other class or classes of such corporation shall have or might have voting power by reason of the happening of any contingency) is at the time, directly or indirectly, owned legally or beneficially by such Person or one or more Subsidiaries of such Person, or with respect to which any such Person has the right to vote or designate the vote of more than fifty percent (50%) of such capital stock whether by proxy, agreement,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2" w:name="page83"/>
    <w:bookmarkEnd w:id="82"/>
    <w:p>
      <w:pPr>
        <w:jc w:val="both"/>
        <w:spacing w:after="0" w:line="263" w:lineRule="auto"/>
        <w:rPr>
          <w:sz w:val="20"/>
          <w:szCs w:val="20"/>
          <w:color w:val="auto"/>
        </w:rPr>
      </w:pPr>
      <w:r>
        <w:rPr>
          <w:rFonts w:ascii="Arial" w:cs="Arial" w:eastAsia="Arial" w:hAnsi="Arial"/>
          <w:sz w:val="19"/>
          <w:szCs w:val="19"/>
          <w:color w:val="auto"/>
        </w:rPr>
        <w:t>operation of law or otherwise, and (b) any partnership or limited liability company in which such Person and/or one or more Subsidiaries of such Person shall have an interest (whether in the form of voting or participation in profits or capital contribution) of more than fifty percent (50%) or of which any such Person is a general partner or may exercise the powers of a general partner. Unless the context otherwise requires, each reference to a Subsidiary shall be a reference to a Subsidiary of a Borrower.</w:t>
      </w:r>
    </w:p>
    <w:p>
      <w:pPr>
        <w:spacing w:after="0" w:line="170"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Swap Contract</w:t>
      </w:r>
      <w:r>
        <w:rPr>
          <w:rFonts w:ascii="Arial" w:cs="Arial" w:eastAsia="Arial" w:hAnsi="Arial"/>
          <w:sz w:val="20"/>
          <w:szCs w:val="20"/>
          <w:color w:val="auto"/>
        </w:rPr>
        <w:t>” means any “swap agreement”, as defined in Section 101 of the Bankruptcy Code, that is obtained by Borrower to provide protection against fluctuations in interest or currency exchange rates, but only if Agent provides its prior written consent to the entry into such “swap agreement”.</w:t>
      </w:r>
    </w:p>
    <w:p>
      <w:pPr>
        <w:spacing w:after="0" w:line="177"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Taxes</w:t>
      </w:r>
      <w:r>
        <w:rPr>
          <w:rFonts w:ascii="Arial" w:cs="Arial" w:eastAsia="Arial" w:hAnsi="Arial"/>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Loan</w:t>
      </w:r>
      <w:r>
        <w:rPr>
          <w:rFonts w:ascii="Arial" w:cs="Arial" w:eastAsia="Arial" w:hAnsi="Arial"/>
          <w:sz w:val="20"/>
          <w:szCs w:val="20"/>
          <w:color w:val="auto"/>
        </w:rPr>
        <w:t>” has the meaning set forth in Section 2.1(a)(i).</w:t>
      </w:r>
    </w:p>
    <w:p>
      <w:pPr>
        <w:spacing w:after="0" w:line="216"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Loan Commitment</w:t>
      </w:r>
      <w:r>
        <w:rPr>
          <w:rFonts w:ascii="Arial" w:cs="Arial" w:eastAsia="Arial" w:hAnsi="Arial"/>
          <w:sz w:val="20"/>
          <w:szCs w:val="20"/>
          <w:color w:val="auto"/>
        </w:rPr>
        <w:t>” means the sum of each Lender’s Term Loan Commitment Amount, which is equal to $25,000,000.00 in the aggregate for all such Lender’s as of the Closing Date.</w:t>
      </w:r>
    </w:p>
    <w:p>
      <w:pPr>
        <w:spacing w:after="0" w:line="163"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 Amount</w:t>
      </w:r>
      <w:r>
        <w:rPr>
          <w:rFonts w:ascii="Arial" w:cs="Arial" w:eastAsia="Arial" w:hAnsi="Arial"/>
          <w:sz w:val="18"/>
          <w:szCs w:val="18"/>
          <w:color w:val="auto"/>
        </w:rPr>
        <w:t>” means, (a) as to any Lender that is a Lender on the Closing Date, the dollar amount set forth opposite such Lender’s name on the Commitment Annex under the column “Term Loan Commitment Amount”, as such amount may be adjusted from time to time by any amounts assigned (with respect to such Lender’s portion of Term Loans outstanding and its commitment to make advances in respect of the Term Loan) pursuant to the terms of any and all effective assignment agreements to which such Lender is a party, and (b) as to any Lender that becomes a Lender after the Closing Date, the amount of the “Term Loan Commitment Amount(s)” of other Lender(s) assigned to such new Lender pursuant to the terms of the effective assignment agreement(s) pursuant to which such new Lender shall become a Lender, as such amount may be adjusted from time to time by any amounts assigned (with respect to such Lender’s portion of Term Loans outstanding and its commitment to make advances in respect of the Term Loan) pursuant to the terms of any and all effective assignment agreements to which such Lender is a party.</w:t>
      </w:r>
    </w:p>
    <w:p>
      <w:pPr>
        <w:spacing w:after="0" w:line="162"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Loan Commitment Percentage</w:t>
      </w:r>
      <w:r>
        <w:rPr>
          <w:rFonts w:ascii="Arial" w:cs="Arial" w:eastAsia="Arial" w:hAnsi="Arial"/>
          <w:sz w:val="20"/>
          <w:szCs w:val="20"/>
          <w:color w:val="auto"/>
        </w:rPr>
        <w:t xml:space="preserve">” means, as to any Lender, (a) on the Closing Date, the percentage set forth opposite such Lender’s name on the Commitment Annex under the column “Term Loan Commitment Percentage” (if such Lender’s name is not so set forth thereon, then, on the Closing Date, such percentage for such Lender shall be deemed to be zero), and (b) on any date following the Closing Date, the percentage equal to the Term Loan Commitment Amount of such Lender on such date </w:t>
      </w:r>
      <w:r>
        <w:rPr>
          <w:rFonts w:ascii="Arial" w:cs="Arial" w:eastAsia="Arial" w:hAnsi="Arial"/>
          <w:sz w:val="20"/>
          <w:szCs w:val="20"/>
          <w:i w:val="1"/>
          <w:iCs w:val="1"/>
          <w:color w:val="auto"/>
        </w:rPr>
        <w:t>divided by</w:t>
      </w:r>
      <w:r>
        <w:rPr>
          <w:rFonts w:ascii="Arial" w:cs="Arial" w:eastAsia="Arial" w:hAnsi="Arial"/>
          <w:sz w:val="20"/>
          <w:szCs w:val="20"/>
          <w:color w:val="auto"/>
        </w:rPr>
        <w:t xml:space="preserve"> the Term Loan Commitment on such date.</w:t>
      </w:r>
    </w:p>
    <w:p>
      <w:pPr>
        <w:spacing w:after="0" w:line="185"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Termination Date</w:t>
      </w:r>
      <w:r>
        <w:rPr>
          <w:rFonts w:ascii="Arial" w:cs="Arial" w:eastAsia="Arial" w:hAnsi="Arial"/>
          <w:sz w:val="20"/>
          <w:szCs w:val="20"/>
          <w:color w:val="auto"/>
        </w:rPr>
        <w:t>” means the earliest to occur of (a) the Maturity Date, (b) any date on which the maturity of the Loans is accelerated pursuant to Section 10.2, or (c) the termination date stated in any notice of termination of this Agreement provided by Borrowers in accordance with Section 2.12.</w:t>
      </w:r>
    </w:p>
    <w:p>
      <w:pPr>
        <w:spacing w:after="0" w:line="177" w:lineRule="exact"/>
        <w:rPr>
          <w:sz w:val="20"/>
          <w:szCs w:val="20"/>
          <w:color w:val="auto"/>
        </w:rPr>
      </w:pPr>
    </w:p>
    <w:p>
      <w:pPr>
        <w:jc w:val="both"/>
        <w:ind w:right="20"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Third Party Payor</w:t>
      </w:r>
      <w:r>
        <w:rPr>
          <w:rFonts w:ascii="Arial" w:cs="Arial" w:eastAsia="Arial" w:hAnsi="Arial"/>
          <w:sz w:val="20"/>
          <w:szCs w:val="20"/>
          <w:color w:val="auto"/>
        </w:rPr>
        <w:t>” means Medicare, Medicaid, TRICARE, and other state or federal health care program, Blue Cross and/or Blue Shield, private insurers, managed care plans and any other Person or entity which presently or in the future maintains Third Party Payor Programs.</w:t>
      </w:r>
    </w:p>
    <w:p>
      <w:pPr>
        <w:spacing w:after="0" w:line="177"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Third Party Payor Programs</w:t>
      </w:r>
      <w:r>
        <w:rPr>
          <w:rFonts w:ascii="Arial" w:cs="Arial" w:eastAsia="Arial" w:hAnsi="Arial"/>
          <w:sz w:val="20"/>
          <w:szCs w:val="20"/>
          <w:color w:val="auto"/>
        </w:rPr>
        <w:t>” means all payment and reimbursement programs, sponsored by a Third Party Payor, in which a Borrower participates.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3" w:name="page84"/>
    <w:bookmarkEnd w:id="83"/>
    <w:p>
      <w:pPr>
        <w:jc w:val="both"/>
        <w:ind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TRICARE</w:t>
      </w:r>
      <w:r>
        <w:rPr>
          <w:rFonts w:ascii="Arial" w:cs="Arial" w:eastAsia="Arial" w:hAnsi="Arial"/>
          <w:sz w:val="20"/>
          <w:szCs w:val="20"/>
          <w:color w:val="auto"/>
        </w:rPr>
        <w:t>” means the program administered pursuant to 10 U.S.C. Section 1071 et. seq, Sections 1320a-7 and 1320a-7a of Title 42 of the United States Code and the regulations promulgated pursuant to such statutes.</w:t>
      </w:r>
    </w:p>
    <w:p>
      <w:pPr>
        <w:spacing w:after="0" w:line="163" w:lineRule="exact"/>
        <w:rPr>
          <w:sz w:val="20"/>
          <w:szCs w:val="20"/>
          <w:color w:val="auto"/>
        </w:rPr>
      </w:pPr>
    </w:p>
    <w:p>
      <w:pPr>
        <w:jc w:val="both"/>
        <w:ind w:right="20"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UCC</w:t>
      </w:r>
      <w:r>
        <w:rPr>
          <w:rFonts w:ascii="Arial" w:cs="Arial" w:eastAsia="Arial" w:hAnsi="Arial"/>
          <w:sz w:val="20"/>
          <w:szCs w:val="20"/>
          <w:color w:val="auto"/>
        </w:rPr>
        <w:t>” means the Uniform Commercial Code of the State of New York or of any other state the laws of which are required to be applied in connection with the perfection of security interests in any Collateral.</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United States</w:t>
      </w:r>
      <w:r>
        <w:rPr>
          <w:rFonts w:ascii="Arial" w:cs="Arial" w:eastAsia="Arial" w:hAnsi="Arial"/>
          <w:sz w:val="20"/>
          <w:szCs w:val="20"/>
          <w:color w:val="auto"/>
        </w:rPr>
        <w:t>” means the United States of America.</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 Tax Compliance Certificate</w:t>
      </w:r>
      <w:r>
        <w:rPr>
          <w:rFonts w:ascii="Arial" w:cs="Arial" w:eastAsia="Arial" w:hAnsi="Arial"/>
          <w:sz w:val="20"/>
          <w:szCs w:val="20"/>
          <w:color w:val="auto"/>
        </w:rPr>
        <w:t>” has the meaning set forth in Section 2.8(c)(i).</w:t>
      </w:r>
    </w:p>
    <w:p>
      <w:pPr>
        <w:spacing w:after="0" w:line="216"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Wells Fargo LC Cash Collateral Account</w:t>
      </w:r>
      <w:r>
        <w:rPr>
          <w:rFonts w:ascii="Arial" w:cs="Arial" w:eastAsia="Arial" w:hAnsi="Arial"/>
          <w:sz w:val="18"/>
          <w:szCs w:val="18"/>
          <w:color w:val="auto"/>
        </w:rPr>
        <w:t>” means one or more certificates of deposit of Borrower maintained at Wells Fargo (including without limitation certificate of deposit numbers 1139862385, 1445113564, 1472051927 and 2181475910) that are segregated from and not commingled with any other funds of Borrower or its Subsidiaries, the aggregate balance of which shall not at any time exceed 105% of the face value of the Wells Fargo Letters of Credit then outstanding, and which shall constitute the sole security for the obligations of Borrower under the Wells Fargo Standby Letter of Credit Agreement and the Wells Fargo Letters of Credit.</w:t>
      </w:r>
    </w:p>
    <w:p>
      <w:pPr>
        <w:spacing w:after="0" w:line="156"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Wells Fargo LC Period</w:t>
      </w:r>
      <w:r>
        <w:rPr>
          <w:rFonts w:ascii="Arial" w:cs="Arial" w:eastAsia="Arial" w:hAnsi="Arial"/>
          <w:sz w:val="20"/>
          <w:szCs w:val="20"/>
          <w:color w:val="auto"/>
        </w:rPr>
        <w:t>” means the period commencing on the Closing Date and terminating on the earlier of (a) the date Borrower receives all or substantially all of its anticipated value added tax refunds from the Italian government, the Wells Fargo Letters of Credit have expired or been terminated and the Borrower’s obligations under the Wells Fargo Standby Letter of Credit Agreement have terminated and (b) December 31, 2021.</w:t>
      </w:r>
    </w:p>
    <w:p>
      <w:pPr>
        <w:spacing w:after="0" w:line="183"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Wells Fargo Letters of Credit</w:t>
      </w:r>
      <w:r>
        <w:rPr>
          <w:rFonts w:ascii="Arial" w:cs="Arial" w:eastAsia="Arial" w:hAnsi="Arial"/>
          <w:sz w:val="20"/>
          <w:szCs w:val="20"/>
          <w:color w:val="auto"/>
        </w:rPr>
        <w:t xml:space="preserve">” means those certain letters of credit issued during the Wells Fargo LC Period by Wells Fargo for the account of Borrowers pursuant to the Wells Fargo Standby Letter of Credit Agreement, but solely to the extent required by the beneficiary thereof in order for Borrowers to receive value added tax refunds from the Italian government;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however, that the aggregate face value of all such letters of credit may not exceed (i) $3,000,000 at any time on or prior to December 31, 2021, or (ii) $0 at any time after December 31, 2021.</w:t>
      </w:r>
    </w:p>
    <w:p>
      <w:pPr>
        <w:spacing w:after="0" w:line="185"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Wells Fargo Standby Letter of Credit Agreement</w:t>
      </w:r>
      <w:r>
        <w:rPr>
          <w:rFonts w:ascii="Arial" w:cs="Arial" w:eastAsia="Arial" w:hAnsi="Arial"/>
          <w:sz w:val="20"/>
          <w:szCs w:val="20"/>
          <w:color w:val="auto"/>
        </w:rPr>
        <w:t>” means that certain Standby Letter of Credit Agreement, dated as of February 23, 2018, pursuant to which Wells Fargo has agreed to issue letters of credit for the account of Borrower and Borrower has agreed to reimburse Wells Fargo for amounts drawn under such letters of credit, as amended, supplemented or otherwise modified from time to time in accordance with the terms hereof and thereof.</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Withholding Agent</w:t>
      </w:r>
      <w:r>
        <w:rPr>
          <w:rFonts w:ascii="Arial" w:cs="Arial" w:eastAsia="Arial" w:hAnsi="Arial"/>
          <w:sz w:val="20"/>
          <w:szCs w:val="20"/>
          <w:color w:val="auto"/>
        </w:rPr>
        <w:t>” means any Borrower or Agent.</w:t>
      </w:r>
    </w:p>
    <w:p>
      <w:pPr>
        <w:spacing w:after="0" w:line="216"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Write-Down and Conversion Powers”</w:t>
      </w:r>
      <w:r>
        <w:rPr>
          <w:rFonts w:ascii="Arial" w:cs="Arial" w:eastAsia="Arial" w:hAnsi="Arial"/>
          <w:sz w:val="20"/>
          <w:szCs w:val="20"/>
          <w:color w:val="auto"/>
        </w:rPr>
        <w:t xml:space="preserve">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77"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9"/>
          <w:szCs w:val="19"/>
          <w:b w:val="1"/>
          <w:bCs w:val="1"/>
          <w:color w:val="auto"/>
        </w:rPr>
        <w:t xml:space="preserve">Section 1.2 </w:t>
      </w:r>
      <w:r>
        <w:rPr>
          <w:rFonts w:ascii="Arial" w:cs="Arial" w:eastAsia="Arial" w:hAnsi="Arial"/>
          <w:sz w:val="19"/>
          <w:szCs w:val="19"/>
          <w:u w:val="single" w:color="auto"/>
          <w:color w:val="auto"/>
        </w:rPr>
        <w:t>Accounting Terms and Determinations</w:t>
      </w:r>
      <w:r>
        <w:rPr>
          <w:rFonts w:ascii="Arial" w:cs="Arial" w:eastAsia="Arial" w:hAnsi="Arial"/>
          <w:sz w:val="19"/>
          <w:szCs w:val="19"/>
          <w:color w:val="auto"/>
        </w:rPr>
        <w:t>. Unless otherwise specified herein, all accounting terms used herein</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interpreted, all accounting determinations hereunder (including, without limitation, determinations made pursuant to the exhibits hereto) shall be made, and all financial statements required to be delivered hereunder shall be prepared on a consolidated basis in accordance with GAAP applied on a basis consistent with the most recent audited consolidated financial statements of each</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4" w:name="page85"/>
    <w:bookmarkEnd w:id="84"/>
    <w:p>
      <w:pPr>
        <w:jc w:val="both"/>
        <w:spacing w:after="0" w:line="270" w:lineRule="auto"/>
        <w:rPr>
          <w:sz w:val="20"/>
          <w:szCs w:val="20"/>
          <w:color w:val="auto"/>
        </w:rPr>
      </w:pPr>
      <w:r>
        <w:rPr>
          <w:rFonts w:ascii="Arial" w:cs="Arial" w:eastAsia="Arial" w:hAnsi="Arial"/>
          <w:sz w:val="18"/>
          <w:szCs w:val="18"/>
          <w:color w:val="auto"/>
        </w:rPr>
        <w:t xml:space="preserve">Borrower and its Consolidated Subsidiaries delivered to Agent on or prior to the Closing Date. If at any time any change in GAAP would affect the computation of any financial ratio or financial requirement set forth in any Financing Document, and either Borrowers or the Required Lenders shall so request, Agent, the Lenders and Borrowers shall negotiate in good faith to amend such ratio or requirement to preserve the original intent thereof in light of such change in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until so amended, (a) such ratio or requirement shall continue to be computed in accordance with GAAP prior to such change therein and (b) Borrowers shall provide to Agent and the Lenders financial statements and other documents required under this Agreement which include a reconciliation between calculations of such ratio or requirement made before and after giving effect to such change in GAAP. Any obligations of a Person under a lease (whether existing now or entered into in the future) that is not (or would not be) a capital lease obligation under GAAP as in effect prior to giving effect to FASB Accounting Standards Update No. 2016-02, Leases, shall not be treated as a capital lease obligation solely as a result of the adoption of changes in GAAP. Notwithstanding any other provision contained herein, all terms of an accounting or financial nature used herein shall be construed, and all computations of amounts and ratios referred to herein shall be made, without giving effect to any election under Statement of Financial Accounting Standards 159 (or any other Financial Accounting Standard having a similar result or effect) to value any Debt or other liabilities of any Credit Party or any Subsidiary of any Credit Party at “fair value”, as defined therein.</w:t>
      </w:r>
    </w:p>
    <w:p>
      <w:pPr>
        <w:spacing w:after="0" w:line="166"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u w:val="single" w:color="auto"/>
          <w:color w:val="auto"/>
        </w:rPr>
        <w:t>Other Definitional and Interpretive Provisions</w:t>
      </w:r>
      <w:r>
        <w:rPr>
          <w:rFonts w:ascii="Arial" w:cs="Arial" w:eastAsia="Arial" w:hAnsi="Arial"/>
          <w:sz w:val="18"/>
          <w:szCs w:val="18"/>
          <w:color w:val="auto"/>
        </w:rPr>
        <w:t>. References in this Agreement to “Articles”, “Sections”,</w:t>
      </w:r>
      <w:r>
        <w:rPr>
          <w:rFonts w:ascii="Arial" w:cs="Arial" w:eastAsia="Arial" w:hAnsi="Arial"/>
          <w:sz w:val="18"/>
          <w:szCs w:val="18"/>
          <w:b w:val="1"/>
          <w:bCs w:val="1"/>
          <w:color w:val="auto"/>
        </w:rPr>
        <w:t xml:space="preserve"> </w:t>
      </w:r>
      <w:r>
        <w:rPr>
          <w:rFonts w:ascii="Arial" w:cs="Arial" w:eastAsia="Arial" w:hAnsi="Arial"/>
          <w:sz w:val="18"/>
          <w:szCs w:val="18"/>
          <w:color w:val="auto"/>
        </w:rPr>
        <w:t>“Annexes”, “Exhibits”, or “Schedules” shall be to Articles, Sections, Annexes, Exhibits or Schedules of or to this Agreement unless otherwise specifically provided. Any term defined herein may be used in the singular or plural. “Include”, “includes” and “including” shall be deemed to be followed by “without limitation”. Except as otherwise specified or limited herein, references to any Person include the successors and assigns of such Person. References “from” or “through” any date mean, unless otherwise specified, “from and including” or “through and including”, respectively. Unless otherwise specified herein, the settlement of all payments and fundings hereunder between or among the parties hereto shall be made in lawful money of the United States and in immediately available funds. References to any statute or act shall include all related current regulations and all amendments to such statutes, acts and regulations, and any successor statutes, acts and regulations. All amounts used for purposes of financial calculations required to be made herein shall be without duplication. References to any statute or act, without additional reference, shall be deemed to refer to federal statutes and acts of the United States. References to any agreement, instrument or document shall include all schedules, exhibits, annexes and other attachments thereto. References to any agreement, instrument or document shall include all amendments thereto, to the extent permitted herby. References to capitalized terms that are not defined herein, but are defined in the UCC, shall have the meanings given them in the UCC. All references herein to times of day shall be references to daylight or standard time, as applicable. All references herein to a merger, transfer, consolidation, amalgamation, assignment, sale or transfer, or analogous term, will be construed to mean also a division of or by a limited liability company, as if it were a merger, transfer, consolidation, amalgamation, assignment, sale or transfer, or similar term, as applicable. Any series of limited liability company shall be considered a separate Person.</w:t>
      </w:r>
    </w:p>
    <w:p>
      <w:pPr>
        <w:spacing w:after="0" w:line="174" w:lineRule="exact"/>
        <w:rPr>
          <w:sz w:val="20"/>
          <w:szCs w:val="20"/>
          <w:color w:val="auto"/>
        </w:rPr>
      </w:pPr>
    </w:p>
    <w:p>
      <w:pPr>
        <w:jc w:val="both"/>
        <w:ind w:right="20" w:firstLine="864"/>
        <w:spacing w:after="0" w:line="253" w:lineRule="auto"/>
        <w:rPr>
          <w:sz w:val="20"/>
          <w:szCs w:val="20"/>
          <w:color w:val="auto"/>
        </w:rPr>
      </w:pPr>
      <w:r>
        <w:rPr>
          <w:rFonts w:ascii="Arial" w:cs="Arial" w:eastAsia="Arial" w:hAnsi="Arial"/>
          <w:sz w:val="20"/>
          <w:szCs w:val="20"/>
          <w:b w:val="1"/>
          <w:bCs w:val="1"/>
          <w:color w:val="auto"/>
        </w:rPr>
        <w:t xml:space="preserve">Section 1.4 </w:t>
      </w:r>
      <w:r>
        <w:rPr>
          <w:rFonts w:ascii="Arial" w:cs="Arial" w:eastAsia="Arial" w:hAnsi="Arial"/>
          <w:sz w:val="20"/>
          <w:szCs w:val="20"/>
          <w:u w:val="single" w:color="auto"/>
          <w:color w:val="auto"/>
        </w:rPr>
        <w:t>Settlement and Funding Mechanics</w:t>
      </w:r>
      <w:r>
        <w:rPr>
          <w:rFonts w:ascii="Arial" w:cs="Arial" w:eastAsia="Arial" w:hAnsi="Arial"/>
          <w:sz w:val="20"/>
          <w:szCs w:val="20"/>
          <w:color w:val="auto"/>
        </w:rPr>
        <w:t>. Unless otherwise specified herein, the settlement of all payments and</w:t>
      </w:r>
      <w:r>
        <w:rPr>
          <w:rFonts w:ascii="Arial" w:cs="Arial" w:eastAsia="Arial" w:hAnsi="Arial"/>
          <w:sz w:val="20"/>
          <w:szCs w:val="20"/>
          <w:b w:val="1"/>
          <w:bCs w:val="1"/>
          <w:color w:val="auto"/>
        </w:rPr>
        <w:t xml:space="preserve"> </w:t>
      </w:r>
      <w:r>
        <w:rPr>
          <w:rFonts w:ascii="Arial" w:cs="Arial" w:eastAsia="Arial" w:hAnsi="Arial"/>
          <w:sz w:val="20"/>
          <w:szCs w:val="20"/>
          <w:color w:val="auto"/>
        </w:rPr>
        <w:t>fundings hereunder between or among the parties hereto shall be made in lawful money of the United States and in immediately available funds.</w:t>
      </w:r>
    </w:p>
    <w:p>
      <w:pPr>
        <w:spacing w:after="0" w:line="177"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 xml:space="preserve">Section 1.5 </w:t>
      </w:r>
      <w:r>
        <w:rPr>
          <w:rFonts w:ascii="Arial" w:cs="Arial" w:eastAsia="Arial" w:hAnsi="Arial"/>
          <w:sz w:val="20"/>
          <w:szCs w:val="20"/>
          <w:u w:val="single" w:color="auto"/>
          <w:color w:val="auto"/>
        </w:rPr>
        <w:t>Time is of the Essence</w:t>
      </w:r>
      <w:r>
        <w:rPr>
          <w:rFonts w:ascii="Arial" w:cs="Arial" w:eastAsia="Arial" w:hAnsi="Arial"/>
          <w:sz w:val="20"/>
          <w:szCs w:val="20"/>
          <w:color w:val="auto"/>
        </w:rPr>
        <w:t>. Time is of the essence in Borrower’s and each other Credit Party’s performance under</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and all other Financing Documents.</w:t>
      </w:r>
    </w:p>
    <w:p>
      <w:pPr>
        <w:spacing w:after="0" w:line="163"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 xml:space="preserve">Section 1.6 </w:t>
      </w:r>
      <w:r>
        <w:rPr>
          <w:rFonts w:ascii="Arial" w:cs="Arial" w:eastAsia="Arial" w:hAnsi="Arial"/>
          <w:sz w:val="20"/>
          <w:szCs w:val="20"/>
          <w:u w:val="single" w:color="auto"/>
          <w:color w:val="auto"/>
        </w:rPr>
        <w:t>Time of Day</w:t>
      </w:r>
      <w:r>
        <w:rPr>
          <w:rFonts w:ascii="Arial" w:cs="Arial" w:eastAsia="Arial" w:hAnsi="Arial"/>
          <w:sz w:val="20"/>
          <w:szCs w:val="20"/>
          <w:color w:val="auto"/>
        </w:rPr>
        <w:t>. Unless otherwise specified, all references herein to times of day shall be references to Eastern</w:t>
      </w:r>
      <w:r>
        <w:rPr>
          <w:rFonts w:ascii="Arial" w:cs="Arial" w:eastAsia="Arial" w:hAnsi="Arial"/>
          <w:sz w:val="20"/>
          <w:szCs w:val="20"/>
          <w:b w:val="1"/>
          <w:bCs w:val="1"/>
          <w:color w:val="auto"/>
        </w:rPr>
        <w:t xml:space="preserve"> </w:t>
      </w:r>
      <w:r>
        <w:rPr>
          <w:rFonts w:ascii="Arial" w:cs="Arial" w:eastAsia="Arial" w:hAnsi="Arial"/>
          <w:sz w:val="20"/>
          <w:szCs w:val="20"/>
          <w:color w:val="auto"/>
        </w:rPr>
        <w:t>time (daylight savings or standard, as applicable).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20"/>
          <w:szCs w:val="20"/>
          <w:b w:val="1"/>
          <w:bCs w:val="1"/>
          <w:color w:val="auto"/>
        </w:rPr>
        <w:t xml:space="preserve">ARTICLE 2 </w:t>
      </w:r>
      <w:r>
        <w:rPr>
          <w:rFonts w:ascii="Arial" w:cs="Arial" w:eastAsia="Arial" w:hAnsi="Arial"/>
          <w:sz w:val="20"/>
          <w:szCs w:val="20"/>
          <w:color w:val="auto"/>
        </w:rPr>
        <w:t>- LOANS</w:t>
      </w:r>
    </w:p>
    <w:p>
      <w:pPr>
        <w:spacing w:after="0" w:line="216" w:lineRule="exact"/>
        <w:rPr>
          <w:sz w:val="20"/>
          <w:szCs w:val="20"/>
          <w:color w:val="auto"/>
        </w:rPr>
      </w:pPr>
    </w:p>
    <w:p>
      <w:pPr>
        <w:ind w:left="880"/>
        <w:spacing w:after="0"/>
        <w:tabs>
          <w:tab w:leader="none" w:pos="2420" w:val="left"/>
        </w:tabs>
        <w:rPr>
          <w:sz w:val="20"/>
          <w:szCs w:val="20"/>
          <w:color w:val="auto"/>
        </w:rPr>
      </w:pPr>
      <w:r>
        <w:rPr>
          <w:rFonts w:ascii="Arial" w:cs="Arial" w:eastAsia="Arial" w:hAnsi="Arial"/>
          <w:sz w:val="20"/>
          <w:szCs w:val="20"/>
          <w:b w:val="1"/>
          <w:bCs w:val="1"/>
          <w:color w:val="auto"/>
        </w:rPr>
        <w:t>Section 2.1</w:t>
      </w:r>
      <w:r>
        <w:rPr>
          <w:sz w:val="20"/>
          <w:szCs w:val="20"/>
          <w:color w:val="auto"/>
        </w:rPr>
        <w:tab/>
      </w:r>
      <w:r>
        <w:rPr>
          <w:rFonts w:ascii="Arial" w:cs="Arial" w:eastAsia="Arial" w:hAnsi="Arial"/>
          <w:sz w:val="16"/>
          <w:szCs w:val="16"/>
          <w:u w:val="single" w:color="auto"/>
          <w:color w:val="auto"/>
        </w:rPr>
        <w:t>Loans</w:t>
      </w:r>
      <w:r>
        <w:rPr>
          <w:rFonts w:ascii="Arial" w:cs="Arial" w:eastAsia="Arial" w:hAnsi="Arial"/>
          <w:sz w:val="16"/>
          <w:szCs w:val="16"/>
          <w:color w:val="auto"/>
        </w:rPr>
        <w:t>.</w:t>
      </w:r>
    </w:p>
    <w:p>
      <w:pPr>
        <w:spacing w:after="0" w:line="222" w:lineRule="exact"/>
        <w:rPr>
          <w:sz w:val="20"/>
          <w:szCs w:val="20"/>
          <w:color w:val="auto"/>
        </w:rPr>
      </w:pPr>
    </w:p>
    <w:p>
      <w:pPr>
        <w:ind w:left="2600" w:hanging="865"/>
        <w:spacing w:after="0"/>
        <w:tabs>
          <w:tab w:leader="none" w:pos="2600"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Term Loans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880" w:firstLine="1586"/>
        <w:spacing w:after="0" w:line="257" w:lineRule="auto"/>
        <w:tabs>
          <w:tab w:leader="none" w:pos="3309" w:val="left"/>
        </w:tabs>
        <w:numPr>
          <w:ilvl w:val="1"/>
          <w:numId w:val="53"/>
        </w:numPr>
        <w:rPr>
          <w:rFonts w:ascii="Arial" w:cs="Arial" w:eastAsia="Arial" w:hAnsi="Arial"/>
          <w:sz w:val="19"/>
          <w:szCs w:val="19"/>
          <w:color w:val="auto"/>
        </w:rPr>
      </w:pPr>
      <w:r>
        <w:rPr>
          <w:rFonts w:ascii="Arial" w:cs="Arial" w:eastAsia="Arial" w:hAnsi="Arial"/>
          <w:sz w:val="19"/>
          <w:szCs w:val="19"/>
          <w:u w:val="single" w:color="auto"/>
          <w:color w:val="auto"/>
        </w:rPr>
        <w:t>Term Loan Amounts</w:t>
      </w:r>
      <w:r>
        <w:rPr>
          <w:rFonts w:ascii="Arial" w:cs="Arial" w:eastAsia="Arial" w:hAnsi="Arial"/>
          <w:sz w:val="19"/>
          <w:szCs w:val="19"/>
          <w:color w:val="auto"/>
        </w:rPr>
        <w:t>. On the terms and subject to the conditions set forth herein and in the other Financing Documents, the Lenders severally hereby agree to make to Borrowers a term loan in an original aggregate principal amount equal to the Term Loan Commitment (“</w:t>
      </w:r>
      <w:r>
        <w:rPr>
          <w:rFonts w:ascii="Arial" w:cs="Arial" w:eastAsia="Arial" w:hAnsi="Arial"/>
          <w:sz w:val="19"/>
          <w:szCs w:val="19"/>
          <w:b w:val="1"/>
          <w:bCs w:val="1"/>
          <w:color w:val="auto"/>
        </w:rPr>
        <w:t>Term Loan</w:t>
      </w:r>
      <w:r>
        <w:rPr>
          <w:rFonts w:ascii="Arial" w:cs="Arial" w:eastAsia="Arial" w:hAnsi="Arial"/>
          <w:sz w:val="19"/>
          <w:szCs w:val="19"/>
          <w:color w:val="auto"/>
        </w:rPr>
        <w:t>”). Each Lender’s obligation to fund the Term Loan shall be limited to such Lender’s Term Loan Commitment Percentage, and no Lender shall have any obligation to fund any portion of any Term Loan required to be funded by any other Lender, but not so funded. No Borrower shall have any right to reborrow any portion of the Term Loan that is repaid or prepaid from time to time. The Term Loan shall be funded on the Closing Date. Borrowers shall deliver to Agent a Notice of Borrowing with respect to the proposed Term Loan advance, such Notice of Borrowing to be delivered no later than noon (Eastern time) on the Closing Date.</w:t>
      </w:r>
    </w:p>
    <w:p>
      <w:pPr>
        <w:spacing w:after="0" w:line="180" w:lineRule="exact"/>
        <w:rPr>
          <w:rFonts w:ascii="Arial" w:cs="Arial" w:eastAsia="Arial" w:hAnsi="Arial"/>
          <w:sz w:val="19"/>
          <w:szCs w:val="19"/>
          <w:color w:val="auto"/>
        </w:rPr>
      </w:pPr>
    </w:p>
    <w:p>
      <w:pPr>
        <w:ind w:left="3360" w:hanging="894"/>
        <w:spacing w:after="0"/>
        <w:tabs>
          <w:tab w:leader="none" w:pos="3360" w:val="left"/>
        </w:tabs>
        <w:numPr>
          <w:ilvl w:val="1"/>
          <w:numId w:val="53"/>
        </w:numPr>
        <w:rPr>
          <w:rFonts w:ascii="Arial" w:cs="Arial" w:eastAsia="Arial" w:hAnsi="Arial"/>
          <w:sz w:val="20"/>
          <w:szCs w:val="20"/>
          <w:color w:val="auto"/>
        </w:rPr>
      </w:pPr>
      <w:r>
        <w:rPr>
          <w:rFonts w:ascii="Arial" w:cs="Arial" w:eastAsia="Arial" w:hAnsi="Arial"/>
          <w:sz w:val="20"/>
          <w:szCs w:val="20"/>
          <w:u w:val="single" w:color="auto"/>
          <w:color w:val="auto"/>
        </w:rPr>
        <w:t>Scheduled Repayments; Mandatory Prepayments; Optional Prepayments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740" w:firstLine="1457"/>
        <w:spacing w:after="0" w:line="246" w:lineRule="auto"/>
        <w:tabs>
          <w:tab w:leader="none" w:pos="4124" w:val="left"/>
        </w:tabs>
        <w:numPr>
          <w:ilvl w:val="2"/>
          <w:numId w:val="53"/>
        </w:numPr>
        <w:rPr>
          <w:rFonts w:ascii="Arial" w:cs="Arial" w:eastAsia="Arial" w:hAnsi="Arial"/>
          <w:sz w:val="20"/>
          <w:szCs w:val="20"/>
          <w:color w:val="auto"/>
        </w:rPr>
      </w:pPr>
      <w:r>
        <w:rPr>
          <w:rFonts w:ascii="Arial" w:cs="Arial" w:eastAsia="Arial" w:hAnsi="Arial"/>
          <w:sz w:val="20"/>
          <w:szCs w:val="20"/>
          <w:color w:val="auto"/>
        </w:rPr>
        <w:t xml:space="preserve">There shall become due and payable, and Borrowers shall repay the Term Loan through, scheduled payments as set forth on </w:t>
      </w:r>
      <w:r>
        <w:rPr>
          <w:rFonts w:ascii="Arial" w:cs="Arial" w:eastAsia="Arial" w:hAnsi="Arial"/>
          <w:sz w:val="20"/>
          <w:szCs w:val="20"/>
          <w:u w:val="single" w:color="auto"/>
          <w:color w:val="auto"/>
        </w:rPr>
        <w:t>Schedule 2.1</w:t>
      </w:r>
      <w:r>
        <w:rPr>
          <w:rFonts w:ascii="Arial" w:cs="Arial" w:eastAsia="Arial" w:hAnsi="Arial"/>
          <w:sz w:val="20"/>
          <w:szCs w:val="20"/>
          <w:color w:val="auto"/>
        </w:rPr>
        <w:t xml:space="preserve"> attached hereto. Notwithstanding the payment schedule set forth above, the outstanding principal amount of the Term Loan shall become immediately due and payable in full on the Termination Date.</w:t>
      </w:r>
    </w:p>
    <w:p>
      <w:pPr>
        <w:spacing w:after="0" w:line="191" w:lineRule="exact"/>
        <w:rPr>
          <w:rFonts w:ascii="Arial" w:cs="Arial" w:eastAsia="Arial" w:hAnsi="Arial"/>
          <w:sz w:val="20"/>
          <w:szCs w:val="20"/>
          <w:color w:val="auto"/>
        </w:rPr>
      </w:pPr>
    </w:p>
    <w:p>
      <w:pPr>
        <w:ind w:left="1740" w:firstLine="1457"/>
        <w:spacing w:after="0" w:line="260" w:lineRule="auto"/>
        <w:tabs>
          <w:tab w:leader="none" w:pos="4113" w:val="left"/>
        </w:tabs>
        <w:numPr>
          <w:ilvl w:val="2"/>
          <w:numId w:val="53"/>
        </w:numPr>
        <w:rPr>
          <w:rFonts w:ascii="Arial" w:cs="Arial" w:eastAsia="Arial" w:hAnsi="Arial"/>
          <w:sz w:val="20"/>
          <w:szCs w:val="20"/>
          <w:color w:val="auto"/>
        </w:rPr>
      </w:pPr>
      <w:r>
        <w:rPr>
          <w:rFonts w:ascii="Arial" w:cs="Arial" w:eastAsia="Arial" w:hAnsi="Arial"/>
          <w:sz w:val="20"/>
          <w:szCs w:val="20"/>
          <w:color w:val="auto"/>
        </w:rPr>
        <w:t>There shall become due and payable and Borrowers shall prepay the Term Loan in the following amounts and at the following times:</w:t>
      </w:r>
    </w:p>
    <w:p>
      <w:pPr>
        <w:spacing w:after="0" w:line="190" w:lineRule="exact"/>
        <w:rPr>
          <w:rFonts w:ascii="Arial" w:cs="Arial" w:eastAsia="Arial" w:hAnsi="Arial"/>
          <w:sz w:val="20"/>
          <w:szCs w:val="20"/>
          <w:color w:val="auto"/>
        </w:rPr>
      </w:pPr>
    </w:p>
    <w:p>
      <w:pPr>
        <w:jc w:val="both"/>
        <w:ind w:left="2600" w:firstLine="1329"/>
        <w:spacing w:after="0" w:line="273" w:lineRule="auto"/>
        <w:tabs>
          <w:tab w:leader="none" w:pos="4780" w:val="left"/>
        </w:tabs>
        <w:numPr>
          <w:ilvl w:val="3"/>
          <w:numId w:val="53"/>
        </w:numPr>
        <w:rPr>
          <w:rFonts w:ascii="Arial" w:cs="Arial" w:eastAsia="Arial" w:hAnsi="Arial"/>
          <w:sz w:val="19"/>
          <w:szCs w:val="19"/>
          <w:color w:val="auto"/>
        </w:rPr>
      </w:pPr>
      <w:r>
        <w:rPr>
          <w:rFonts w:ascii="Arial" w:cs="Arial" w:eastAsia="Arial" w:hAnsi="Arial"/>
          <w:sz w:val="18"/>
          <w:szCs w:val="18"/>
          <w:color w:val="auto"/>
        </w:rPr>
        <w:t>Unless Agent shall otherwise consent in writing, on the date on which any Credit Party (or Agent as loss payee or assignee) receives any casualty proceeds in excess of $250,000 with respect to assets upon which Agent maintained a Lien, an amount equal to one hundred percent (100%) of such proceeds (net of out-of-pocket expenses and repayment of secured debt permitted under clause (c) of the definition of Permitted Debt and encumbering the property that suffered such casualty), or such lesser portion of such proceeds as Agent shall elect to apply to the Obligations;</w:t>
      </w:r>
    </w:p>
    <w:p>
      <w:pPr>
        <w:spacing w:after="0" w:line="180" w:lineRule="exact"/>
        <w:rPr>
          <w:rFonts w:ascii="Arial" w:cs="Arial" w:eastAsia="Arial" w:hAnsi="Arial"/>
          <w:sz w:val="19"/>
          <w:szCs w:val="19"/>
          <w:color w:val="auto"/>
        </w:rPr>
      </w:pPr>
    </w:p>
    <w:p>
      <w:pPr>
        <w:jc w:val="both"/>
        <w:ind w:left="2600" w:firstLine="1329"/>
        <w:spacing w:after="0" w:line="238" w:lineRule="auto"/>
        <w:tabs>
          <w:tab w:leader="none" w:pos="4841" w:val="left"/>
        </w:tabs>
        <w:numPr>
          <w:ilvl w:val="3"/>
          <w:numId w:val="53"/>
        </w:numPr>
        <w:rPr>
          <w:rFonts w:ascii="Arial" w:cs="Arial" w:eastAsia="Arial" w:hAnsi="Arial"/>
          <w:sz w:val="22"/>
          <w:szCs w:val="22"/>
          <w:color w:val="auto"/>
        </w:rPr>
      </w:pPr>
      <w:r>
        <w:rPr>
          <w:rFonts w:ascii="Arial" w:cs="Arial" w:eastAsia="Arial" w:hAnsi="Arial"/>
          <w:sz w:val="20"/>
          <w:szCs w:val="20"/>
          <w:color w:val="auto"/>
        </w:rPr>
        <w:t>an amount equal to any interest that is deemed to be in excess of the Maximum Lawful Rate (as defined below) and is required to be applied to the reduction of the principal balance of the Loans by any Lender as provided for in Section 2.7;</w:t>
      </w:r>
    </w:p>
    <w:p>
      <w:pPr>
        <w:spacing w:after="0" w:line="211" w:lineRule="exact"/>
        <w:rPr>
          <w:rFonts w:ascii="Arial" w:cs="Arial" w:eastAsia="Arial" w:hAnsi="Arial"/>
          <w:sz w:val="22"/>
          <w:szCs w:val="22"/>
          <w:color w:val="auto"/>
        </w:rPr>
      </w:pPr>
    </w:p>
    <w:p>
      <w:pPr>
        <w:jc w:val="both"/>
        <w:ind w:left="2600" w:firstLine="1329"/>
        <w:spacing w:after="0" w:line="239" w:lineRule="auto"/>
        <w:tabs>
          <w:tab w:leader="none" w:pos="4900" w:val="left"/>
        </w:tabs>
        <w:numPr>
          <w:ilvl w:val="3"/>
          <w:numId w:val="53"/>
        </w:numPr>
        <w:rPr>
          <w:rFonts w:ascii="Arial" w:cs="Arial" w:eastAsia="Arial" w:hAnsi="Arial"/>
          <w:sz w:val="22"/>
          <w:szCs w:val="22"/>
          <w:color w:val="auto"/>
        </w:rPr>
      </w:pPr>
      <w:r>
        <w:rPr>
          <w:rFonts w:ascii="Arial" w:cs="Arial" w:eastAsia="Arial" w:hAnsi="Arial"/>
          <w:sz w:val="20"/>
          <w:szCs w:val="20"/>
          <w:color w:val="auto"/>
        </w:rPr>
        <w:t>unless Agent shall otherwise consent in writing, upon receipt by any Credit Party of the proceeds of any Asset Disposition in excess of $250,000 in any fiscal year that is not made in the Ordinary Course of Business, an amount equal to one hundred percent (100%) of the net cash proceeds of such asset disposition (net of out-of-pocket expenses and repayment of secured debt permitted under clause (c) of the definition of Permitted Debt and encumbering such asset), or such lesser portion as Agent shall elect to apply to the Obligations;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6" w:name="page87"/>
    <w:bookmarkEnd w:id="86"/>
    <w:p>
      <w:pPr>
        <w:jc w:val="both"/>
        <w:ind w:left="2600" w:firstLine="1329"/>
        <w:spacing w:after="0" w:line="274" w:lineRule="auto"/>
        <w:tabs>
          <w:tab w:leader="none" w:pos="4888" w:val="left"/>
        </w:tabs>
        <w:numPr>
          <w:ilvl w:val="0"/>
          <w:numId w:val="54"/>
        </w:numPr>
        <w:rPr>
          <w:rFonts w:ascii="Arial" w:cs="Arial" w:eastAsia="Arial" w:hAnsi="Arial"/>
          <w:sz w:val="19"/>
          <w:szCs w:val="19"/>
          <w:color w:val="auto"/>
        </w:rPr>
      </w:pPr>
      <w:r>
        <w:rPr>
          <w:rFonts w:ascii="Arial" w:cs="Arial" w:eastAsia="Arial" w:hAnsi="Arial"/>
          <w:sz w:val="18"/>
          <w:szCs w:val="18"/>
          <w:color w:val="auto"/>
        </w:rPr>
        <w:t>if Borrower or any of its Subsidiaries enters into any Permitted License pursuant to clause (e) of the definition thereof, unless Agent shall otherwise consent in writing (in its sole discretion), on the date such Permitted License is entered into, Borrower shall prepay the Term Loans in an amount equal the aggregate upfront consideration received or deemed received by or on behalf of Borrowers or its Subsidiaries under or in connection with entering into such Permitted License;</w:t>
      </w:r>
    </w:p>
    <w:p>
      <w:pPr>
        <w:spacing w:after="0" w:line="182" w:lineRule="exact"/>
        <w:rPr>
          <w:rFonts w:ascii="Arial" w:cs="Arial" w:eastAsia="Arial" w:hAnsi="Arial"/>
          <w:sz w:val="19"/>
          <w:szCs w:val="19"/>
          <w:color w:val="auto"/>
        </w:rPr>
      </w:pPr>
    </w:p>
    <w:p>
      <w:pPr>
        <w:jc w:val="both"/>
        <w:ind w:left="2600" w:firstLine="1329"/>
        <w:spacing w:after="0" w:line="268" w:lineRule="auto"/>
        <w:tabs>
          <w:tab w:leader="none" w:pos="4829" w:val="left"/>
        </w:tabs>
        <w:numPr>
          <w:ilvl w:val="0"/>
          <w:numId w:val="54"/>
        </w:numPr>
        <w:rPr>
          <w:rFonts w:ascii="Arial" w:cs="Arial" w:eastAsia="Arial" w:hAnsi="Arial"/>
          <w:sz w:val="19"/>
          <w:szCs w:val="19"/>
          <w:color w:val="auto"/>
        </w:rPr>
      </w:pPr>
      <w:r>
        <w:rPr>
          <w:rFonts w:ascii="Arial" w:cs="Arial" w:eastAsia="Arial" w:hAnsi="Arial"/>
          <w:sz w:val="18"/>
          <w:szCs w:val="18"/>
          <w:color w:val="auto"/>
        </w:rPr>
        <w:t>on the date on which any Permitted Royalty Stream Disposition is consummated, Borrower shall prepay the Term Loan in the following amounts: (A) with respect to the first Permitted Royalty Stream Disposition to occur after the Closing Date (the Royalty Stream that is the subject of such Permitted Royalty Stream Disposition being, the “</w:t>
      </w:r>
      <w:r>
        <w:rPr>
          <w:rFonts w:ascii="Arial" w:cs="Arial" w:eastAsia="Arial" w:hAnsi="Arial"/>
          <w:sz w:val="18"/>
          <w:szCs w:val="18"/>
          <w:b w:val="1"/>
          <w:bCs w:val="1"/>
          <w:color w:val="auto"/>
        </w:rPr>
        <w:t>First Sold Royalty Stream</w:t>
      </w:r>
      <w:r>
        <w:rPr>
          <w:rFonts w:ascii="Arial" w:cs="Arial" w:eastAsia="Arial" w:hAnsi="Arial"/>
          <w:sz w:val="18"/>
          <w:szCs w:val="18"/>
          <w:color w:val="auto"/>
        </w:rPr>
        <w:t xml:space="preserve">”) and for any subsequent Permitted Royalty Stream Disposition in respect of the First Sold Royalty Stream, an amount equal to the lesser of (x) $20,000,000 and (y) the total amount of nonrefundable upfront consideration paid or payable in connection with such Permitted Royalty Stream Disposition net of all out-of-pocket expenses of Borrower with respect thereto, including any Taxes;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the Borrowers be required to prepay the Term Loans in an aggregate amount greater than $20,000,000 pursuant to this clause (A), and (B) with respect to any Permitted Royalty Stream Disposition in respect of any Royalty Stream other than the First Sold Royalty Stream, an amount sufficient to pay all the Obligations in cash in full ((A) and (B), collectively, the “</w:t>
      </w:r>
      <w:r>
        <w:rPr>
          <w:rFonts w:ascii="Arial" w:cs="Arial" w:eastAsia="Arial" w:hAnsi="Arial"/>
          <w:sz w:val="18"/>
          <w:szCs w:val="18"/>
          <w:b w:val="1"/>
          <w:bCs w:val="1"/>
          <w:color w:val="auto"/>
        </w:rPr>
        <w:t>Mandatory Royalty Stream Disposition Prepayment</w:t>
      </w:r>
      <w:r>
        <w:rPr>
          <w:rFonts w:ascii="Arial" w:cs="Arial" w:eastAsia="Arial" w:hAnsi="Arial"/>
          <w:sz w:val="18"/>
          <w:szCs w:val="18"/>
          <w:color w:val="auto"/>
        </w:rPr>
        <w:t>”). By way of example and for the avoidance of doubt, if the First Sold Royalty Stream is the IXINITY Royalty Stream, Borrowers shall be required to pay all the Obligations in full pursuant to clause (v)(B) above on the first date that any Permitted Royalty Stream Disposition in respect of the Ruxience Royalty Stream occurs; and</w:t>
      </w:r>
    </w:p>
    <w:p>
      <w:pPr>
        <w:spacing w:after="0" w:line="192" w:lineRule="exact"/>
        <w:rPr>
          <w:rFonts w:ascii="Arial" w:cs="Arial" w:eastAsia="Arial" w:hAnsi="Arial"/>
          <w:sz w:val="19"/>
          <w:szCs w:val="19"/>
          <w:color w:val="auto"/>
        </w:rPr>
      </w:pPr>
    </w:p>
    <w:p>
      <w:pPr>
        <w:jc w:val="both"/>
        <w:ind w:left="2600" w:firstLine="1329"/>
        <w:spacing w:after="0" w:line="253" w:lineRule="auto"/>
        <w:tabs>
          <w:tab w:leader="none" w:pos="4888" w:val="left"/>
        </w:tabs>
        <w:numPr>
          <w:ilvl w:val="0"/>
          <w:numId w:val="54"/>
        </w:numPr>
        <w:rPr>
          <w:rFonts w:ascii="Arial" w:cs="Arial" w:eastAsia="Arial" w:hAnsi="Arial"/>
          <w:sz w:val="21"/>
          <w:szCs w:val="21"/>
          <w:color w:val="auto"/>
        </w:rPr>
      </w:pPr>
      <w:r>
        <w:rPr>
          <w:rFonts w:ascii="Arial" w:cs="Arial" w:eastAsia="Arial" w:hAnsi="Arial"/>
          <w:sz w:val="19"/>
          <w:szCs w:val="19"/>
          <w:color w:val="auto"/>
        </w:rPr>
        <w:t xml:space="preserve">commencing with the calendar quarter ending on June 30, 2021 and for each calendar quarter ending thereafter, Borrower shall, by the date that is forty-five (45) days following the last day of each such calendar quarter, prepay the Term Loan in an amount equal to 100% of the Royalties received (or deemed received) by or on behalf of Borrowers or any of their Subsidiaries during such calendar quarter, including all amounts received in respect of the Ruxience Royalty Stream and the IXINITY Royalty Stream, up to a cap of $2,500,000 for each such calendar quarter;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prepayments shall be required pursuant to this clause (vi) if, at any time, the aggregate outstanding principal balance of the Term Loans has been reduced to an amount equal to or less than $5,000,000 as a result of Borrower making a prepayment pursuant to clause (v)(A) above (each such prepayment a “</w:t>
      </w:r>
      <w:r>
        <w:rPr>
          <w:rFonts w:ascii="Arial" w:cs="Arial" w:eastAsia="Arial" w:hAnsi="Arial"/>
          <w:sz w:val="19"/>
          <w:szCs w:val="19"/>
          <w:b w:val="1"/>
          <w:bCs w:val="1"/>
          <w:color w:val="auto"/>
        </w:rPr>
        <w:t>Mandatory Excess</w:t>
      </w:r>
      <w:r>
        <w:rPr>
          <w:rFonts w:ascii="Arial" w:cs="Arial" w:eastAsia="Arial" w:hAnsi="Arial"/>
          <w:sz w:val="19"/>
          <w:szCs w:val="19"/>
          <w:color w:val="auto"/>
        </w:rPr>
        <w:t xml:space="preserve"> </w:t>
      </w:r>
      <w:r>
        <w:rPr>
          <w:rFonts w:ascii="Arial" w:cs="Arial" w:eastAsia="Arial" w:hAnsi="Arial"/>
          <w:sz w:val="19"/>
          <w:szCs w:val="19"/>
          <w:b w:val="1"/>
          <w:bCs w:val="1"/>
          <w:color w:val="auto"/>
        </w:rPr>
        <w:t>Royalty Payment</w:t>
      </w:r>
      <w:r>
        <w:rPr>
          <w:rFonts w:ascii="Arial" w:cs="Arial" w:eastAsia="Arial" w:hAnsi="Arial"/>
          <w:sz w:val="19"/>
          <w:szCs w:val="19"/>
          <w:color w:val="auto"/>
        </w:rPr>
        <w:t>”).</w:t>
      </w:r>
    </w:p>
    <w:p>
      <w:pPr>
        <w:spacing w:after="0" w:line="184" w:lineRule="exact"/>
        <w:rPr>
          <w:sz w:val="20"/>
          <w:szCs w:val="20"/>
          <w:color w:val="auto"/>
        </w:rPr>
      </w:pPr>
    </w:p>
    <w:p>
      <w:pPr>
        <w:jc w:val="both"/>
        <w:ind w:left="1740" w:firstLine="731"/>
        <w:spacing w:after="0" w:line="243" w:lineRule="auto"/>
        <w:rPr>
          <w:sz w:val="20"/>
          <w:szCs w:val="20"/>
          <w:color w:val="auto"/>
        </w:rPr>
      </w:pPr>
      <w:r>
        <w:rPr>
          <w:rFonts w:ascii="Arial" w:cs="Arial" w:eastAsia="Arial" w:hAnsi="Arial"/>
          <w:sz w:val="20"/>
          <w:szCs w:val="20"/>
          <w:color w:val="auto"/>
        </w:rPr>
        <w:t>Notwithstanding clause (B)(i) and (B)(iii) above, respectively, the foregoing and so long as no Event of Default then exists: (1) any such casualty proceeds may be used by Borrowers within two hundred seventy (270) days from the receipt of such proceeds to replace or repair any assets in respect of which such proceeds were paid so long as prior to the receipt of such proceeds, Borrowers have delivered to Agent a reinvestment plan detailing such replacement or repair; and (2) proceeds of asset dispositions (other than, for the avoidance of doubt, any Permitted Royalty Stream Dispositions) that are not made in the Ordinary Course of Business may be used by Borrowers within two hundred seventy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87" w:name="page88"/>
    <w:bookmarkEnd w:id="87"/>
    <w:p>
      <w:pPr>
        <w:ind w:left="2220" w:hanging="485"/>
        <w:spacing w:after="0"/>
        <w:tabs>
          <w:tab w:leader="none" w:pos="2220" w:val="left"/>
        </w:tabs>
        <w:numPr>
          <w:ilvl w:val="0"/>
          <w:numId w:val="55"/>
        </w:numPr>
        <w:rPr>
          <w:rFonts w:ascii="Arial" w:cs="Arial" w:eastAsia="Arial" w:hAnsi="Arial"/>
          <w:sz w:val="19"/>
          <w:szCs w:val="19"/>
          <w:color w:val="auto"/>
        </w:rPr>
      </w:pPr>
      <w:r>
        <w:rPr>
          <w:rFonts w:ascii="Arial" w:cs="Arial" w:eastAsia="Arial" w:hAnsi="Arial"/>
          <w:sz w:val="19"/>
          <w:szCs w:val="19"/>
          <w:color w:val="auto"/>
        </w:rPr>
        <w:t>days from the receipt of such proceeds to purchase new or replacement assets of comparable value; and</w:t>
      </w:r>
    </w:p>
    <w:p>
      <w:pPr>
        <w:spacing w:after="0" w:line="227" w:lineRule="exact"/>
        <w:rPr>
          <w:rFonts w:ascii="Arial" w:cs="Arial" w:eastAsia="Arial" w:hAnsi="Arial"/>
          <w:sz w:val="19"/>
          <w:szCs w:val="19"/>
          <w:color w:val="auto"/>
        </w:rPr>
      </w:pPr>
    </w:p>
    <w:p>
      <w:pPr>
        <w:jc w:val="both"/>
        <w:ind w:left="1740" w:firstLine="1457"/>
        <w:spacing w:after="0" w:line="244" w:lineRule="auto"/>
        <w:tabs>
          <w:tab w:leader="none" w:pos="4113" w:val="left"/>
        </w:tabs>
        <w:numPr>
          <w:ilvl w:val="2"/>
          <w:numId w:val="55"/>
        </w:numPr>
        <w:rPr>
          <w:rFonts w:ascii="Arial" w:cs="Arial" w:eastAsia="Arial" w:hAnsi="Arial"/>
          <w:sz w:val="20"/>
          <w:szCs w:val="20"/>
          <w:color w:val="auto"/>
        </w:rPr>
      </w:pPr>
      <w:r>
        <w:rPr>
          <w:rFonts w:ascii="Arial" w:cs="Arial" w:eastAsia="Arial" w:hAnsi="Arial"/>
          <w:sz w:val="20"/>
          <w:szCs w:val="20"/>
          <w:color w:val="auto"/>
        </w:rPr>
        <w:t xml:space="preserve">Borrowers may from time to time, with at least five (5) Business Days prior delivery to Agent of an appropriately completed Payment Notification, prepay the Term Loan in whole or in part;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each such prepayment (other than a prepayment in whole) shall be in an amount equal to $1,000,000 or a</w:t>
      </w:r>
      <w:r>
        <w:rPr>
          <w:rFonts w:ascii="Arial" w:cs="Arial" w:eastAsia="Arial" w:hAnsi="Arial"/>
          <w:sz w:val="20"/>
          <w:szCs w:val="20"/>
          <w:i w:val="1"/>
          <w:iCs w:val="1"/>
          <w:color w:val="auto"/>
        </w:rPr>
        <w:t xml:space="preserve"> </w:t>
      </w:r>
      <w:r>
        <w:rPr>
          <w:rFonts w:ascii="Arial" w:cs="Arial" w:eastAsia="Arial" w:hAnsi="Arial"/>
          <w:sz w:val="20"/>
          <w:szCs w:val="20"/>
          <w:color w:val="auto"/>
        </w:rPr>
        <w:t>higher integral multiple of $1,000,000 and shall be accompanied by any applicable fees, as set forth in Section 2.2 and/or in each Fee Letter.</w:t>
      </w:r>
    </w:p>
    <w:p>
      <w:pPr>
        <w:spacing w:after="0" w:line="194" w:lineRule="exact"/>
        <w:rPr>
          <w:rFonts w:ascii="Arial" w:cs="Arial" w:eastAsia="Arial" w:hAnsi="Arial"/>
          <w:sz w:val="20"/>
          <w:szCs w:val="20"/>
          <w:color w:val="auto"/>
        </w:rPr>
      </w:pPr>
    </w:p>
    <w:p>
      <w:pPr>
        <w:jc w:val="both"/>
        <w:ind w:left="880" w:firstLine="1586"/>
        <w:spacing w:after="0" w:line="308" w:lineRule="auto"/>
        <w:tabs>
          <w:tab w:leader="none" w:pos="3419"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All Prepayments</w:t>
      </w:r>
      <w:r>
        <w:rPr>
          <w:rFonts w:ascii="Arial" w:cs="Arial" w:eastAsia="Arial" w:hAnsi="Arial"/>
          <w:sz w:val="16"/>
          <w:szCs w:val="16"/>
          <w:color w:val="auto"/>
        </w:rPr>
        <w:t xml:space="preserve">. Except as this Agreement may specifically provide otherwise, all prepayments of the Term Loan shall be applied by Agent to the Obligations in inverse order of maturity. The monthly payments required under </w:t>
      </w:r>
      <w:r>
        <w:rPr>
          <w:rFonts w:ascii="Arial" w:cs="Arial" w:eastAsia="Arial" w:hAnsi="Arial"/>
          <w:sz w:val="16"/>
          <w:szCs w:val="16"/>
          <w:u w:val="single" w:color="auto"/>
          <w:color w:val="auto"/>
        </w:rPr>
        <w:t>Schedule 2.1</w:t>
      </w:r>
      <w:r>
        <w:rPr>
          <w:rFonts w:ascii="Arial" w:cs="Arial" w:eastAsia="Arial" w:hAnsi="Arial"/>
          <w:sz w:val="16"/>
          <w:szCs w:val="16"/>
          <w:color w:val="auto"/>
        </w:rPr>
        <w:t xml:space="preserve"> shall continue in the same amount (for so long as the Term Loan and/or (if applicable) any advance thereunder shall remain outstanding) notwithstanding any partial prepayment, whether mandatory or optional, of the Term Loan. Notwithstanding anything to the contrary contained in the foregoing, in the event that there have been multiple advances under the Term Loan each of which such advances has a separate amortization schedule of principal payments under </w:t>
      </w:r>
      <w:r>
        <w:rPr>
          <w:rFonts w:ascii="Arial" w:cs="Arial" w:eastAsia="Arial" w:hAnsi="Arial"/>
          <w:sz w:val="16"/>
          <w:szCs w:val="16"/>
          <w:u w:val="single" w:color="auto"/>
          <w:color w:val="auto"/>
        </w:rPr>
        <w:t>Schedule 2.1</w:t>
      </w:r>
      <w:r>
        <w:rPr>
          <w:rFonts w:ascii="Arial" w:cs="Arial" w:eastAsia="Arial" w:hAnsi="Arial"/>
          <w:sz w:val="16"/>
          <w:szCs w:val="16"/>
          <w:color w:val="auto"/>
        </w:rPr>
        <w:t xml:space="preserve"> attached hereto, each prepayment of the Term Loan shall be applied by Agent to reduce and prepay the principal balance of the earliest-made advance then outstanding in the inverse order of maturity of the scheduled payments with respect to such advance until such earliest-made advance is paid in full (and to the extent the total amount of any such partial prepayment shall exceed the outstanding principal balance of such earliest-made advance, the remainder of such prepayment shall be applied successively to the remaining advances under the Term Loan in the direct order of the respective advance dates in the manner provided for in this sentence).</w:t>
      </w:r>
    </w:p>
    <w:p>
      <w:pPr>
        <w:spacing w:after="0" w:line="379" w:lineRule="exact"/>
        <w:rPr>
          <w:rFonts w:ascii="Arial" w:cs="Arial" w:eastAsia="Arial" w:hAnsi="Arial"/>
          <w:sz w:val="16"/>
          <w:szCs w:val="16"/>
          <w:color w:val="auto"/>
        </w:rPr>
      </w:pPr>
    </w:p>
    <w:p>
      <w:pPr>
        <w:ind w:left="3400" w:hanging="934"/>
        <w:spacing w:after="0"/>
        <w:tabs>
          <w:tab w:leader="none" w:pos="3400" w:val="left"/>
        </w:tabs>
        <w:numPr>
          <w:ilvl w:val="1"/>
          <w:numId w:val="55"/>
        </w:numPr>
        <w:rPr>
          <w:rFonts w:ascii="Arial" w:cs="Arial" w:eastAsia="Arial" w:hAnsi="Arial"/>
          <w:sz w:val="20"/>
          <w:szCs w:val="20"/>
          <w:color w:val="auto"/>
        </w:rPr>
      </w:pPr>
      <w:r>
        <w:rPr>
          <w:rFonts w:ascii="Arial" w:cs="Arial" w:eastAsia="Arial" w:hAnsi="Arial"/>
          <w:sz w:val="20"/>
          <w:szCs w:val="20"/>
          <w:u w:val="single" w:color="auto"/>
          <w:color w:val="auto"/>
        </w:rPr>
        <w:t>LIBOR Rate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740" w:firstLine="1457"/>
        <w:spacing w:after="0" w:line="260" w:lineRule="auto"/>
        <w:tabs>
          <w:tab w:leader="none" w:pos="4124" w:val="left"/>
        </w:tabs>
        <w:numPr>
          <w:ilvl w:val="2"/>
          <w:numId w:val="56"/>
        </w:numPr>
        <w:rPr>
          <w:rFonts w:ascii="Arial" w:cs="Arial" w:eastAsia="Arial" w:hAnsi="Arial"/>
          <w:sz w:val="20"/>
          <w:szCs w:val="20"/>
          <w:color w:val="auto"/>
        </w:rPr>
      </w:pPr>
      <w:r>
        <w:rPr>
          <w:rFonts w:ascii="Arial" w:cs="Arial" w:eastAsia="Arial" w:hAnsi="Arial"/>
          <w:sz w:val="20"/>
          <w:szCs w:val="20"/>
          <w:color w:val="auto"/>
        </w:rPr>
        <w:t xml:space="preserve">Except as provided in subsection (C) below, the Term Loan shall accrue interest at the LIBOR Rate </w:t>
      </w:r>
      <w:r>
        <w:rPr>
          <w:rFonts w:ascii="Arial" w:cs="Arial" w:eastAsia="Arial" w:hAnsi="Arial"/>
          <w:sz w:val="20"/>
          <w:szCs w:val="20"/>
          <w:i w:val="1"/>
          <w:iCs w:val="1"/>
          <w:color w:val="auto"/>
        </w:rPr>
        <w:t>plus</w:t>
      </w:r>
      <w:r>
        <w:rPr>
          <w:rFonts w:ascii="Arial" w:cs="Arial" w:eastAsia="Arial" w:hAnsi="Arial"/>
          <w:sz w:val="20"/>
          <w:szCs w:val="20"/>
          <w:color w:val="auto"/>
        </w:rPr>
        <w:t xml:space="preserve"> the Applicable Margin.</w:t>
      </w:r>
    </w:p>
    <w:p>
      <w:pPr>
        <w:spacing w:after="0" w:line="176" w:lineRule="exact"/>
        <w:rPr>
          <w:rFonts w:ascii="Arial" w:cs="Arial" w:eastAsia="Arial" w:hAnsi="Arial"/>
          <w:sz w:val="20"/>
          <w:szCs w:val="20"/>
          <w:color w:val="auto"/>
        </w:rPr>
      </w:pPr>
    </w:p>
    <w:p>
      <w:pPr>
        <w:jc w:val="both"/>
        <w:ind w:left="1740" w:firstLine="1457"/>
        <w:spacing w:after="0" w:line="305" w:lineRule="auto"/>
        <w:tabs>
          <w:tab w:leader="none" w:pos="4113" w:val="left"/>
        </w:tabs>
        <w:numPr>
          <w:ilvl w:val="2"/>
          <w:numId w:val="56"/>
        </w:numPr>
        <w:rPr>
          <w:rFonts w:ascii="Arial" w:cs="Arial" w:eastAsia="Arial" w:hAnsi="Arial"/>
          <w:sz w:val="16"/>
          <w:szCs w:val="16"/>
          <w:color w:val="auto"/>
        </w:rPr>
      </w:pPr>
      <w:r>
        <w:rPr>
          <w:rFonts w:ascii="Arial" w:cs="Arial" w:eastAsia="Arial" w:hAnsi="Arial"/>
          <w:sz w:val="16"/>
          <w:szCs w:val="16"/>
          <w:color w:val="auto"/>
        </w:rPr>
        <w:t xml:space="preserve">The LIBOR Rate may be adjusted by Agent with respect to any Lender on a prospective basis to take into account any additional or increased costs to such Lender of maintaining or obtaining any eurodollar deposits or increased costs, in each case, due to changes in applicable Law occurring subsequent to the commencement of the then applicable Interest Period, including changes in tax laws (except changes in Taxes or taxes excluded from the definition of Taxes in Section 2.8 hereof) and changes in the reserve requirements imposed by the Board of Governors of the Federal Reserve System (or any successor), which additional or increased costs would increase the cost of funding loans bearing interest based upon the LIBOR Rate;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notwithstanding anything in this Agreement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applicable Law”, regardless of the date enacted, adopted or issued. In any such event, the affected Lender shall give Borrowers and Agent notice of such a determination and adjustment and Agent promptly shall transmit the notice to each other Lender and, upon its receipt of the notice from the affected Lender, Borrowers may, by notice to such affected Lender (I) require such Lender to furnish to Borrowers a statement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8" w:name="page89"/>
    <w:bookmarkEnd w:id="88"/>
    <w:p>
      <w:pPr>
        <w:ind w:left="1740" w:right="20"/>
        <w:spacing w:after="0" w:line="316" w:lineRule="auto"/>
        <w:rPr>
          <w:sz w:val="20"/>
          <w:szCs w:val="20"/>
          <w:color w:val="auto"/>
        </w:rPr>
      </w:pPr>
      <w:r>
        <w:rPr>
          <w:rFonts w:ascii="Arial" w:cs="Arial" w:eastAsia="Arial" w:hAnsi="Arial"/>
          <w:sz w:val="18"/>
          <w:szCs w:val="18"/>
          <w:color w:val="auto"/>
        </w:rPr>
        <w:t>setting forth the basis for adjusting such LIBOR Rate and the method for determining the amount of such adjustment, or (II) repay the Loans bearing interest based upon the LIBOR Rate with respect to which such adjustment is made.</w:t>
      </w:r>
    </w:p>
    <w:p>
      <w:pPr>
        <w:spacing w:after="0" w:line="130" w:lineRule="exact"/>
        <w:rPr>
          <w:sz w:val="20"/>
          <w:szCs w:val="20"/>
          <w:color w:val="auto"/>
        </w:rPr>
      </w:pPr>
    </w:p>
    <w:p>
      <w:pPr>
        <w:jc w:val="both"/>
        <w:ind w:left="1740" w:firstLine="1457"/>
        <w:spacing w:after="0" w:line="255" w:lineRule="auto"/>
        <w:tabs>
          <w:tab w:leader="none" w:pos="4113"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In the event that any change in market conditions or any law, regulation, treaty, or directive, or any change therein or in the interpretation of application thereof, shall at any time after the date hereof, in the reasonable opinion of any Lender, make it unlawful or impractical for such Lender to maintain Loans bearing interest based upon the LIBOR Rate or to continue such maintaining, or to determine or charge interest rates at the LIBOR Rate, such Lender shall give notice of such changed circumstances to Agent and Borrowers and Agent promptly shall transmit the notice to each other Lender, (I) in the case of the pro rata share of the Term Loan held by such Lender and then outstanding, the date specified in such Lender’s notice shall be deemed to be the last day of the Interest Period of such portion of the Term Loan, and interest upon such portion thereafter shall accrue interest at the Base Rate </w:t>
      </w:r>
      <w:r>
        <w:rPr>
          <w:rFonts w:ascii="Arial" w:cs="Arial" w:eastAsia="Arial" w:hAnsi="Arial"/>
          <w:sz w:val="19"/>
          <w:szCs w:val="19"/>
          <w:i w:val="1"/>
          <w:iCs w:val="1"/>
          <w:color w:val="auto"/>
        </w:rPr>
        <w:t>plus</w:t>
      </w:r>
      <w:r>
        <w:rPr>
          <w:rFonts w:ascii="Arial" w:cs="Arial" w:eastAsia="Arial" w:hAnsi="Arial"/>
          <w:sz w:val="19"/>
          <w:szCs w:val="19"/>
          <w:color w:val="auto"/>
        </w:rPr>
        <w:t xml:space="preserve"> the Applicable Margin, and (II) such portion of the Term Loan shall continue to accrue interest at the Base Rate </w:t>
      </w:r>
      <w:r>
        <w:rPr>
          <w:rFonts w:ascii="Arial" w:cs="Arial" w:eastAsia="Arial" w:hAnsi="Arial"/>
          <w:sz w:val="19"/>
          <w:szCs w:val="19"/>
          <w:i w:val="1"/>
          <w:iCs w:val="1"/>
          <w:color w:val="auto"/>
        </w:rPr>
        <w:t>plus</w:t>
      </w:r>
      <w:r>
        <w:rPr>
          <w:rFonts w:ascii="Arial" w:cs="Arial" w:eastAsia="Arial" w:hAnsi="Arial"/>
          <w:sz w:val="19"/>
          <w:szCs w:val="19"/>
          <w:color w:val="auto"/>
        </w:rPr>
        <w:t xml:space="preserve"> the Applicable Margin until such Lender determines that it would no longer be unlawful or impractical to maintain such Term Loan at the LIBOR Rate.</w:t>
      </w:r>
    </w:p>
    <w:p>
      <w:pPr>
        <w:spacing w:after="0" w:line="186" w:lineRule="exact"/>
        <w:rPr>
          <w:rFonts w:ascii="Arial" w:cs="Arial" w:eastAsia="Arial" w:hAnsi="Arial"/>
          <w:sz w:val="19"/>
          <w:szCs w:val="19"/>
          <w:color w:val="auto"/>
        </w:rPr>
      </w:pPr>
    </w:p>
    <w:p>
      <w:pPr>
        <w:jc w:val="both"/>
        <w:ind w:left="1740" w:firstLine="1457"/>
        <w:spacing w:after="0" w:line="250" w:lineRule="auto"/>
        <w:tabs>
          <w:tab w:leader="none" w:pos="4124" w:val="left"/>
        </w:tabs>
        <w:numPr>
          <w:ilvl w:val="0"/>
          <w:numId w:val="57"/>
        </w:numPr>
        <w:rPr>
          <w:rFonts w:ascii="Arial" w:cs="Arial" w:eastAsia="Arial" w:hAnsi="Arial"/>
          <w:sz w:val="20"/>
          <w:szCs w:val="20"/>
          <w:color w:val="auto"/>
        </w:rPr>
      </w:pPr>
      <w:r>
        <w:rPr>
          <w:rFonts w:ascii="Arial" w:cs="Arial" w:eastAsia="Arial" w:hAnsi="Arial"/>
          <w:sz w:val="20"/>
          <w:szCs w:val="20"/>
          <w:color w:val="auto"/>
        </w:rPr>
        <w:t>Anything to the contrary contained herein notwithstanding, neither Agent nor any Lender is required actually to acquire eurodollar deposits to fund or otherwise match fund any Obligation as to which interest accrues based on the LIBOR Rate.</w:t>
      </w:r>
    </w:p>
    <w:p>
      <w:pPr>
        <w:spacing w:after="0" w:line="180" w:lineRule="exact"/>
        <w:rPr>
          <w:sz w:val="20"/>
          <w:szCs w:val="20"/>
          <w:color w:val="auto"/>
        </w:rPr>
      </w:pPr>
    </w:p>
    <w:p>
      <w:pPr>
        <w:ind w:left="880"/>
        <w:spacing w:after="0"/>
        <w:tabs>
          <w:tab w:leader="none" w:pos="2420" w:val="left"/>
        </w:tabs>
        <w:rPr>
          <w:sz w:val="20"/>
          <w:szCs w:val="20"/>
          <w:color w:val="auto"/>
        </w:rPr>
      </w:pPr>
      <w:r>
        <w:rPr>
          <w:rFonts w:ascii="Arial" w:cs="Arial" w:eastAsia="Arial" w:hAnsi="Arial"/>
          <w:sz w:val="20"/>
          <w:szCs w:val="20"/>
          <w:b w:val="1"/>
          <w:bCs w:val="1"/>
          <w:color w:val="auto"/>
        </w:rPr>
        <w:t>Section 2.2</w:t>
      </w:r>
      <w:r>
        <w:rPr>
          <w:sz w:val="20"/>
          <w:szCs w:val="20"/>
          <w:color w:val="auto"/>
        </w:rPr>
        <w:tab/>
      </w:r>
      <w:r>
        <w:rPr>
          <w:rFonts w:ascii="Arial" w:cs="Arial" w:eastAsia="Arial" w:hAnsi="Arial"/>
          <w:sz w:val="16"/>
          <w:szCs w:val="16"/>
          <w:u w:val="single" w:color="auto"/>
          <w:color w:val="auto"/>
        </w:rPr>
        <w:t>Interest, Interest Calculations and Certain Fees</w:t>
      </w:r>
      <w:r>
        <w:rPr>
          <w:rFonts w:ascii="Arial" w:cs="Arial" w:eastAsia="Arial" w:hAnsi="Arial"/>
          <w:sz w:val="16"/>
          <w:szCs w:val="16"/>
          <w:color w:val="auto"/>
        </w:rPr>
        <w:t>.</w:t>
      </w:r>
    </w:p>
    <w:p>
      <w:pPr>
        <w:spacing w:after="0" w:line="222" w:lineRule="exact"/>
        <w:rPr>
          <w:sz w:val="20"/>
          <w:szCs w:val="20"/>
          <w:color w:val="auto"/>
        </w:rPr>
      </w:pPr>
    </w:p>
    <w:p>
      <w:pPr>
        <w:jc w:val="both"/>
        <w:ind w:firstLine="1735"/>
        <w:spacing w:after="0" w:line="246" w:lineRule="auto"/>
        <w:tabs>
          <w:tab w:leader="none" w:pos="2595"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Interest</w:t>
      </w:r>
      <w:r>
        <w:rPr>
          <w:rFonts w:ascii="Arial" w:cs="Arial" w:eastAsia="Arial" w:hAnsi="Arial"/>
          <w:sz w:val="20"/>
          <w:szCs w:val="20"/>
          <w:color w:val="auto"/>
        </w:rPr>
        <w:t xml:space="preserve">. From and following the Closing Date, except as expressly set forth in this Agreement, Loans and the other Obligations shall bear interest at the sum of the LIBOR Rate </w:t>
      </w:r>
      <w:r>
        <w:rPr>
          <w:rFonts w:ascii="Arial" w:cs="Arial" w:eastAsia="Arial" w:hAnsi="Arial"/>
          <w:sz w:val="20"/>
          <w:szCs w:val="20"/>
          <w:i w:val="1"/>
          <w:iCs w:val="1"/>
          <w:color w:val="auto"/>
        </w:rPr>
        <w:t>plus</w:t>
      </w:r>
      <w:r>
        <w:rPr>
          <w:rFonts w:ascii="Arial" w:cs="Arial" w:eastAsia="Arial" w:hAnsi="Arial"/>
          <w:sz w:val="20"/>
          <w:szCs w:val="20"/>
          <w:color w:val="auto"/>
        </w:rPr>
        <w:t xml:space="preserve"> the Applicable Margin. Interest on the Loans shall be paid monthly in arrears on the first (1st) day of each month and on the maturity of such Loans, whether by acceleration or otherwise. Interest on all other Obligations shall be payable upon demand.</w:t>
      </w:r>
    </w:p>
    <w:p>
      <w:pPr>
        <w:spacing w:after="0" w:line="191" w:lineRule="exact"/>
        <w:rPr>
          <w:rFonts w:ascii="Arial" w:cs="Arial" w:eastAsia="Arial" w:hAnsi="Arial"/>
          <w:sz w:val="20"/>
          <w:szCs w:val="20"/>
          <w:color w:val="auto"/>
        </w:rPr>
      </w:pPr>
    </w:p>
    <w:p>
      <w:pPr>
        <w:ind w:firstLine="1735"/>
        <w:spacing w:after="0" w:line="260" w:lineRule="auto"/>
        <w:tabs>
          <w:tab w:leader="none" w:pos="2606"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Fee Letter</w:t>
      </w:r>
      <w:r>
        <w:rPr>
          <w:rFonts w:ascii="Arial" w:cs="Arial" w:eastAsia="Arial" w:hAnsi="Arial"/>
          <w:sz w:val="20"/>
          <w:szCs w:val="20"/>
          <w:color w:val="auto"/>
        </w:rPr>
        <w:t>. In addition to the other fees set forth herein, the Borrowers agree to pay Agent and/or Lenders (as applicable) the fees set forth in each Fee Letter.</w:t>
      </w:r>
    </w:p>
    <w:p>
      <w:pPr>
        <w:spacing w:after="0" w:line="176" w:lineRule="exact"/>
        <w:rPr>
          <w:rFonts w:ascii="Arial" w:cs="Arial" w:eastAsia="Arial" w:hAnsi="Arial"/>
          <w:sz w:val="20"/>
          <w:szCs w:val="20"/>
          <w:color w:val="auto"/>
        </w:rPr>
      </w:pPr>
    </w:p>
    <w:p>
      <w:pPr>
        <w:jc w:val="both"/>
        <w:ind w:firstLine="1735"/>
        <w:spacing w:after="0" w:line="259" w:lineRule="auto"/>
        <w:tabs>
          <w:tab w:leader="none" w:pos="2595"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Audit Fees</w:t>
      </w:r>
      <w:r>
        <w:rPr>
          <w:rFonts w:ascii="Arial" w:cs="Arial" w:eastAsia="Arial" w:hAnsi="Arial"/>
          <w:sz w:val="19"/>
          <w:szCs w:val="19"/>
          <w:color w:val="auto"/>
        </w:rPr>
        <w:t>. Borrowers shall pay to Agent, for its own account and not for the benefit of any other Lenders, all reasonable fees and expenses in connection with audits and inspections of Borrowers’ books and records, audits, valuations or appraisals of the Collateral, audits of Borrowers’ compliance with applicable Laws and such other matters as Agent shall deem appropriate, which shall be due and payable on the first Business Day of the month following the date of issuance by Agent of a written request for payment thereof to Borrowers. Notwithstanding the foregoing, so long as no Event of Default has occurred and is continuing, Borrowers shall not be required to reimburse Agent for more than two (2) audits per fiscal year.</w:t>
      </w:r>
    </w:p>
    <w:p>
      <w:pPr>
        <w:spacing w:after="0" w:line="178" w:lineRule="exact"/>
        <w:rPr>
          <w:rFonts w:ascii="Arial" w:cs="Arial" w:eastAsia="Arial" w:hAnsi="Arial"/>
          <w:sz w:val="19"/>
          <w:szCs w:val="19"/>
          <w:color w:val="auto"/>
        </w:rPr>
      </w:pPr>
    </w:p>
    <w:p>
      <w:pPr>
        <w:jc w:val="both"/>
        <w:ind w:firstLine="1735"/>
        <w:spacing w:after="0" w:line="250" w:lineRule="auto"/>
        <w:tabs>
          <w:tab w:leader="none" w:pos="2606"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Wire Fees</w:t>
      </w:r>
      <w:r>
        <w:rPr>
          <w:rFonts w:ascii="Arial" w:cs="Arial" w:eastAsia="Arial" w:hAnsi="Arial"/>
          <w:sz w:val="20"/>
          <w:szCs w:val="20"/>
          <w:color w:val="auto"/>
        </w:rPr>
        <w:t>. Borrowers shall pay to Agent, for its own account and not for the account of any other Lenders, on written demand, fees for incoming and outgoing wires made for the account of Borrowers, such fees to be based on Agent’s then current wire fee schedule (available upon written request of the Borrowers).</w:t>
      </w:r>
    </w:p>
    <w:p>
      <w:pPr>
        <w:spacing w:after="0" w:line="185" w:lineRule="exact"/>
        <w:rPr>
          <w:rFonts w:ascii="Arial" w:cs="Arial" w:eastAsia="Arial" w:hAnsi="Arial"/>
          <w:sz w:val="20"/>
          <w:szCs w:val="20"/>
          <w:color w:val="auto"/>
        </w:rPr>
      </w:pPr>
    </w:p>
    <w:p>
      <w:pPr>
        <w:ind w:right="20" w:firstLine="1735"/>
        <w:spacing w:after="0" w:line="260" w:lineRule="auto"/>
        <w:tabs>
          <w:tab w:leader="none" w:pos="2595"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Late Charges</w:t>
      </w:r>
      <w:r>
        <w:rPr>
          <w:rFonts w:ascii="Arial" w:cs="Arial" w:eastAsia="Arial" w:hAnsi="Arial"/>
          <w:sz w:val="20"/>
          <w:szCs w:val="20"/>
          <w:color w:val="auto"/>
        </w:rPr>
        <w:t>. If payments of principal (other than a final installment of principal upon the Termination Date), interest due on the Obligations, or any other amounts due hereunder or under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9" w:name="page90"/>
    <w:bookmarkEnd w:id="89"/>
    <w:p>
      <w:pPr>
        <w:jc w:val="both"/>
        <w:spacing w:after="0" w:line="250" w:lineRule="auto"/>
        <w:rPr>
          <w:sz w:val="20"/>
          <w:szCs w:val="20"/>
          <w:color w:val="auto"/>
        </w:rPr>
      </w:pPr>
      <w:r>
        <w:rPr>
          <w:rFonts w:ascii="Arial" w:cs="Arial" w:eastAsia="Arial" w:hAnsi="Arial"/>
          <w:sz w:val="20"/>
          <w:szCs w:val="20"/>
          <w:color w:val="auto"/>
        </w:rPr>
        <w:t>the other Financing Documents are not timely made and remain overdue for a period of five (5) days, Borrowers, without notice or demand by Agent, promptly shall pay to Agent, for its own account and not for the benefit of any other Lenders, as additional compensation to Agent in administering the Obligations, an amount equal to three percent (3.0%) of each delinquent payment.</w:t>
      </w:r>
    </w:p>
    <w:p>
      <w:pPr>
        <w:spacing w:after="0" w:line="186" w:lineRule="exact"/>
        <w:rPr>
          <w:sz w:val="20"/>
          <w:szCs w:val="20"/>
          <w:color w:val="auto"/>
        </w:rPr>
      </w:pPr>
    </w:p>
    <w:p>
      <w:pPr>
        <w:jc w:val="both"/>
        <w:ind w:firstLine="1735"/>
        <w:spacing w:after="0" w:line="246" w:lineRule="auto"/>
        <w:tabs>
          <w:tab w:leader="none" w:pos="2573"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Computation of Interest and Related Fees</w:t>
      </w:r>
      <w:r>
        <w:rPr>
          <w:rFonts w:ascii="Arial" w:cs="Arial" w:eastAsia="Arial" w:hAnsi="Arial"/>
          <w:sz w:val="20"/>
          <w:szCs w:val="20"/>
          <w:color w:val="auto"/>
        </w:rPr>
        <w:t>. All interest and fees under each Financing Document shall be calculated on the basis of a 360-day year for the actual number of days elapsed. The date of funding of a Loan shall be included in the calculation of interest. The date of payment of a Loan shall be excluded from the calculation of interest. If a Loan is repaid on the same day that it is made, one (1) day’s interest shall be charged.</w:t>
      </w:r>
    </w:p>
    <w:p>
      <w:pPr>
        <w:spacing w:after="0" w:line="191" w:lineRule="exact"/>
        <w:rPr>
          <w:rFonts w:ascii="Arial" w:cs="Arial" w:eastAsia="Arial" w:hAnsi="Arial"/>
          <w:sz w:val="20"/>
          <w:szCs w:val="20"/>
          <w:color w:val="auto"/>
        </w:rPr>
      </w:pPr>
    </w:p>
    <w:p>
      <w:pPr>
        <w:jc w:val="both"/>
        <w:ind w:firstLine="1735"/>
        <w:spacing w:after="0" w:line="243" w:lineRule="auto"/>
        <w:tabs>
          <w:tab w:leader="none" w:pos="2606"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Automated Clearing House Payments</w:t>
      </w:r>
      <w:r>
        <w:rPr>
          <w:rFonts w:ascii="Arial" w:cs="Arial" w:eastAsia="Arial" w:hAnsi="Arial"/>
          <w:sz w:val="20"/>
          <w:szCs w:val="20"/>
          <w:color w:val="auto"/>
        </w:rPr>
        <w:t>. If Agent (or its designated servicer or trustee on behalf of a securitization vehicle) so elects, monthly payments of principal, interest, fees, expenses or any other amounts due and owing from Borrower to Agent hereunder shall be paid to Agent by Automated Clearing House debit of immediately available funds from the financial institution account designated by Borrower Representative in the Automated Clearing House debit authorization executed by Borrowers or Borrower Representative in connection with this Agreement, and shall be effective upon receipt. Borrowers shall execute any and all forms and documentation necessary from time to time to effectuate such automatic debiting. In no event shall any such payments be refunded to Borrowers.</w:t>
      </w:r>
    </w:p>
    <w:p>
      <w:pPr>
        <w:spacing w:after="0" w:line="187"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 xml:space="preserve">Section 2.3 </w:t>
      </w:r>
      <w:r>
        <w:rPr>
          <w:rFonts w:ascii="Arial" w:cs="Arial" w:eastAsia="Arial" w:hAnsi="Arial"/>
          <w:sz w:val="20"/>
          <w:szCs w:val="20"/>
          <w:u w:val="single" w:color="auto"/>
          <w:color w:val="auto"/>
        </w:rPr>
        <w:t>Notes</w:t>
      </w:r>
      <w:r>
        <w:rPr>
          <w:rFonts w:ascii="Arial" w:cs="Arial" w:eastAsia="Arial" w:hAnsi="Arial"/>
          <w:sz w:val="20"/>
          <w:szCs w:val="20"/>
          <w:color w:val="auto"/>
        </w:rPr>
        <w:t>. The portion of the Loans made by each Lender shall be evidenced, if so requested by such Lender, by</w:t>
      </w:r>
      <w:r>
        <w:rPr>
          <w:rFonts w:ascii="Arial" w:cs="Arial" w:eastAsia="Arial" w:hAnsi="Arial"/>
          <w:sz w:val="20"/>
          <w:szCs w:val="20"/>
          <w:b w:val="1"/>
          <w:bCs w:val="1"/>
          <w:color w:val="auto"/>
        </w:rPr>
        <w:t xml:space="preserve"> </w:t>
      </w:r>
      <w:r>
        <w:rPr>
          <w:rFonts w:ascii="Arial" w:cs="Arial" w:eastAsia="Arial" w:hAnsi="Arial"/>
          <w:sz w:val="20"/>
          <w:szCs w:val="20"/>
          <w:color w:val="auto"/>
        </w:rPr>
        <w:t>one or more promissory notes executed by Borrowers on a joint and several basis (each, a “</w:t>
      </w:r>
      <w:r>
        <w:rPr>
          <w:rFonts w:ascii="Arial" w:cs="Arial" w:eastAsia="Arial" w:hAnsi="Arial"/>
          <w:sz w:val="20"/>
          <w:szCs w:val="20"/>
          <w:b w:val="1"/>
          <w:bCs w:val="1"/>
          <w:color w:val="auto"/>
        </w:rPr>
        <w:t>Note</w:t>
      </w:r>
      <w:r>
        <w:rPr>
          <w:rFonts w:ascii="Arial" w:cs="Arial" w:eastAsia="Arial" w:hAnsi="Arial"/>
          <w:sz w:val="20"/>
          <w:szCs w:val="20"/>
          <w:color w:val="auto"/>
        </w:rPr>
        <w:t>”) in an original principal amount equal to such Lender’s Term Loan Commitments.</w:t>
      </w:r>
    </w:p>
    <w:p>
      <w:pPr>
        <w:spacing w:after="0" w:line="159"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1560" w:type="dxa"/>
            <w:vAlign w:val="bottom"/>
          </w:tcPr>
          <w:p>
            <w:pPr>
              <w:spacing w:after="0"/>
              <w:rPr>
                <w:sz w:val="20"/>
                <w:szCs w:val="20"/>
                <w:color w:val="auto"/>
              </w:rPr>
            </w:pPr>
            <w:r>
              <w:rPr>
                <w:rFonts w:ascii="Arial" w:cs="Arial" w:eastAsia="Arial" w:hAnsi="Arial"/>
                <w:sz w:val="20"/>
                <w:szCs w:val="20"/>
                <w:b w:val="1"/>
                <w:bCs w:val="1"/>
                <w:color w:val="auto"/>
              </w:rPr>
              <w:t>Section 2.4</w:t>
            </w:r>
          </w:p>
        </w:tc>
        <w:tc>
          <w:tcPr>
            <w:tcW w:w="4400" w:type="dxa"/>
            <w:vAlign w:val="bottom"/>
            <w:gridSpan w:val="3"/>
          </w:tcPr>
          <w:p>
            <w:pPr>
              <w:spacing w:after="0"/>
              <w:rPr>
                <w:sz w:val="20"/>
                <w:szCs w:val="20"/>
                <w:color w:val="auto"/>
              </w:rPr>
            </w:pPr>
            <w:r>
              <w:rPr>
                <w:rFonts w:ascii="Arial" w:cs="Arial" w:eastAsia="Arial" w:hAnsi="Arial"/>
                <w:sz w:val="20"/>
                <w:szCs w:val="20"/>
                <w:color w:val="auto"/>
              </w:rPr>
              <w:t>Reserved.</w:t>
            </w:r>
          </w:p>
        </w:tc>
        <w:tc>
          <w:tcPr>
            <w:tcW w:w="0" w:type="dxa"/>
            <w:vAlign w:val="bottom"/>
          </w:tcPr>
          <w:p>
            <w:pPr>
              <w:spacing w:after="0"/>
              <w:rPr>
                <w:sz w:val="1"/>
                <w:szCs w:val="1"/>
                <w:color w:val="auto"/>
              </w:rPr>
            </w:pPr>
          </w:p>
        </w:tc>
      </w:tr>
      <w:tr>
        <w:trPr>
          <w:trHeight w:val="20"/>
        </w:trPr>
        <w:tc>
          <w:tcPr>
            <w:tcW w:w="1560" w:type="dxa"/>
            <w:vAlign w:val="bottom"/>
            <w:vMerge w:val="restart"/>
          </w:tcPr>
          <w:p>
            <w:pPr>
              <w:spacing w:after="0"/>
              <w:rPr>
                <w:sz w:val="20"/>
                <w:szCs w:val="20"/>
                <w:color w:val="auto"/>
              </w:rPr>
            </w:pPr>
            <w:r>
              <w:rPr>
                <w:rFonts w:ascii="Arial" w:cs="Arial" w:eastAsia="Arial" w:hAnsi="Arial"/>
                <w:sz w:val="20"/>
                <w:szCs w:val="20"/>
                <w:b w:val="1"/>
                <w:bCs w:val="1"/>
                <w:color w:val="auto"/>
              </w:rPr>
              <w:t>Section 2.5</w:t>
            </w:r>
          </w:p>
        </w:tc>
        <w:tc>
          <w:tcPr>
            <w:tcW w:w="72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560" w:type="dxa"/>
            <w:vAlign w:val="bottom"/>
            <w:vMerge w:val="continue"/>
          </w:tcPr>
          <w:p>
            <w:pPr>
              <w:spacing w:after="0"/>
              <w:rPr>
                <w:sz w:val="24"/>
                <w:szCs w:val="24"/>
                <w:color w:val="auto"/>
              </w:rPr>
            </w:pPr>
          </w:p>
        </w:tc>
        <w:tc>
          <w:tcPr>
            <w:tcW w:w="4400" w:type="dxa"/>
            <w:vAlign w:val="bottom"/>
            <w:gridSpan w:val="3"/>
          </w:tcPr>
          <w:p>
            <w:pPr>
              <w:spacing w:after="0"/>
              <w:rPr>
                <w:sz w:val="20"/>
                <w:szCs w:val="20"/>
                <w:color w:val="auto"/>
              </w:rPr>
            </w:pPr>
            <w:r>
              <w:rPr>
                <w:rFonts w:ascii="Arial" w:cs="Arial" w:eastAsia="Arial" w:hAnsi="Arial"/>
                <w:sz w:val="20"/>
                <w:szCs w:val="20"/>
                <w:color w:val="auto"/>
              </w:rPr>
              <w:t>Reserved.</w:t>
            </w:r>
          </w:p>
        </w:tc>
        <w:tc>
          <w:tcPr>
            <w:tcW w:w="0" w:type="dxa"/>
            <w:vAlign w:val="bottom"/>
          </w:tcPr>
          <w:p>
            <w:pPr>
              <w:spacing w:after="0"/>
              <w:rPr>
                <w:sz w:val="1"/>
                <w:szCs w:val="1"/>
                <w:color w:val="auto"/>
              </w:rPr>
            </w:pPr>
          </w:p>
        </w:tc>
      </w:tr>
      <w:tr>
        <w:trPr>
          <w:trHeight w:val="20"/>
        </w:trPr>
        <w:tc>
          <w:tcPr>
            <w:tcW w:w="1560" w:type="dxa"/>
            <w:vAlign w:val="bottom"/>
            <w:vMerge w:val="restart"/>
          </w:tcPr>
          <w:p>
            <w:pPr>
              <w:spacing w:after="0"/>
              <w:rPr>
                <w:sz w:val="20"/>
                <w:szCs w:val="20"/>
                <w:color w:val="auto"/>
              </w:rPr>
            </w:pPr>
            <w:r>
              <w:rPr>
                <w:rFonts w:ascii="Arial" w:cs="Arial" w:eastAsia="Arial" w:hAnsi="Arial"/>
                <w:sz w:val="20"/>
                <w:szCs w:val="20"/>
                <w:b w:val="1"/>
                <w:bCs w:val="1"/>
                <w:color w:val="auto"/>
              </w:rPr>
              <w:t>Section 2.6</w:t>
            </w:r>
          </w:p>
        </w:tc>
        <w:tc>
          <w:tcPr>
            <w:tcW w:w="72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560" w:type="dxa"/>
            <w:vAlign w:val="bottom"/>
            <w:vMerge w:val="continue"/>
          </w:tcPr>
          <w:p>
            <w:pPr>
              <w:spacing w:after="0"/>
              <w:rPr>
                <w:sz w:val="24"/>
                <w:szCs w:val="24"/>
                <w:color w:val="auto"/>
              </w:rPr>
            </w:pPr>
          </w:p>
        </w:tc>
        <w:tc>
          <w:tcPr>
            <w:tcW w:w="4400" w:type="dxa"/>
            <w:vAlign w:val="bottom"/>
            <w:gridSpan w:val="3"/>
          </w:tcPr>
          <w:p>
            <w:pPr>
              <w:spacing w:after="0"/>
              <w:rPr>
                <w:sz w:val="20"/>
                <w:szCs w:val="20"/>
                <w:color w:val="auto"/>
              </w:rPr>
            </w:pPr>
            <w:r>
              <w:rPr>
                <w:rFonts w:ascii="Arial" w:cs="Arial" w:eastAsia="Arial" w:hAnsi="Arial"/>
                <w:sz w:val="20"/>
                <w:szCs w:val="20"/>
                <w:color w:val="auto"/>
                <w:w w:val="89"/>
              </w:rPr>
              <w:t>General Provisions Regarding Payment; Loan Account.</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1735"/>
        <w:spacing w:after="0" w:line="255" w:lineRule="auto"/>
        <w:tabs>
          <w:tab w:leader="none" w:pos="2595" w:val="left"/>
        </w:tabs>
        <w:numPr>
          <w:ilvl w:val="0"/>
          <w:numId w:val="60"/>
        </w:numPr>
        <w:rPr>
          <w:rFonts w:ascii="Arial" w:cs="Arial" w:eastAsia="Arial" w:hAnsi="Arial"/>
          <w:sz w:val="19"/>
          <w:szCs w:val="19"/>
          <w:color w:val="auto"/>
        </w:rPr>
      </w:pPr>
      <w:r>
        <w:rPr>
          <w:rFonts w:ascii="Arial" w:cs="Arial" w:eastAsia="Arial" w:hAnsi="Arial"/>
          <w:sz w:val="19"/>
          <w:szCs w:val="19"/>
          <w:color w:val="auto"/>
        </w:rPr>
        <w:t>All payments to be made by each Borrower under any Financing Document, including payments of principal and interest made hereunder and pursuant to any other Financing Document, and all fees, expenses, indemnities and reimbursements, shall be made without set-off, recoupment or counterclaim. If any payment hereunder becomes due and payable on a day other than a Business Day, such payment shall be extended to the next succeeding Business Day and, with respect to payments of principal, interest thereon shall be payable at the then applicable rate during such extension (it being understood and agreed that, solely for purposes of calculating financial covenants and computations contained herein and determining compliance therewith, if payment is made, in full, on any such extended due date, such payment shall be deemed to have been paid on the original due date without giving effect to any extension thereto). Any payments received in the Payment Account before 12:00 Noon (Eastern time) on any date shall be deemed received by Agent on such date, and any payments received in the Payment Account at or after 12:00 Noon (Eastern time) on any date shall be deemed received by Agent on the next succeeding Business Day.</w:t>
      </w:r>
    </w:p>
    <w:p>
      <w:pPr>
        <w:spacing w:after="0" w:line="183" w:lineRule="exact"/>
        <w:rPr>
          <w:rFonts w:ascii="Arial" w:cs="Arial" w:eastAsia="Arial" w:hAnsi="Arial"/>
          <w:sz w:val="19"/>
          <w:szCs w:val="19"/>
          <w:color w:val="auto"/>
        </w:rPr>
      </w:pPr>
    </w:p>
    <w:p>
      <w:pPr>
        <w:jc w:val="both"/>
        <w:ind w:firstLine="1735"/>
        <w:spacing w:after="0" w:line="245" w:lineRule="auto"/>
        <w:tabs>
          <w:tab w:leader="none" w:pos="2606" w:val="left"/>
        </w:tabs>
        <w:numPr>
          <w:ilvl w:val="0"/>
          <w:numId w:val="60"/>
        </w:numPr>
        <w:rPr>
          <w:rFonts w:ascii="Arial" w:cs="Arial" w:eastAsia="Arial" w:hAnsi="Arial"/>
          <w:sz w:val="20"/>
          <w:szCs w:val="20"/>
          <w:color w:val="auto"/>
        </w:rPr>
      </w:pPr>
      <w:r>
        <w:rPr>
          <w:rFonts w:ascii="Arial" w:cs="Arial" w:eastAsia="Arial" w:hAnsi="Arial"/>
          <w:sz w:val="20"/>
          <w:szCs w:val="20"/>
          <w:color w:val="auto"/>
        </w:rPr>
        <w:t>Agent shall maintain a loan account in the Register (the “</w:t>
      </w:r>
      <w:r>
        <w:rPr>
          <w:rFonts w:ascii="Arial" w:cs="Arial" w:eastAsia="Arial" w:hAnsi="Arial"/>
          <w:sz w:val="20"/>
          <w:szCs w:val="20"/>
          <w:b w:val="1"/>
          <w:bCs w:val="1"/>
          <w:color w:val="auto"/>
        </w:rPr>
        <w:t>Loan Account</w:t>
      </w:r>
      <w:r>
        <w:rPr>
          <w:rFonts w:ascii="Arial" w:cs="Arial" w:eastAsia="Arial" w:hAnsi="Arial"/>
          <w:sz w:val="20"/>
          <w:szCs w:val="20"/>
          <w:color w:val="auto"/>
        </w:rPr>
        <w:t xml:space="preserve">”) on its books to record Loans and other extensions of credit made by the Lenders hereunder or under any other Financing Document, and all payments thereon made by each Borrower. All entries in the Loan Account shall be made in accordance with Agent’s customary accounting practices as in effect from time to time. The balance in the Loan Account, as recorded in Agent’s books and records at any time shall be conclusive and binding evidence of the amounts due and owing to Agent by each Borrower absent manifest error;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any failure to so record or any error in so recording shall not limit or otherwise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90" w:name="page91"/>
    <w:bookmarkEnd w:id="90"/>
    <w:p>
      <w:pPr>
        <w:jc w:val="both"/>
        <w:spacing w:after="0" w:line="263" w:lineRule="auto"/>
        <w:rPr>
          <w:sz w:val="20"/>
          <w:szCs w:val="20"/>
          <w:color w:val="auto"/>
        </w:rPr>
      </w:pPr>
      <w:r>
        <w:rPr>
          <w:rFonts w:ascii="Arial" w:cs="Arial" w:eastAsia="Arial" w:hAnsi="Arial"/>
          <w:sz w:val="19"/>
          <w:szCs w:val="19"/>
          <w:color w:val="auto"/>
        </w:rPr>
        <w:t>affect any Borrower’s ultimate obligation to pay all amounts owing hereunder or under any other Financing Document. Agent shall provide Borrowers with a monthly statement regarding the Loan Account. Unless any Borrower notifies Agent of any objection to any such statement (specifically describing the basis for such objection) within ninety (90) days after the date of receipt thereof, it shall be deemed final, binding and conclusive upon Borrowers in all respects as to all matters reflected therein.</w:t>
      </w:r>
    </w:p>
    <w:p>
      <w:pPr>
        <w:spacing w:after="0" w:line="170"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8"/>
          <w:szCs w:val="18"/>
          <w:b w:val="1"/>
          <w:bCs w:val="1"/>
          <w:color w:val="auto"/>
        </w:rPr>
        <w:t xml:space="preserve">Section 2.7 </w:t>
      </w:r>
      <w:r>
        <w:rPr>
          <w:rFonts w:ascii="Arial" w:cs="Arial" w:eastAsia="Arial" w:hAnsi="Arial"/>
          <w:sz w:val="18"/>
          <w:szCs w:val="18"/>
          <w:u w:val="single" w:color="auto"/>
          <w:color w:val="auto"/>
        </w:rPr>
        <w:t>Maximum Interest</w:t>
      </w:r>
      <w:r>
        <w:rPr>
          <w:rFonts w:ascii="Arial" w:cs="Arial" w:eastAsia="Arial" w:hAnsi="Arial"/>
          <w:sz w:val="18"/>
          <w:szCs w:val="18"/>
          <w:color w:val="auto"/>
        </w:rPr>
        <w:t>. In no event shall the interest charged with respect to the Loans or any other Obligations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any Borrower under any Financing Document exceed the maximum amount permitted under the laws of the State of New York or of any other applicable jurisdiction. Notwithstanding anything to the contrary herein or elsewhere, if at any time the rate of interest payable hereunder or under any Note or other Financing Document (the “</w:t>
      </w:r>
      <w:r>
        <w:rPr>
          <w:rFonts w:ascii="Arial" w:cs="Arial" w:eastAsia="Arial" w:hAnsi="Arial"/>
          <w:sz w:val="18"/>
          <w:szCs w:val="18"/>
          <w:b w:val="1"/>
          <w:bCs w:val="1"/>
          <w:color w:val="auto"/>
        </w:rPr>
        <w:t>Stated Rate</w:t>
      </w:r>
      <w:r>
        <w:rPr>
          <w:rFonts w:ascii="Arial" w:cs="Arial" w:eastAsia="Arial" w:hAnsi="Arial"/>
          <w:sz w:val="18"/>
          <w:szCs w:val="18"/>
          <w:color w:val="auto"/>
        </w:rPr>
        <w:t>”) would exceed the highest rate of interest permitted under any applicable Law to be charged (the “</w:t>
      </w:r>
      <w:r>
        <w:rPr>
          <w:rFonts w:ascii="Arial" w:cs="Arial" w:eastAsia="Arial" w:hAnsi="Arial"/>
          <w:sz w:val="18"/>
          <w:szCs w:val="18"/>
          <w:b w:val="1"/>
          <w:bCs w:val="1"/>
          <w:color w:val="auto"/>
        </w:rPr>
        <w:t>Maximum Lawful Rate</w:t>
      </w:r>
      <w:r>
        <w:rPr>
          <w:rFonts w:ascii="Arial" w:cs="Arial" w:eastAsia="Arial" w:hAnsi="Arial"/>
          <w:sz w:val="18"/>
          <w:szCs w:val="18"/>
          <w:color w:val="auto"/>
        </w:rPr>
        <w:t xml:space="preserve">”), then for so long as the Maximum Lawful Rate would be so exceeded, the rate of interest payable shall be equal to the Maximum Lawful Rate;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if at any time thereafter the Stated Rate is less than the Maximum Lawful Rate, each Borrower shall, to the extent permitted by law, continue to pay interest at the Maximum Lawful Rate until such time as the total interest received is equal to the total interest which would have been received had the Stated Rate been (but for the operation of this provision) the interest rate payable. Thereafter, the interest rate payable shall be the Stated Rate unless and until the Stated Rate again would exceed the Maximum Lawful Rate, in which event this provision shall again apply. In no event shall the total interest received by any Lender exceed the amount which it could lawfully have received had the interest been calculated for the full term hereof at the Maximum Lawful Rate. If, notwithstanding the prior sentence, any Lender has received interest hereunder in excess of the Maximum Lawful Rate, such excess amount shall be applied to the reduction of the principal balance of the Loans or to other amounts (other than interest) payable hereunder, and if no such principal or other amounts are then outstanding, such excess or part thereof remaining shall be paid to Borrowers. In computing interest payable with reference to the Maximum Lawful Rate applicable to any Lender, such interest shall be calculated at a daily rate equal to the Maximum Lawful Rate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number of days in the year in which such calculation is made.</w:t>
      </w:r>
    </w:p>
    <w:p>
      <w:pPr>
        <w:spacing w:after="0" w:line="176" w:lineRule="exact"/>
        <w:rPr>
          <w:sz w:val="20"/>
          <w:szCs w:val="20"/>
          <w:color w:val="auto"/>
        </w:rPr>
      </w:pPr>
    </w:p>
    <w:p>
      <w:pPr>
        <w:ind w:left="880"/>
        <w:spacing w:after="0"/>
        <w:tabs>
          <w:tab w:leader="none" w:pos="2420" w:val="left"/>
        </w:tabs>
        <w:rPr>
          <w:sz w:val="20"/>
          <w:szCs w:val="20"/>
          <w:color w:val="auto"/>
        </w:rPr>
      </w:pPr>
      <w:r>
        <w:rPr>
          <w:rFonts w:ascii="Arial" w:cs="Arial" w:eastAsia="Arial" w:hAnsi="Arial"/>
          <w:sz w:val="20"/>
          <w:szCs w:val="20"/>
          <w:b w:val="1"/>
          <w:bCs w:val="1"/>
          <w:color w:val="auto"/>
        </w:rPr>
        <w:t>Section 2.8</w:t>
      </w:r>
      <w:r>
        <w:rPr>
          <w:sz w:val="20"/>
          <w:szCs w:val="20"/>
          <w:color w:val="auto"/>
        </w:rPr>
        <w:tab/>
      </w:r>
      <w:r>
        <w:rPr>
          <w:rFonts w:ascii="Arial" w:cs="Arial" w:eastAsia="Arial" w:hAnsi="Arial"/>
          <w:sz w:val="16"/>
          <w:szCs w:val="16"/>
          <w:u w:val="single" w:color="auto"/>
          <w:color w:val="auto"/>
        </w:rPr>
        <w:t>Taxes; Capital Adequacy</w:t>
      </w:r>
      <w:r>
        <w:rPr>
          <w:rFonts w:ascii="Arial" w:cs="Arial" w:eastAsia="Arial" w:hAnsi="Arial"/>
          <w:sz w:val="16"/>
          <w:szCs w:val="16"/>
          <w:color w:val="auto"/>
        </w:rPr>
        <w:t>.</w:t>
      </w:r>
    </w:p>
    <w:p>
      <w:pPr>
        <w:spacing w:after="0" w:line="222" w:lineRule="exact"/>
        <w:rPr>
          <w:sz w:val="20"/>
          <w:szCs w:val="20"/>
          <w:color w:val="auto"/>
        </w:rPr>
      </w:pPr>
    </w:p>
    <w:p>
      <w:pPr>
        <w:jc w:val="both"/>
        <w:ind w:firstLine="1735"/>
        <w:spacing w:after="0" w:line="270" w:lineRule="auto"/>
        <w:tabs>
          <w:tab w:leader="none" w:pos="259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payments of principal and interest on the Loans and all other amounts payable hereunder shall be made free and clear of and without deduction for any present or future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any such withholding or deduction is in respect of any Indemnified Taxes, then the Borrowers shall pay such additional amount or amounts as is necessary to ensure that the net amount actually received by Agent and each Lender will equal the full amount Agent and such Lender would have received had no such withholding or deduction been required (including, without limitation, such withholdings and deductions applicable to additional sums payable under this Section 2.8). As soon as practicable after payment of any Tax by a Borrower to a Governmental Authority pursuant to this Section 2.8, such Borrower shall promptly forward to Agent the original or a certified copy of an official receipt, a copy of the return reporting such payment, or other documentation reasonably satisfactory to Agent evidencing such payment to such authority. Borrowers shall timely pay to the relevant Governmental Authority in accordance with applicable Law, or at the option of Agent timely reimburse it for the payment of, any Other Taxes.</w:t>
      </w:r>
    </w:p>
    <w:p>
      <w:pPr>
        <w:spacing w:after="0" w:line="172" w:lineRule="exact"/>
        <w:rPr>
          <w:rFonts w:ascii="Arial" w:cs="Arial" w:eastAsia="Arial" w:hAnsi="Arial"/>
          <w:sz w:val="18"/>
          <w:szCs w:val="18"/>
          <w:color w:val="auto"/>
        </w:rPr>
      </w:pPr>
    </w:p>
    <w:p>
      <w:pPr>
        <w:jc w:val="both"/>
        <w:ind w:firstLine="1735"/>
        <w:spacing w:after="0" w:line="250" w:lineRule="auto"/>
        <w:tabs>
          <w:tab w:leader="none" w:pos="2606"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Borrowers shall indemnify Agent and Lenders, within ten (10) days after demand thereof, for the full amount of any Indemnified Taxes (including Indemnified Taxes imposed or asserted on or attributable to amounts payable under this Section 2.8) payable or paid by Agent or 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91" w:name="page92"/>
    <w:bookmarkEnd w:id="91"/>
    <w:p>
      <w:pPr>
        <w:jc w:val="both"/>
        <w:spacing w:after="0" w:line="282" w:lineRule="auto"/>
        <w:rPr>
          <w:sz w:val="20"/>
          <w:szCs w:val="20"/>
          <w:color w:val="auto"/>
        </w:rPr>
      </w:pPr>
      <w:r>
        <w:rPr>
          <w:rFonts w:ascii="Arial" w:cs="Arial" w:eastAsia="Arial" w:hAnsi="Arial"/>
          <w:sz w:val="18"/>
          <w:szCs w:val="18"/>
          <w:color w:val="auto"/>
        </w:rPr>
        <w:t>Lender or required to be withheld or deducted from a payment to Agent or any Lender and any reasonable expenses arising therefrom or with respect thereto, whether or not such Indemnified Taxes and Other Taxes were correctly or legally imposed or asserted by the relevant Governmental Authority. A certificate in reasonable detail as to the amount of such payment or liability delivered to Borrowers by a Lender (with a copy to Agent), or by Agent on its own behalf or on behalf of a Lender, shall be conclusive absent manifest error.</w:t>
      </w:r>
    </w:p>
    <w:p>
      <w:pPr>
        <w:spacing w:after="0" w:line="161" w:lineRule="exact"/>
        <w:rPr>
          <w:sz w:val="20"/>
          <w:szCs w:val="20"/>
          <w:color w:val="auto"/>
        </w:rPr>
      </w:pPr>
    </w:p>
    <w:p>
      <w:pPr>
        <w:jc w:val="both"/>
        <w:ind w:firstLine="1735"/>
        <w:spacing w:after="0" w:line="255" w:lineRule="auto"/>
        <w:tabs>
          <w:tab w:leader="none" w:pos="2595" w:val="left"/>
        </w:tabs>
        <w:numPr>
          <w:ilvl w:val="0"/>
          <w:numId w:val="62"/>
        </w:numPr>
        <w:rPr>
          <w:rFonts w:ascii="Arial" w:cs="Arial" w:eastAsia="Arial" w:hAnsi="Arial"/>
          <w:sz w:val="19"/>
          <w:szCs w:val="19"/>
          <w:color w:val="auto"/>
        </w:rPr>
      </w:pPr>
      <w:r>
        <w:rPr>
          <w:rFonts w:ascii="Arial" w:cs="Arial" w:eastAsia="Arial" w:hAnsi="Arial"/>
          <w:sz w:val="19"/>
          <w:szCs w:val="19"/>
          <w:color w:val="auto"/>
        </w:rPr>
        <w:t>Any Lender that is entitled to an exemption from or reduction of withholding tax with respect to payments made under any Financing Document shall deliver to Borrower Representative and Agent, at the time or times prescribed by applicable Law or reasonably requested by Borrower Representative or Agent, such properly completed and executed documentation reasonably requested by Borrower Representative or Agent as will permit such payments to be made without withholding or at a reduced rate of withholding. In addition, any Lender, if reasonably requested by Borrower Representative or Agent, shall deliver such other documentation prescribed by applicable Law or reasonably requested by Borrowers or Agent as will enable Borrowers or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Sections 2.8(c)(i), 2.8(c)(ii) and 2.8(e) below) shall not be required if in such Lender’s reasonable judgment such completion, execution or submission would subject such Lender to any material unreimbursed cost or expense or would materially prejudice the legal or commercial position of such Lender.</w:t>
      </w:r>
    </w:p>
    <w:p>
      <w:pPr>
        <w:spacing w:after="0" w:line="186" w:lineRule="exact"/>
        <w:rPr>
          <w:rFonts w:ascii="Arial" w:cs="Arial" w:eastAsia="Arial" w:hAnsi="Arial"/>
          <w:sz w:val="19"/>
          <w:szCs w:val="19"/>
          <w:color w:val="auto"/>
        </w:rPr>
      </w:pPr>
    </w:p>
    <w:p>
      <w:pPr>
        <w:jc w:val="both"/>
        <w:ind w:left="880" w:firstLine="1586"/>
        <w:spacing w:after="0" w:line="268" w:lineRule="auto"/>
        <w:tabs>
          <w:tab w:leader="none" w:pos="3309" w:val="left"/>
        </w:tabs>
        <w:numPr>
          <w:ilvl w:val="1"/>
          <w:numId w:val="62"/>
        </w:numPr>
        <w:rPr>
          <w:rFonts w:ascii="Arial" w:cs="Arial" w:eastAsia="Arial" w:hAnsi="Arial"/>
          <w:sz w:val="18"/>
          <w:szCs w:val="18"/>
          <w:color w:val="auto"/>
        </w:rPr>
      </w:pPr>
      <w:r>
        <w:rPr>
          <w:rFonts w:ascii="Arial" w:cs="Arial" w:eastAsia="Arial" w:hAnsi="Arial"/>
          <w:sz w:val="18"/>
          <w:szCs w:val="18"/>
          <w:color w:val="auto"/>
        </w:rPr>
        <w:t>Each Lender that is not a “United States person” (as such term is defined in Section 7701(a)(30) of the Code) for U.S. federal income tax purposes (each such Lender a “</w:t>
      </w:r>
      <w:r>
        <w:rPr>
          <w:rFonts w:ascii="Arial" w:cs="Arial" w:eastAsia="Arial" w:hAnsi="Arial"/>
          <w:sz w:val="18"/>
          <w:szCs w:val="18"/>
          <w:b w:val="1"/>
          <w:bCs w:val="1"/>
          <w:color w:val="auto"/>
        </w:rPr>
        <w:t>Foreign Lender</w:t>
      </w:r>
      <w:r>
        <w:rPr>
          <w:rFonts w:ascii="Arial" w:cs="Arial" w:eastAsia="Arial" w:hAnsi="Arial"/>
          <w:sz w:val="18"/>
          <w:szCs w:val="18"/>
          <w:color w:val="auto"/>
        </w:rPr>
        <w:t>”) shall, to the extent it is legally entitled to do so, execute and deliver to Borrower Representative and Agent (in such number of copies as shall be requested by the recipient) on or prior to the date on which such Foreign Lender becomes a Lender under this Agreement (and from time to time thereafter upon the reasonable request of the Borrower Representative or Agent) whichever of the following is applicable: (A) in the case of a Foreign Lender claiming the benefits of an income tax treaty to which the United States is a party, (x) with respect to payments of interest under any Financing Document, properly completed and executed copies of United States Internal Revenue Service (“</w:t>
      </w:r>
      <w:r>
        <w:rPr>
          <w:rFonts w:ascii="Arial" w:cs="Arial" w:eastAsia="Arial" w:hAnsi="Arial"/>
          <w:sz w:val="18"/>
          <w:szCs w:val="18"/>
          <w:b w:val="1"/>
          <w:bCs w:val="1"/>
          <w:color w:val="auto"/>
        </w:rPr>
        <w:t>IRS</w:t>
      </w:r>
      <w:r>
        <w:rPr>
          <w:rFonts w:ascii="Arial" w:cs="Arial" w:eastAsia="Arial" w:hAnsi="Arial"/>
          <w:sz w:val="18"/>
          <w:szCs w:val="18"/>
          <w:color w:val="auto"/>
        </w:rPr>
        <w:t xml:space="preserve">”) Forms W-8BEN or W-8BEN-E (or successor form) establishing an exemption from, or reduction of, U.S. federal withholding tax pursuant to the “interest” article of such tax treaty and (y) with respect to any other applicable payments under any Financing Documents, properly completed and executed copies of IRS Forms W-8BEN or W-8BEN-E (or successor form) establishing an exemption from, or reduction of, U.S. federal withholding tax pursuant to the “business profits” or “other income” article of such tax treaty; (B) executed copies of Form W-8ECI (or successor form); (C) in the case of a Foreign Lender claiming the benefits of the exemption for portfolio interest under Section 881(c) of the Code, (x) a certificate substantially in the form of </w:t>
      </w:r>
      <w:r>
        <w:rPr>
          <w:rFonts w:ascii="Arial" w:cs="Arial" w:eastAsia="Arial" w:hAnsi="Arial"/>
          <w:sz w:val="18"/>
          <w:szCs w:val="18"/>
          <w:u w:val="single" w:color="auto"/>
          <w:color w:val="auto"/>
        </w:rPr>
        <w:t>Exhibit E-1</w:t>
      </w:r>
      <w:r>
        <w:rPr>
          <w:rFonts w:ascii="Arial" w:cs="Arial" w:eastAsia="Arial" w:hAnsi="Arial"/>
          <w:sz w:val="18"/>
          <w:szCs w:val="18"/>
          <w:color w:val="auto"/>
        </w:rPr>
        <w:t xml:space="preserve"> to the effect that such Foreign Lender is not a “bank” within the meaning of Section 871(h)(3)(B) of the Code, a “10 percent shareholder” of any Borrower within the meaning of Section 881(c)(3)(B) of the Code, or a “controlled foreign corporation” described in Section 881(c)(3)(C) of the Code (a “</w:t>
      </w:r>
      <w:r>
        <w:rPr>
          <w:rFonts w:ascii="Arial" w:cs="Arial" w:eastAsia="Arial" w:hAnsi="Arial"/>
          <w:sz w:val="18"/>
          <w:szCs w:val="18"/>
          <w:b w:val="1"/>
          <w:bCs w:val="1"/>
          <w:color w:val="auto"/>
        </w:rPr>
        <w:t>U.S. Tax Compliance Certificate</w:t>
      </w:r>
      <w:r>
        <w:rPr>
          <w:rFonts w:ascii="Arial" w:cs="Arial" w:eastAsia="Arial" w:hAnsi="Arial"/>
          <w:sz w:val="18"/>
          <w:szCs w:val="18"/>
          <w:color w:val="auto"/>
        </w:rPr>
        <w:t xml:space="preserve">”) and (y) executed copies of IRS Forms W-8BEN or W-8BEN-E (or successor form); (D) to the extent a Foreign Lender is not the beneficial owner, executed copies of IRS Form W-8IMY, accompanied by IRS Form W-8ECI, IRS Form W-8BEN or W-8BEN-E (or successor form), a U.S. Tax Compliance Certificate substantially in the form of </w:t>
      </w:r>
      <w:r>
        <w:rPr>
          <w:rFonts w:ascii="Arial" w:cs="Arial" w:eastAsia="Arial" w:hAnsi="Arial"/>
          <w:sz w:val="18"/>
          <w:szCs w:val="18"/>
          <w:u w:val="single" w:color="auto"/>
          <w:color w:val="auto"/>
        </w:rPr>
        <w:t>Exhibit E-2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E-3</w:t>
      </w:r>
      <w:r>
        <w:rPr>
          <w:rFonts w:ascii="Arial" w:cs="Arial" w:eastAsia="Arial" w:hAnsi="Arial"/>
          <w:sz w:val="18"/>
          <w:szCs w:val="18"/>
          <w:color w:val="auto"/>
        </w:rPr>
        <w:t xml:space="preserve">, IRS Form W-9 (or successor form), and/or other certification documents from each beneficial owner, as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8"/>
          <w:szCs w:val="18"/>
          <w:u w:val="single" w:color="auto"/>
          <w:color w:val="auto"/>
        </w:rPr>
        <w:t>Exhibit E-4</w:t>
      </w:r>
      <w:r>
        <w:rPr>
          <w:rFonts w:ascii="Arial" w:cs="Arial" w:eastAsia="Arial" w:hAnsi="Arial"/>
          <w:sz w:val="18"/>
          <w:szCs w:val="18"/>
          <w:color w:val="auto"/>
        </w:rPr>
        <w:t xml:space="preserve"> on behalf of each such direct and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92" w:name="page93"/>
    <w:bookmarkEnd w:id="92"/>
    <w:p>
      <w:pPr>
        <w:jc w:val="both"/>
        <w:ind w:left="880"/>
        <w:spacing w:after="0" w:line="274" w:lineRule="auto"/>
        <w:rPr>
          <w:sz w:val="20"/>
          <w:szCs w:val="20"/>
          <w:color w:val="auto"/>
        </w:rPr>
      </w:pPr>
      <w:r>
        <w:rPr>
          <w:rFonts w:ascii="Arial" w:cs="Arial" w:eastAsia="Arial" w:hAnsi="Arial"/>
          <w:sz w:val="18"/>
          <w:szCs w:val="18"/>
          <w:color w:val="auto"/>
        </w:rPr>
        <w:t>indirect partner; or (E) other applicable forms, certificates or documents prescribed by the IRS. Each Lender agrees that if any form or certification it previously delivered expires or becomes obsolete or inaccurate in any respect, it shall update such form or certification or promptly notify Borrower Representative and Agent in writing of its legal inability to do so. In addition, to the extent permitted by applicable Law, such forms shall be delivered by each Foreign Lender upon the obsolescence or invalidity of any form previously delivered by such Foreign Lender. Each Foreign Lender shall promptly notify Borrower Representative at any time it determines that it is no longer in a position to provide any previously delivered certificate to Borrower Representative (or any other form of certification adopted by the U.S. taxing authorities for such purpose).</w:t>
      </w:r>
    </w:p>
    <w:p>
      <w:pPr>
        <w:spacing w:after="0" w:line="168" w:lineRule="exact"/>
        <w:rPr>
          <w:sz w:val="20"/>
          <w:szCs w:val="20"/>
          <w:color w:val="auto"/>
        </w:rPr>
      </w:pPr>
    </w:p>
    <w:p>
      <w:pPr>
        <w:jc w:val="both"/>
        <w:ind w:left="880" w:firstLine="1586"/>
        <w:spacing w:after="0" w:line="311" w:lineRule="auto"/>
        <w:tabs>
          <w:tab w:leader="none" w:pos="3364" w:val="left"/>
        </w:tabs>
        <w:numPr>
          <w:ilvl w:val="1"/>
          <w:numId w:val="63"/>
        </w:numPr>
        <w:rPr>
          <w:rFonts w:ascii="Arial" w:cs="Arial" w:eastAsia="Arial" w:hAnsi="Arial"/>
          <w:sz w:val="16"/>
          <w:szCs w:val="16"/>
          <w:color w:val="auto"/>
        </w:rPr>
      </w:pPr>
      <w:r>
        <w:rPr>
          <w:rFonts w:ascii="Arial" w:cs="Arial" w:eastAsia="Arial" w:hAnsi="Arial"/>
          <w:sz w:val="16"/>
          <w:szCs w:val="16"/>
          <w:color w:val="auto"/>
        </w:rPr>
        <w:t>Each Lender that is a “United States person” (as such term is defined in Section 7701(a)(30) of the Code) for U.S. federal income tax purposes shall, to the extent permitted by Law, provide to Borrower Representative and Agent on or prior to the date on which such Lender becomes a Lender under this Agreement (and from time to time thereafter upon the reasonable request of the Borrower Representative or Agent), a properly completed and executed IRS Form W-9 or any successor form certifying as to such Lender’s entitlement to an exemption from U.S. federal backup withholding and other applicable forms, certificates or documents prescribed by the IRS or reasonably requested by Borrower Representative or Agent. Each such Lender shall promptly notify Borrowers at any time it determines that any certificate previously delivered to Borrower Representative (or any other form of certification adopted by the U.S. governmental authorities for such purposes) is no longer valid.</w:t>
      </w:r>
    </w:p>
    <w:p>
      <w:pPr>
        <w:spacing w:after="0" w:line="144" w:lineRule="exact"/>
        <w:rPr>
          <w:rFonts w:ascii="Arial" w:cs="Arial" w:eastAsia="Arial" w:hAnsi="Arial"/>
          <w:sz w:val="16"/>
          <w:szCs w:val="16"/>
          <w:color w:val="auto"/>
        </w:rPr>
      </w:pPr>
    </w:p>
    <w:p>
      <w:pPr>
        <w:jc w:val="both"/>
        <w:ind w:left="880" w:firstLine="1586"/>
        <w:spacing w:after="0" w:line="243" w:lineRule="auto"/>
        <w:tabs>
          <w:tab w:leader="none" w:pos="3419" w:val="left"/>
        </w:tabs>
        <w:numPr>
          <w:ilvl w:val="1"/>
          <w:numId w:val="63"/>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Borrower Representative and Agent (in such number of copies as shall be requested by the recipient) on or prior to the date on which such Foreign Lender becomes a Lender under this Agreement (and from time to time thereafter upon the reasonable request of the Borrower Representative or Agent), executed copies of any other form prescribed by applicable Law as a basis for claiming exemption from or a reduction in U.S. federal withholding Tax, duly completed, together with such supplementary documentation as may be prescribed by applicable Law to permit Borrowers or Agent to determine the withholding or deduction required to be made.</w:t>
      </w:r>
    </w:p>
    <w:p>
      <w:pPr>
        <w:spacing w:after="0" w:line="192" w:lineRule="exact"/>
        <w:rPr>
          <w:rFonts w:ascii="Arial" w:cs="Arial" w:eastAsia="Arial" w:hAnsi="Arial"/>
          <w:sz w:val="20"/>
          <w:szCs w:val="20"/>
          <w:color w:val="auto"/>
        </w:rPr>
      </w:pPr>
    </w:p>
    <w:p>
      <w:pPr>
        <w:jc w:val="both"/>
        <w:ind w:firstLine="1735"/>
        <w:spacing w:after="0" w:line="270" w:lineRule="auto"/>
        <w:tabs>
          <w:tab w:leader="none" w:pos="2606"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If any party determines, in its sole discretion exercised in good faith, that it has received a refund in respect of any Taxes as to which it has been indemnified pursuant to this Section 2.8 (including by the payment of additional amounts pursuant to this Section 2.8), then it shall promptly pay an amount equal to such refund to the indemnifying party, net of all reasonable out-of-pocket expenses of such indemnified party with respect thereto, including any Taxes, and without interest (other than any interest paid by the relevant Governmental Authority with respect to such refund);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upon the written request of such indemnified party, the indemnifying party agrees to repay any amount paid over to the indemnifying party (plus any related penalties, interest or other charges imposed by the relevant Governmental Authority) in the event such indemnified party is required, for any reason, to disgorge or otherwise repay such refund. Notwithstanding anything to the contrary in this Section 2.8, in no event will the indemnified party be required to pay any amount to an indemnifying party pursuant to this Section 2.8(d)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2.8 shall not be construed to require any indemnified party to make available its Tax returns (or any other information relating to its Taxes that it deems confidential) to the indemnifying party or any other Person.</w:t>
      </w:r>
    </w:p>
    <w:p>
      <w:pPr>
        <w:spacing w:after="0" w:line="172" w:lineRule="exact"/>
        <w:rPr>
          <w:rFonts w:ascii="Arial" w:cs="Arial" w:eastAsia="Arial" w:hAnsi="Arial"/>
          <w:sz w:val="18"/>
          <w:szCs w:val="18"/>
          <w:color w:val="auto"/>
        </w:rPr>
      </w:pPr>
    </w:p>
    <w:p>
      <w:pPr>
        <w:ind w:firstLine="1735"/>
        <w:spacing w:after="0" w:line="260" w:lineRule="auto"/>
        <w:tabs>
          <w:tab w:leader="none" w:pos="2595" w:val="left"/>
        </w:tabs>
        <w:numPr>
          <w:ilvl w:val="0"/>
          <w:numId w:val="64"/>
        </w:numPr>
        <w:rPr>
          <w:rFonts w:ascii="Arial" w:cs="Arial" w:eastAsia="Arial" w:hAnsi="Arial"/>
          <w:sz w:val="20"/>
          <w:szCs w:val="20"/>
          <w:color w:val="auto"/>
        </w:rPr>
      </w:pPr>
      <w:r>
        <w:rPr>
          <w:rFonts w:ascii="Arial" w:cs="Arial" w:eastAsia="Arial" w:hAnsi="Arial"/>
          <w:sz w:val="20"/>
          <w:szCs w:val="20"/>
          <w:color w:val="auto"/>
        </w:rPr>
        <w:t>If a payment made to a Lender under any Financing Document would be subject to U.S. federal withholding tax imposed by FATCA if such Lender were to fail to comply with the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93" w:name="page94"/>
    <w:bookmarkEnd w:id="93"/>
    <w:p>
      <w:pPr>
        <w:jc w:val="both"/>
        <w:spacing w:after="0" w:line="274" w:lineRule="auto"/>
        <w:rPr>
          <w:sz w:val="20"/>
          <w:szCs w:val="20"/>
          <w:color w:val="auto"/>
        </w:rPr>
      </w:pPr>
      <w:r>
        <w:rPr>
          <w:rFonts w:ascii="Arial" w:cs="Arial" w:eastAsia="Arial" w:hAnsi="Arial"/>
          <w:sz w:val="18"/>
          <w:szCs w:val="18"/>
          <w:color w:val="auto"/>
        </w:rPr>
        <w:t>applicable reporting requirements of FATCA (including those contained in Section 1471(b) or 1472(b) of the Code, as applicable), such Lender shall deliver to Borrower Representative and Agent at the time or times prescribed by Law and at such time or times reasonably requested by Borrower Representative or Agent such documentation prescribed by applicable Law (including as prescribed by Section 1471(b)(3)(C)(i) of the Code) and such additional documentation reasonably requested by Borrower Representative or Agent as may be necessary for Borrowers and Agent to comply with their obligations under FATCA and to determine that such Lender has complied with such Lender’s obligations under FATCA or to determine the amount to deduct and withhold from such payment. Solely for purposes of this clause (e), “FATCA” shall include any amendments made to FATCA after the date of this Agreement.</w:t>
      </w:r>
    </w:p>
    <w:p>
      <w:pPr>
        <w:spacing w:after="0" w:line="168" w:lineRule="exact"/>
        <w:rPr>
          <w:sz w:val="20"/>
          <w:szCs w:val="20"/>
          <w:color w:val="auto"/>
        </w:rPr>
      </w:pPr>
    </w:p>
    <w:p>
      <w:pPr>
        <w:jc w:val="both"/>
        <w:ind w:firstLine="1735"/>
        <w:spacing w:after="0" w:line="241" w:lineRule="auto"/>
        <w:tabs>
          <w:tab w:leader="none" w:pos="2573" w:val="left"/>
        </w:tabs>
        <w:numPr>
          <w:ilvl w:val="0"/>
          <w:numId w:val="65"/>
        </w:numPr>
        <w:rPr>
          <w:rFonts w:ascii="Arial" w:cs="Arial" w:eastAsia="Arial" w:hAnsi="Arial"/>
          <w:sz w:val="20"/>
          <w:szCs w:val="20"/>
          <w:color w:val="auto"/>
        </w:rPr>
      </w:pPr>
      <w:r>
        <w:rPr>
          <w:rFonts w:ascii="Arial" w:cs="Arial" w:eastAsia="Arial" w:hAnsi="Arial"/>
          <w:sz w:val="20"/>
          <w:szCs w:val="20"/>
          <w:color w:val="auto"/>
        </w:rPr>
        <w:t>Each Lender shall severally indemnify Agent, within ten (10) days after demand therefor, for (i) any Indemnified Taxes attributable to such Lender (but only to the extent that any Credit Party has not already indemnified Agent for such Indemnified Taxes and without limiting the obligation of the Credit Parties to do so), (ii) any Taxes attributable to such Lender’s failure to comply with the provisions of Section 11.17 relating to the maintenance of a Participant Register and (iii) any Excluded Taxes attributable to such Lender, in each case, that are payable or paid by Agent in connection with any Financing Document, and any reasonable expenses arising therefrom or with respect thereto, whether or not such Taxes were correctly or legally imposed or asserted by the relevant Governmental Authority. A certificate as to the amount of such payment or liability delivered to any Lender by Agent shall be conclusive absent manifest error. Each Lender hereby authorizes Agent to set off and apply any and all amounts at any time owing to such Lender under any Financing Document or otherwise payable by Agent to such Lender from any other source against any amount due to Agent under this paragraph (f).</w:t>
      </w:r>
    </w:p>
    <w:p>
      <w:pPr>
        <w:spacing w:after="0" w:line="201" w:lineRule="exact"/>
        <w:rPr>
          <w:rFonts w:ascii="Arial" w:cs="Arial" w:eastAsia="Arial" w:hAnsi="Arial"/>
          <w:sz w:val="20"/>
          <w:szCs w:val="20"/>
          <w:color w:val="auto"/>
        </w:rPr>
      </w:pPr>
    </w:p>
    <w:p>
      <w:pPr>
        <w:jc w:val="both"/>
        <w:ind w:firstLine="1735"/>
        <w:spacing w:after="0" w:line="250" w:lineRule="auto"/>
        <w:tabs>
          <w:tab w:leader="none" w:pos="2606" w:val="left"/>
        </w:tabs>
        <w:numPr>
          <w:ilvl w:val="0"/>
          <w:numId w:val="65"/>
        </w:numPr>
        <w:rPr>
          <w:rFonts w:ascii="Arial" w:cs="Arial" w:eastAsia="Arial" w:hAnsi="Arial"/>
          <w:sz w:val="20"/>
          <w:szCs w:val="20"/>
          <w:color w:val="auto"/>
        </w:rPr>
      </w:pPr>
      <w:r>
        <w:rPr>
          <w:rFonts w:ascii="Arial" w:cs="Arial" w:eastAsia="Arial" w:hAnsi="Arial"/>
          <w:sz w:val="20"/>
          <w:szCs w:val="20"/>
          <w:color w:val="auto"/>
        </w:rPr>
        <w:t>Each party’s obligations under Section 2.8(a) through (f) shall survive the resignation or replacement of Agent or any assignment of rights by, or the replacement of, a Lender, and the repayment, satisfaction or discharge of all Obligations hereunder.</w:t>
      </w:r>
    </w:p>
    <w:p>
      <w:pPr>
        <w:spacing w:after="0" w:line="185" w:lineRule="exact"/>
        <w:rPr>
          <w:rFonts w:ascii="Arial" w:cs="Arial" w:eastAsia="Arial" w:hAnsi="Arial"/>
          <w:sz w:val="20"/>
          <w:szCs w:val="20"/>
          <w:color w:val="auto"/>
        </w:rPr>
      </w:pPr>
    </w:p>
    <w:p>
      <w:pPr>
        <w:jc w:val="both"/>
        <w:ind w:firstLine="1735"/>
        <w:spacing w:after="0" w:line="269" w:lineRule="auto"/>
        <w:tabs>
          <w:tab w:leader="none" w:pos="2606"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If any Lender shall determine in its commercially reasonable judgment that the adoption or taking effect of, or any change in, any applicable Law regarding capital adequacy, in each instance, after the Closing Date, or any change after the Closing Date in the interpretation, administration or application thereof by any Governmental Authority, central bank or comparable agency charged with the interpretation, administration or application thereof, or the compliance by any Lender or any Person controlling such Lender with any request, guideline or directive regarding capital adequacy (whether or not having the force of Law) of any such Governmental Authority, central bank or comparable agency adopted or otherwise taking effect after the Closing Date, has or would have the effect of reducing the rate of return on such Lender’s or such controlling Person’s capital as a consequence of such Lender’s obligations hereunder to a level below that which such Lender or such controlling Person could have achieved but for such adoption, taking effect, change, interpretation, administration, application or compliance (taking into consideration such Lender’s or such controlling Person’s policies with respect to capital adequacy) then from time to time, upon written demand by such Lender (which demand shall be accompanied by a statement setting forth the basis for such demand and a calculation of the amount thereof in reasonable detail, a copy of which shall be furnished to Agent), Borrowers shall promptly pay to such Lender such additional amount as will compensate such Lender or such controlling Person for such reduction, so long as such amounts have accrued on or after the day which is two hundred seventy (270) days prior to the date on which such Lender first made demand therefor;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notwithstanding anything in this Agreement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94" w:name="page95"/>
    <w:bookmarkEnd w:id="94"/>
    <w:p>
      <w:pPr>
        <w:spacing w:after="0" w:line="260" w:lineRule="auto"/>
        <w:rPr>
          <w:sz w:val="20"/>
          <w:szCs w:val="20"/>
          <w:color w:val="auto"/>
        </w:rPr>
      </w:pPr>
      <w:r>
        <w:rPr>
          <w:rFonts w:ascii="Arial" w:cs="Arial" w:eastAsia="Arial" w:hAnsi="Arial"/>
          <w:sz w:val="20"/>
          <w:szCs w:val="20"/>
          <w:color w:val="auto"/>
        </w:rPr>
        <w:t>authorities, in each case pursuant to Basel III, shall in each case be deemed to be a “change in applicable Law”, regardless of the date enacted, adopted or issued.</w:t>
      </w:r>
    </w:p>
    <w:p>
      <w:pPr>
        <w:spacing w:after="0" w:line="177" w:lineRule="exact"/>
        <w:rPr>
          <w:sz w:val="20"/>
          <w:szCs w:val="20"/>
          <w:color w:val="auto"/>
        </w:rPr>
      </w:pPr>
    </w:p>
    <w:p>
      <w:pPr>
        <w:jc w:val="both"/>
        <w:ind w:firstLine="1735"/>
        <w:spacing w:after="0" w:line="256" w:lineRule="auto"/>
        <w:tabs>
          <w:tab w:leader="none" w:pos="2562" w:val="left"/>
        </w:tabs>
        <w:numPr>
          <w:ilvl w:val="0"/>
          <w:numId w:val="66"/>
        </w:numPr>
        <w:rPr>
          <w:rFonts w:ascii="Arial" w:cs="Arial" w:eastAsia="Arial" w:hAnsi="Arial"/>
          <w:sz w:val="19"/>
          <w:szCs w:val="19"/>
          <w:color w:val="auto"/>
        </w:rPr>
      </w:pPr>
      <w:r>
        <w:rPr>
          <w:rFonts w:ascii="Arial" w:cs="Arial" w:eastAsia="Arial" w:hAnsi="Arial"/>
          <w:sz w:val="19"/>
          <w:szCs w:val="19"/>
          <w:color w:val="auto"/>
        </w:rPr>
        <w:t>If any Lender requests compensation under either Section 2.1(a)(iv) or Section 2.8(h), or requires Borrowers to pay any additional amount to any Lender or any Governmental Authority for the account of any Lender pursuant to Section 2.8, then, upon the written request of Borrower Representative, such Lender shall use reasonable efforts to designate a different lending office for funding or booking its Loans hereunder or to assign its rights and obligations hereunder (subject to the terms of this Agreement) to another of its offices, branches or affiliates, if, in the judgment of such Lender, such designation or assignment (i) would eliminate or materially reduce amounts payable pursuant to any such subsection, as the case may be, in the future, and (ii) would not subject such Lender to any unreimbursed cost or expense and would not otherwise be disadvantageous to such Lender (as determined in its sole discretion). Without limitation of the provisions of Section 12.14, each Borrower hereby agrees to pay all reasonable costs and expenses incurred by any Lender in connection with any such designation or assignment.</w:t>
      </w:r>
    </w:p>
    <w:p>
      <w:pPr>
        <w:spacing w:after="0" w:line="178" w:lineRule="exact"/>
        <w:rPr>
          <w:sz w:val="20"/>
          <w:szCs w:val="20"/>
          <w:color w:val="auto"/>
        </w:rPr>
      </w:pPr>
    </w:p>
    <w:p>
      <w:pPr>
        <w:ind w:left="880"/>
        <w:spacing w:after="0"/>
        <w:tabs>
          <w:tab w:leader="none" w:pos="2420" w:val="left"/>
        </w:tabs>
        <w:rPr>
          <w:sz w:val="20"/>
          <w:szCs w:val="20"/>
          <w:color w:val="auto"/>
        </w:rPr>
      </w:pPr>
      <w:r>
        <w:rPr>
          <w:rFonts w:ascii="Arial" w:cs="Arial" w:eastAsia="Arial" w:hAnsi="Arial"/>
          <w:sz w:val="20"/>
          <w:szCs w:val="20"/>
          <w:b w:val="1"/>
          <w:bCs w:val="1"/>
          <w:color w:val="auto"/>
        </w:rPr>
        <w:t>Section 2.9</w:t>
      </w:r>
      <w:r>
        <w:rPr>
          <w:sz w:val="20"/>
          <w:szCs w:val="20"/>
          <w:color w:val="auto"/>
        </w:rPr>
        <w:tab/>
      </w:r>
      <w:r>
        <w:rPr>
          <w:rFonts w:ascii="Arial" w:cs="Arial" w:eastAsia="Arial" w:hAnsi="Arial"/>
          <w:sz w:val="18"/>
          <w:szCs w:val="18"/>
          <w:u w:val="single" w:color="auto"/>
          <w:color w:val="auto"/>
        </w:rPr>
        <w:t>Appointment of Borrower Representative</w:t>
      </w:r>
      <w:r>
        <w:rPr>
          <w:rFonts w:ascii="Arial" w:cs="Arial" w:eastAsia="Arial" w:hAnsi="Arial"/>
          <w:sz w:val="18"/>
          <w:szCs w:val="18"/>
          <w:color w:val="auto"/>
        </w:rPr>
        <w:t>.</w:t>
      </w:r>
    </w:p>
    <w:p>
      <w:pPr>
        <w:spacing w:after="0" w:line="222" w:lineRule="exact"/>
        <w:rPr>
          <w:sz w:val="20"/>
          <w:szCs w:val="20"/>
          <w:color w:val="auto"/>
        </w:rPr>
      </w:pPr>
    </w:p>
    <w:p>
      <w:pPr>
        <w:jc w:val="both"/>
        <w:ind w:firstLine="1735"/>
        <w:spacing w:after="0" w:line="256" w:lineRule="auto"/>
        <w:tabs>
          <w:tab w:leader="none" w:pos="2595" w:val="left"/>
        </w:tabs>
        <w:numPr>
          <w:ilvl w:val="0"/>
          <w:numId w:val="67"/>
        </w:numPr>
        <w:rPr>
          <w:rFonts w:ascii="Arial" w:cs="Arial" w:eastAsia="Arial" w:hAnsi="Arial"/>
          <w:sz w:val="19"/>
          <w:szCs w:val="19"/>
          <w:color w:val="auto"/>
        </w:rPr>
      </w:pPr>
      <w:r>
        <w:rPr>
          <w:rFonts w:ascii="Arial" w:cs="Arial" w:eastAsia="Arial" w:hAnsi="Arial"/>
          <w:sz w:val="19"/>
          <w:szCs w:val="19"/>
          <w:color w:val="auto"/>
        </w:rPr>
        <w:t>Each Borrower hereby irrevocably appoints and constitutes Borrower Representative as its agent and attorney-in-fact to request and receive Loans in the name or on behalf of such Borrower and any other Borrowers, deliver Notices of Borrowing, give instructions with respect to the disbursement of the proceeds of the Loans , giving and receiving all other notices and consents hereunder or under any of the other Financing Documents and taking all other actions (including in respect of compliance with covenants) in the name or on behalf of any Borrower or Borrowers pursuant to this Agreement and the other Financing Documents. Agent and Lenders may disburse the Loans to such bank account of Borrower Representative or a Borrower or otherwise make such Loans to a Borrower, in each case as Borrower Representative may designate or direct, without notice to any other Borrower. Notwithstanding anything to the contrary contained herein, Agent may at any time and from time to time require that Loans to or for the account of any Borrower be disbursed directly to an operating account of such Borrower.</w:t>
      </w:r>
    </w:p>
    <w:p>
      <w:pPr>
        <w:spacing w:after="0" w:line="184" w:lineRule="exact"/>
        <w:rPr>
          <w:rFonts w:ascii="Arial" w:cs="Arial" w:eastAsia="Arial" w:hAnsi="Arial"/>
          <w:sz w:val="19"/>
          <w:szCs w:val="19"/>
          <w:color w:val="auto"/>
        </w:rPr>
      </w:pPr>
    </w:p>
    <w:p>
      <w:pPr>
        <w:jc w:val="both"/>
        <w:ind w:firstLine="1735"/>
        <w:spacing w:after="0" w:line="291" w:lineRule="auto"/>
        <w:tabs>
          <w:tab w:leader="none" w:pos="2606" w:val="left"/>
        </w:tabs>
        <w:numPr>
          <w:ilvl w:val="0"/>
          <w:numId w:val="67"/>
        </w:numPr>
        <w:rPr>
          <w:rFonts w:ascii="Arial" w:cs="Arial" w:eastAsia="Arial" w:hAnsi="Arial"/>
          <w:sz w:val="18"/>
          <w:szCs w:val="18"/>
          <w:color w:val="auto"/>
        </w:rPr>
      </w:pPr>
      <w:r>
        <w:rPr>
          <w:rFonts w:ascii="Arial" w:cs="Arial" w:eastAsia="Arial" w:hAnsi="Arial"/>
          <w:sz w:val="18"/>
          <w:szCs w:val="18"/>
          <w:color w:val="auto"/>
        </w:rPr>
        <w:t>Borrower Representative hereby accepts the appointment by Borrowers to act as the agent and attorney-in-fact of Borrowers pursuant to this Section 2.9. Borrower Representative shall ensure that the disbursement of any Loans that are at any time requested by or to be remitted to or for the account of a Borrower, shall be remitted or issued to or for the account of such Borrower.</w:t>
      </w:r>
    </w:p>
    <w:p>
      <w:pPr>
        <w:spacing w:after="0" w:line="151" w:lineRule="exact"/>
        <w:rPr>
          <w:rFonts w:ascii="Arial" w:cs="Arial" w:eastAsia="Arial" w:hAnsi="Arial"/>
          <w:sz w:val="18"/>
          <w:szCs w:val="18"/>
          <w:color w:val="auto"/>
        </w:rPr>
      </w:pPr>
    </w:p>
    <w:p>
      <w:pPr>
        <w:jc w:val="both"/>
        <w:ind w:firstLine="1735"/>
        <w:spacing w:after="0" w:line="250" w:lineRule="auto"/>
        <w:tabs>
          <w:tab w:leader="none" w:pos="2595" w:val="left"/>
        </w:tabs>
        <w:numPr>
          <w:ilvl w:val="0"/>
          <w:numId w:val="67"/>
        </w:numPr>
        <w:rPr>
          <w:rFonts w:ascii="Arial" w:cs="Arial" w:eastAsia="Arial" w:hAnsi="Arial"/>
          <w:sz w:val="20"/>
          <w:szCs w:val="20"/>
          <w:color w:val="auto"/>
        </w:rPr>
      </w:pPr>
      <w:r>
        <w:rPr>
          <w:rFonts w:ascii="Arial" w:cs="Arial" w:eastAsia="Arial" w:hAnsi="Arial"/>
          <w:sz w:val="20"/>
          <w:szCs w:val="20"/>
          <w:color w:val="auto"/>
        </w:rPr>
        <w:t>Each Borrower hereby irrevocably appoints and constitutes Borrower Representative as its agent to receive statements on account and all other notices from Agent, Lenders with respect to the Obligations or otherwise under or in connection with this Agreement and the other Financing Documents.</w:t>
      </w:r>
    </w:p>
    <w:p>
      <w:pPr>
        <w:spacing w:after="0" w:line="185" w:lineRule="exact"/>
        <w:rPr>
          <w:rFonts w:ascii="Arial" w:cs="Arial" w:eastAsia="Arial" w:hAnsi="Arial"/>
          <w:sz w:val="20"/>
          <w:szCs w:val="20"/>
          <w:color w:val="auto"/>
        </w:rPr>
      </w:pPr>
    </w:p>
    <w:p>
      <w:pPr>
        <w:jc w:val="both"/>
        <w:ind w:firstLine="1735"/>
        <w:spacing w:after="0" w:line="246" w:lineRule="auto"/>
        <w:tabs>
          <w:tab w:leader="none" w:pos="2606" w:val="left"/>
        </w:tabs>
        <w:numPr>
          <w:ilvl w:val="0"/>
          <w:numId w:val="67"/>
        </w:numPr>
        <w:rPr>
          <w:rFonts w:ascii="Arial" w:cs="Arial" w:eastAsia="Arial" w:hAnsi="Arial"/>
          <w:sz w:val="20"/>
          <w:szCs w:val="20"/>
          <w:color w:val="auto"/>
        </w:rPr>
      </w:pPr>
      <w:r>
        <w:rPr>
          <w:rFonts w:ascii="Arial" w:cs="Arial" w:eastAsia="Arial" w:hAnsi="Arial"/>
          <w:sz w:val="20"/>
          <w:szCs w:val="20"/>
          <w:color w:val="auto"/>
        </w:rPr>
        <w:t>Any notice, election, representation, warranty, covenant, agreement or undertaking made or delivered by or on behalf of any Borrower by Borrower Representative shall be deemed for all purposes to have been made or delivered by such Borrower, as the case may be, and shall be binding upon and enforceable against such Borrower to the same extent as if the same had been made or delivered directly by such Borrower.</w:t>
      </w:r>
    </w:p>
    <w:p>
      <w:pPr>
        <w:spacing w:after="0" w:line="191" w:lineRule="exact"/>
        <w:rPr>
          <w:rFonts w:ascii="Arial" w:cs="Arial" w:eastAsia="Arial" w:hAnsi="Arial"/>
          <w:sz w:val="20"/>
          <w:szCs w:val="20"/>
          <w:color w:val="auto"/>
        </w:rPr>
      </w:pPr>
    </w:p>
    <w:p>
      <w:pPr>
        <w:jc w:val="both"/>
        <w:ind w:firstLine="1735"/>
        <w:spacing w:after="0" w:line="246" w:lineRule="auto"/>
        <w:tabs>
          <w:tab w:leader="none" w:pos="2595" w:val="left"/>
        </w:tabs>
        <w:numPr>
          <w:ilvl w:val="0"/>
          <w:numId w:val="67"/>
        </w:numPr>
        <w:rPr>
          <w:rFonts w:ascii="Arial" w:cs="Arial" w:eastAsia="Arial" w:hAnsi="Arial"/>
          <w:sz w:val="20"/>
          <w:szCs w:val="20"/>
          <w:color w:val="auto"/>
        </w:rPr>
      </w:pPr>
      <w:r>
        <w:rPr>
          <w:rFonts w:ascii="Arial" w:cs="Arial" w:eastAsia="Arial" w:hAnsi="Arial"/>
          <w:sz w:val="20"/>
          <w:szCs w:val="20"/>
          <w:color w:val="auto"/>
        </w:rPr>
        <w:t>No resignation by or termination of the appointment of Borrower Representative as agent and attorney-in-fact as aforesaid shall be effective, except after ten (10) Business Days’ prior written notice to Agent. If Borrower Representative resigns under this Agreement, Borrowers shall be entitled to appoint a successor Borrower Representative (which shall be a Borrower and shall be reasonably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95" w:name="page96"/>
    <w:bookmarkEnd w:id="95"/>
    <w:p>
      <w:pPr>
        <w:jc w:val="both"/>
        <w:spacing w:after="0" w:line="244" w:lineRule="auto"/>
        <w:rPr>
          <w:sz w:val="20"/>
          <w:szCs w:val="20"/>
          <w:color w:val="auto"/>
        </w:rPr>
      </w:pPr>
      <w:r>
        <w:rPr>
          <w:rFonts w:ascii="Arial" w:cs="Arial" w:eastAsia="Arial" w:hAnsi="Arial"/>
          <w:sz w:val="20"/>
          <w:szCs w:val="20"/>
          <w:color w:val="auto"/>
        </w:rPr>
        <w:t>acceptable to Agent as such successor). Upon the acceptance of its appointment as successor Borrower Representative hereunder, such successor Borrower Representative shall succeed to all the rights, powers and duties of the retiring Borrower Representative and the term “Borrower Representative” shall mean such successor Borrower Representative for all purposes of this Agreement and the other Financing Documents, and the retiring or terminated Borrower Representative’s appointment, powers and duties as Borrower Representative shall be thereupon terminated.</w:t>
      </w:r>
    </w:p>
    <w:p>
      <w:pPr>
        <w:spacing w:after="0" w:line="188"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0"/>
          <w:szCs w:val="20"/>
          <w:b w:val="1"/>
          <w:bCs w:val="1"/>
          <w:color w:val="auto"/>
        </w:rPr>
        <w:t>Section 2.10</w:t>
      </w:r>
      <w:r>
        <w:rPr>
          <w:sz w:val="20"/>
          <w:szCs w:val="20"/>
          <w:color w:val="auto"/>
        </w:rPr>
        <w:tab/>
      </w:r>
      <w:r>
        <w:rPr>
          <w:rFonts w:ascii="Arial" w:cs="Arial" w:eastAsia="Arial" w:hAnsi="Arial"/>
          <w:sz w:val="18"/>
          <w:szCs w:val="18"/>
          <w:u w:val="single" w:color="auto"/>
          <w:color w:val="auto"/>
        </w:rPr>
        <w:t>Joint and Several Liability; Rights of Contribution; Subordination and Subrogation</w:t>
      </w:r>
      <w:r>
        <w:rPr>
          <w:rFonts w:ascii="Arial" w:cs="Arial" w:eastAsia="Arial" w:hAnsi="Arial"/>
          <w:sz w:val="18"/>
          <w:szCs w:val="18"/>
          <w:color w:val="auto"/>
        </w:rPr>
        <w:t>.</w:t>
      </w:r>
    </w:p>
    <w:p>
      <w:pPr>
        <w:spacing w:after="0" w:line="222" w:lineRule="exact"/>
        <w:rPr>
          <w:sz w:val="20"/>
          <w:szCs w:val="20"/>
          <w:color w:val="auto"/>
        </w:rPr>
      </w:pPr>
    </w:p>
    <w:p>
      <w:pPr>
        <w:jc w:val="both"/>
        <w:ind w:firstLine="1735"/>
        <w:spacing w:after="0" w:line="269" w:lineRule="auto"/>
        <w:tabs>
          <w:tab w:leader="none" w:pos="2595"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Borrowers are defined collectively to include all Persons named as one of the Borrowers herein;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references herein to “any Borrower”, “each Borrower” or similar references, shall be construed as a reference to each</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 Person named as one of the Borrowers herein. Each Person so named shall be jointly and severally liable for all of the obligations of Borrowers under this Agreement. Each Borrower, individually, expressly understands, agrees and acknowledges, that the credit facilities would not be made available on the terms herein in the absence of the collective credit of all of the Persons named as the Borrowers herein, the joint and several liability of all such Persons, and the cross-collateralization of the collateral of all such Persons. Accordingly, each Borrower individually acknowledges that the benefit to each of the Persons named as one of the Borrowers as a whole constitutes reasonably equivalent value, regardless of the amount of the credit facilities actually borrowed by, advanced to, or the amount of collateral provided by, any individual Borrower. In addition, each entity named as one of the Borrowers herein hereby acknowledges and agrees that all of the representations, warranties, covenants, obligations, conditions, agreements and other terms contained in this Agreement shall be applicable to and shall be binding upon and measured and enforceable individually against each Person named as one of the Borrowers herein as well as all such Persons when taken together. By way of illustration, but without limiting the generality of the foregoing, the terms of Section 10.1 of this Agreement are to be applied to each individual Person named as one of the Borrowers herein (as well as to all such Persons taken as a whole), such that the occurrence of any of the events described in Section 10.1 of this Agreement as to any Person named as one of the Borrowers herein shall constitute an Event of Default even if such event has not occurred as to any other Persons named as the Borrowers or as to all such Persons taken as a whole.</w:t>
      </w:r>
    </w:p>
    <w:p>
      <w:pPr>
        <w:spacing w:after="0" w:line="176" w:lineRule="exact"/>
        <w:rPr>
          <w:rFonts w:ascii="Arial" w:cs="Arial" w:eastAsia="Arial" w:hAnsi="Arial"/>
          <w:sz w:val="18"/>
          <w:szCs w:val="18"/>
          <w:color w:val="auto"/>
        </w:rPr>
      </w:pPr>
    </w:p>
    <w:p>
      <w:pPr>
        <w:jc w:val="both"/>
        <w:ind w:firstLine="1735"/>
        <w:spacing w:after="0" w:line="255" w:lineRule="auto"/>
        <w:tabs>
          <w:tab w:leader="none" w:pos="2606" w:val="left"/>
        </w:tabs>
        <w:numPr>
          <w:ilvl w:val="0"/>
          <w:numId w:val="68"/>
        </w:numPr>
        <w:rPr>
          <w:rFonts w:ascii="Arial" w:cs="Arial" w:eastAsia="Arial" w:hAnsi="Arial"/>
          <w:sz w:val="19"/>
          <w:szCs w:val="19"/>
          <w:color w:val="auto"/>
        </w:rPr>
      </w:pPr>
      <w:r>
        <w:rPr>
          <w:rFonts w:ascii="Arial" w:cs="Arial" w:eastAsia="Arial" w:hAnsi="Arial"/>
          <w:sz w:val="19"/>
          <w:szCs w:val="19"/>
          <w:color w:val="auto"/>
        </w:rPr>
        <w:t>Notwithstanding any provisions of this Agreement to the contrary, it is intended that the joint and several nature of the liability of each Borrower for the Obligations and the Liens granted by Borrowers to secure the Obligations, not constitute a Fraudulent Conveyance (as defined below). Consequently, Agent, Lenders and each Borrower agree that if the liability of a Borrower for the Obligations, or any Liens granted by such Borrower securing the Obligations would, but for the application of this sentence, constitute a Fraudulent Conveyance, the liability of such Borrower and the Liens securing such liability shall be valid and enforceable only to the maximum extent that would not cause such liability or such Lien to constitute a Fraudulent Conveyance, and the liability of such Borrower and this Agreement shall automatically be deemed to have been amended accordingly. For purposes hereof, the term “</w:t>
      </w:r>
      <w:r>
        <w:rPr>
          <w:rFonts w:ascii="Arial" w:cs="Arial" w:eastAsia="Arial" w:hAnsi="Arial"/>
          <w:sz w:val="19"/>
          <w:szCs w:val="19"/>
          <w:b w:val="1"/>
          <w:bCs w:val="1"/>
          <w:color w:val="auto"/>
        </w:rPr>
        <w:t>Fraudulent</w:t>
      </w:r>
      <w:r>
        <w:rPr>
          <w:rFonts w:ascii="Arial" w:cs="Arial" w:eastAsia="Arial" w:hAnsi="Arial"/>
          <w:sz w:val="19"/>
          <w:szCs w:val="19"/>
          <w:color w:val="auto"/>
        </w:rPr>
        <w:t xml:space="preserve"> </w:t>
      </w:r>
      <w:r>
        <w:rPr>
          <w:rFonts w:ascii="Arial" w:cs="Arial" w:eastAsia="Arial" w:hAnsi="Arial"/>
          <w:sz w:val="19"/>
          <w:szCs w:val="19"/>
          <w:b w:val="1"/>
          <w:bCs w:val="1"/>
          <w:color w:val="auto"/>
        </w:rPr>
        <w:t>Conveyance</w:t>
      </w:r>
      <w:r>
        <w:rPr>
          <w:rFonts w:ascii="Arial" w:cs="Arial" w:eastAsia="Arial" w:hAnsi="Arial"/>
          <w:sz w:val="19"/>
          <w:szCs w:val="19"/>
          <w:color w:val="auto"/>
        </w:rPr>
        <w:t>” means a fraudulent conveyance under Section 548 of Chapter 11 of Title II of the Bankruptcy Code or a fraudulent conveyance</w:t>
      </w:r>
      <w:r>
        <w:rPr>
          <w:rFonts w:ascii="Arial" w:cs="Arial" w:eastAsia="Arial" w:hAnsi="Arial"/>
          <w:sz w:val="19"/>
          <w:szCs w:val="19"/>
          <w:b w:val="1"/>
          <w:bCs w:val="1"/>
          <w:color w:val="auto"/>
        </w:rPr>
        <w:t xml:space="preserve"> </w:t>
      </w:r>
      <w:r>
        <w:rPr>
          <w:rFonts w:ascii="Arial" w:cs="Arial" w:eastAsia="Arial" w:hAnsi="Arial"/>
          <w:sz w:val="19"/>
          <w:szCs w:val="19"/>
          <w:color w:val="auto"/>
        </w:rPr>
        <w:t>or fraudulent transfer under the applicable provisions of any fraudulent conveyance or fraudulent transfer law or similar law of any state, nation or other governmental unit, as in effect from time to time.</w:t>
      </w:r>
    </w:p>
    <w:p>
      <w:pPr>
        <w:spacing w:after="0" w:line="189" w:lineRule="exact"/>
        <w:rPr>
          <w:rFonts w:ascii="Arial" w:cs="Arial" w:eastAsia="Arial" w:hAnsi="Arial"/>
          <w:sz w:val="19"/>
          <w:szCs w:val="19"/>
          <w:color w:val="auto"/>
        </w:rPr>
      </w:pPr>
    </w:p>
    <w:p>
      <w:pPr>
        <w:jc w:val="both"/>
        <w:ind w:firstLine="1735"/>
        <w:spacing w:after="0" w:line="263" w:lineRule="auto"/>
        <w:tabs>
          <w:tab w:leader="none" w:pos="2595" w:val="left"/>
        </w:tabs>
        <w:numPr>
          <w:ilvl w:val="0"/>
          <w:numId w:val="68"/>
        </w:numPr>
        <w:rPr>
          <w:rFonts w:ascii="Arial" w:cs="Arial" w:eastAsia="Arial" w:hAnsi="Arial"/>
          <w:sz w:val="19"/>
          <w:szCs w:val="19"/>
          <w:color w:val="auto"/>
        </w:rPr>
      </w:pPr>
      <w:r>
        <w:rPr>
          <w:rFonts w:ascii="Arial" w:cs="Arial" w:eastAsia="Arial" w:hAnsi="Arial"/>
          <w:sz w:val="19"/>
          <w:szCs w:val="19"/>
          <w:color w:val="auto"/>
        </w:rPr>
        <w:t>Agent is hereby authorized, without notice or demand (except as otherwise specifically required under this Agreement) and without affecting the liability of any Borrower hereunder, at any time and from time to time, to (i) renew, extend or otherwise increase the time for payment of the Obligations; (ii) with the written agreement of any Borrower, change the terms relating to the Obligations of such Borrower or otherwise modify, amend or change the terms of any Note of such Borrower or other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96" w:name="page97"/>
    <w:bookmarkEnd w:id="96"/>
    <w:p>
      <w:pPr>
        <w:jc w:val="both"/>
        <w:spacing w:after="0" w:line="271" w:lineRule="auto"/>
        <w:rPr>
          <w:sz w:val="20"/>
          <w:szCs w:val="20"/>
          <w:color w:val="auto"/>
        </w:rPr>
      </w:pPr>
      <w:r>
        <w:rPr>
          <w:rFonts w:ascii="Arial" w:cs="Arial" w:eastAsia="Arial" w:hAnsi="Arial"/>
          <w:sz w:val="18"/>
          <w:szCs w:val="18"/>
          <w:color w:val="auto"/>
        </w:rPr>
        <w:t>agreement, document or instrument now or hereafter executed by such Borrower and delivered to Agent for any Lender; (iii) accept partial payments of the Obligations; (iv) take and hold any Collateral for the payment of the Obligations or for the payment of any guaranties of the Obligations and exchange, enforce, waive and release any such Collateral; (v) apply any such Collateral and direct the order or manner of sale thereof as Agent, in its sole discretion, may determine; and (vi) settle, release, compromise, collect or otherwise liquidate the Obligations and any Collateral therefor in any manner, all guarantor and surety defenses being hereby waived by each Borrower. Without limitations of the foregoing, with respect to the Obligations, each Borrower hereby makes and adopts each of the agreements and waivers set forth in each Guarantee, the same being incorporated hereby by reference. Except as specifically provided in this Agreement or any of the other Financing Documents, Agent shall have the exclusive right to determine the time and manner of application of any payments or credits, whether received from any Borrower or any other source, and such determination shall be binding on all Borrowers. All such payments and credits may be applied, reversed and reapplied, in whole or in part, to any of the Obligations that Agent shall determine, in its sole discretion, without affecting the validity or enforceability of the Obligations of the other Borrowers.</w:t>
      </w:r>
    </w:p>
    <w:p>
      <w:pPr>
        <w:spacing w:after="0" w:line="170" w:lineRule="exact"/>
        <w:rPr>
          <w:sz w:val="20"/>
          <w:szCs w:val="20"/>
          <w:color w:val="auto"/>
        </w:rPr>
      </w:pPr>
    </w:p>
    <w:p>
      <w:pPr>
        <w:jc w:val="both"/>
        <w:ind w:firstLine="1735"/>
        <w:spacing w:after="0" w:line="275" w:lineRule="auto"/>
        <w:tabs>
          <w:tab w:leader="none" w:pos="2606" w:val="left"/>
        </w:tabs>
        <w:numPr>
          <w:ilvl w:val="1"/>
          <w:numId w:val="69"/>
        </w:numPr>
        <w:rPr>
          <w:rFonts w:ascii="Arial" w:cs="Arial" w:eastAsia="Arial" w:hAnsi="Arial"/>
          <w:sz w:val="18"/>
          <w:szCs w:val="18"/>
          <w:color w:val="auto"/>
        </w:rPr>
      </w:pPr>
      <w:r>
        <w:rPr>
          <w:rFonts w:ascii="Arial" w:cs="Arial" w:eastAsia="Arial" w:hAnsi="Arial"/>
          <w:sz w:val="18"/>
          <w:szCs w:val="18"/>
          <w:color w:val="auto"/>
        </w:rPr>
        <w:t>Each Borrower hereby agrees that, except as hereinafter provided, its obligations hereunder shall be unconditional, irrespective of (i) the absence of any attempt to collect the Obligations from any obligor or other action to enforce the same;</w:t>
      </w:r>
    </w:p>
    <w:p>
      <w:pPr>
        <w:jc w:val="both"/>
        <w:ind w:firstLine="8"/>
        <w:spacing w:after="0" w:line="270" w:lineRule="auto"/>
        <w:tabs>
          <w:tab w:leader="none" w:pos="30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waiver or consent by Agent with respect to any provision of any instrument evidencing the Obligations, or any part thereof, or any other agreement heretofore, now or hereafter executed by a Borrower and delivered to Agent; (iii) failure by Agent to take any steps to perfect and maintain its security interest in, or to preserve its rights to, any security or collateral for the Obligations; (iv) the institution of any proceeding under the Bankruptcy Code, or any similar proceeding, by or against a Borrower or Agent’s election in any such proceeding of the application of Section 1111(b)(2) of the Bankruptcy Code; (v) any borrowing or grant of a security interest by a Borrower as debtor-in-possession, under Section 364 of the Bankruptcy Code; (vi) the disallowance, under Section 502 of the Bankruptcy Code, of all or any portion of Agent’s claim(s) for repayment of any of the Obligations; or (vii) any other circumstance other than payment in full of the Obligations which might otherwise constitute a legal or equitable discharge or defense of a guarantor or surety.</w:t>
      </w:r>
    </w:p>
    <w:p>
      <w:pPr>
        <w:spacing w:after="0" w:line="173" w:lineRule="exact"/>
        <w:rPr>
          <w:rFonts w:ascii="Arial" w:cs="Arial" w:eastAsia="Arial" w:hAnsi="Arial"/>
          <w:sz w:val="18"/>
          <w:szCs w:val="18"/>
          <w:color w:val="auto"/>
        </w:rPr>
      </w:pPr>
    </w:p>
    <w:p>
      <w:pPr>
        <w:jc w:val="both"/>
        <w:ind w:firstLine="1735"/>
        <w:spacing w:after="0" w:line="269" w:lineRule="auto"/>
        <w:tabs>
          <w:tab w:leader="none" w:pos="2595" w:val="left"/>
        </w:tabs>
        <w:numPr>
          <w:ilvl w:val="1"/>
          <w:numId w:val="70"/>
        </w:numPr>
        <w:rPr>
          <w:rFonts w:ascii="Arial" w:cs="Arial" w:eastAsia="Arial" w:hAnsi="Arial"/>
          <w:sz w:val="18"/>
          <w:szCs w:val="18"/>
          <w:color w:val="auto"/>
        </w:rPr>
      </w:pPr>
      <w:r>
        <w:rPr>
          <w:rFonts w:ascii="Arial" w:cs="Arial" w:eastAsia="Arial" w:hAnsi="Arial"/>
          <w:sz w:val="18"/>
          <w:szCs w:val="18"/>
          <w:color w:val="auto"/>
        </w:rPr>
        <w:t xml:space="preserve">Borrowers hereby agree, as between themselves, that to the extent that Agent, on behalf of Lenders, shall have received from any Borrower any Recovery Amount (as defined below), then the paying Borrower shall have a right of contribution against each other Borrower in an amount equal to such other Borrower’s contributive share of such Recovery Amount;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in the event any Borrower suffers a Deficiency Amount (as defined below), then the Borrower suffering the Deficiency Amount shall be entitled to seek and receive contribution from and against the other Borrowers in an amount equal to the Deficiency Amount;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in no event shall the aggregate amounts so reimbursed by reason of the contribution of any Borrower equal or exceed an amount</w:t>
      </w:r>
      <w:r>
        <w:rPr>
          <w:rFonts w:ascii="Arial" w:cs="Arial" w:eastAsia="Arial" w:hAnsi="Arial"/>
          <w:sz w:val="18"/>
          <w:szCs w:val="18"/>
          <w:i w:val="1"/>
          <w:iCs w:val="1"/>
          <w:color w:val="auto"/>
        </w:rPr>
        <w:t xml:space="preserve"> </w:t>
      </w:r>
      <w:r>
        <w:rPr>
          <w:rFonts w:ascii="Arial" w:cs="Arial" w:eastAsia="Arial" w:hAnsi="Arial"/>
          <w:sz w:val="18"/>
          <w:szCs w:val="18"/>
          <w:color w:val="auto"/>
        </w:rPr>
        <w:t>that would, if paid, constitute or result in Fraudulent Conveyance. Until all Obligations have been paid and satisfied in full, no payment made by or for the account of a Borrower including, without limitation, (i) a payment made by such Borrower on behalf of the liabilities of any other Borrower, or (ii) a payment made by any other Guarantor under any Guarantee, shall entitle such Borrower, by subrogation or otherwise, to any payment from such other Borrower or from or out of such other Borrower’s property. The right of each Borrower to receive any contribution under this Section 2.10(e) or by subrogation or otherwise from any other Borrower shall be subordinate in right of payment to the Obligations and such Borrower shall not exercise any right or remedy against such other Borrower or any property of such other Borrower by reason of any performance of such Borrower of its joint and several obligations hereunder, until the Obligations have been paid and satisfied in full in cash (and as to which no right of claw-back under applicable preference or fraudulent transfer Laws has been asserted), and no Borrower shall exercise any right or remedy with respect to this Section 2.10(e) until the Obligations have been paid and satisfied in full in cash (and as to which no right of claw-back under applicable preference or fraudulent transfer Laws has been asserted).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97" w:name="page98"/>
    <w:bookmarkEnd w:id="97"/>
    <w:p>
      <w:pPr>
        <w:jc w:val="both"/>
        <w:spacing w:after="0" w:line="277" w:lineRule="auto"/>
        <w:rPr>
          <w:sz w:val="20"/>
          <w:szCs w:val="20"/>
          <w:color w:val="auto"/>
        </w:rPr>
      </w:pPr>
      <w:r>
        <w:rPr>
          <w:rFonts w:ascii="Arial" w:cs="Arial" w:eastAsia="Arial" w:hAnsi="Arial"/>
          <w:sz w:val="18"/>
          <w:szCs w:val="18"/>
          <w:color w:val="auto"/>
        </w:rPr>
        <w:t>As used in this Section 2.10(e), the term “</w:t>
      </w:r>
      <w:r>
        <w:rPr>
          <w:rFonts w:ascii="Arial" w:cs="Arial" w:eastAsia="Arial" w:hAnsi="Arial"/>
          <w:sz w:val="18"/>
          <w:szCs w:val="18"/>
          <w:b w:val="1"/>
          <w:bCs w:val="1"/>
          <w:color w:val="auto"/>
        </w:rPr>
        <w:t>Recovery Amount</w:t>
      </w:r>
      <w:r>
        <w:rPr>
          <w:rFonts w:ascii="Arial" w:cs="Arial" w:eastAsia="Arial" w:hAnsi="Arial"/>
          <w:sz w:val="18"/>
          <w:szCs w:val="18"/>
          <w:color w:val="auto"/>
        </w:rPr>
        <w:t>” means the amount of proceeds received by or credited to Agent from the exercise of any remedy of the Lenders under this Agreement or the other Financing Documents, including, without limitation, the sale of any Collateral. As used in this Section 2.10(e), the term “</w:t>
      </w:r>
      <w:r>
        <w:rPr>
          <w:rFonts w:ascii="Arial" w:cs="Arial" w:eastAsia="Arial" w:hAnsi="Arial"/>
          <w:sz w:val="18"/>
          <w:szCs w:val="18"/>
          <w:b w:val="1"/>
          <w:bCs w:val="1"/>
          <w:color w:val="auto"/>
        </w:rPr>
        <w:t>Deficiency Amount</w:t>
      </w:r>
      <w:r>
        <w:rPr>
          <w:rFonts w:ascii="Arial" w:cs="Arial" w:eastAsia="Arial" w:hAnsi="Arial"/>
          <w:sz w:val="18"/>
          <w:szCs w:val="18"/>
          <w:color w:val="auto"/>
        </w:rPr>
        <w:t>” means any amount that is less than the entire amount a Borrower is entitled to receive by way of contribution or subrogation from, but that has not been paid by, the other Borrowers in respect of any Recovery Amount attributable to the Borrower entitled to contribution, until the Deficiency Amount has been reduced to Zero Dollars ($0) through contributions and reimbursements made under the terms of this Section 2.10(e) or otherwise.</w:t>
      </w:r>
    </w:p>
    <w:p>
      <w:pPr>
        <w:spacing w:after="0" w:line="143" w:lineRule="exact"/>
        <w:rPr>
          <w:sz w:val="20"/>
          <w:szCs w:val="20"/>
          <w:color w:val="auto"/>
        </w:rPr>
      </w:pPr>
    </w:p>
    <w:tbl>
      <w:tblPr>
        <w:tblLayout w:type="fixed"/>
        <w:tblInd w:w="880" w:type="dxa"/>
        <w:tblCellMar>
          <w:top w:w="0" w:type="dxa"/>
          <w:left w:w="0" w:type="dxa"/>
          <w:bottom w:w="0" w:type="dxa"/>
          <w:right w:w="0" w:type="dxa"/>
        </w:tblCellMar>
      </w:tblPr>
      <w:tr>
        <w:trPr>
          <w:trHeight w:val="241"/>
        </w:trPr>
        <w:tc>
          <w:tcPr>
            <w:tcW w:w="1320" w:type="dxa"/>
            <w:vAlign w:val="bottom"/>
          </w:tcPr>
          <w:p>
            <w:pPr>
              <w:spacing w:after="0"/>
              <w:rPr>
                <w:sz w:val="20"/>
                <w:szCs w:val="20"/>
                <w:color w:val="auto"/>
              </w:rPr>
            </w:pPr>
            <w:r>
              <w:rPr>
                <w:rFonts w:ascii="Arial" w:cs="Arial" w:eastAsia="Arial" w:hAnsi="Arial"/>
                <w:sz w:val="20"/>
                <w:szCs w:val="20"/>
                <w:b w:val="1"/>
                <w:bCs w:val="1"/>
                <w:color w:val="auto"/>
              </w:rPr>
              <w:t>Section 2.11</w:t>
            </w:r>
          </w:p>
        </w:tc>
        <w:tc>
          <w:tcPr>
            <w:tcW w:w="3580" w:type="dxa"/>
            <w:vAlign w:val="bottom"/>
            <w:gridSpan w:val="4"/>
          </w:tcPr>
          <w:p>
            <w:pPr>
              <w:ind w:left="320"/>
              <w:spacing w:after="0"/>
              <w:rPr>
                <w:sz w:val="20"/>
                <w:szCs w:val="20"/>
                <w:color w:val="auto"/>
              </w:rPr>
            </w:pPr>
            <w:r>
              <w:rPr>
                <w:rFonts w:ascii="Arial" w:cs="Arial" w:eastAsia="Arial" w:hAnsi="Arial"/>
                <w:sz w:val="20"/>
                <w:szCs w:val="20"/>
                <w:color w:val="auto"/>
              </w:rPr>
              <w:t>Reserved</w:t>
            </w: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Arial" w:cs="Arial" w:eastAsia="Arial" w:hAnsi="Arial"/>
                <w:sz w:val="20"/>
                <w:szCs w:val="20"/>
                <w:b w:val="1"/>
                <w:bCs w:val="1"/>
                <w:color w:val="auto"/>
              </w:rPr>
              <w:t>Section 2.12</w:t>
            </w:r>
          </w:p>
        </w:tc>
        <w:tc>
          <w:tcPr>
            <w:tcW w:w="34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3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3240" w:type="dxa"/>
            <w:vAlign w:val="bottom"/>
            <w:gridSpan w:val="3"/>
          </w:tcPr>
          <w:p>
            <w:pPr>
              <w:spacing w:after="0"/>
              <w:rPr>
                <w:sz w:val="20"/>
                <w:szCs w:val="20"/>
                <w:color w:val="auto"/>
              </w:rPr>
            </w:pPr>
            <w:r>
              <w:rPr>
                <w:rFonts w:ascii="Arial" w:cs="Arial" w:eastAsia="Arial" w:hAnsi="Arial"/>
                <w:sz w:val="20"/>
                <w:szCs w:val="20"/>
                <w:color w:val="auto"/>
                <w:w w:val="90"/>
              </w:rPr>
              <w:t>Termination; Restriction on Termination.</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1735"/>
        <w:spacing w:after="0" w:line="250" w:lineRule="auto"/>
        <w:tabs>
          <w:tab w:leader="none" w:pos="2595"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Termination by Lenders</w:t>
      </w:r>
      <w:r>
        <w:rPr>
          <w:rFonts w:ascii="Arial" w:cs="Arial" w:eastAsia="Arial" w:hAnsi="Arial"/>
          <w:sz w:val="20"/>
          <w:szCs w:val="20"/>
          <w:color w:val="auto"/>
        </w:rPr>
        <w:t>. In addition to the rights set forth in Section 10.2, Agent may, and at the direction of Required Lenders shall, terminate this Agreement without notice upon or after the occurrence and during the continuance of an Event of Default.</w:t>
      </w:r>
    </w:p>
    <w:p>
      <w:pPr>
        <w:spacing w:after="0" w:line="185" w:lineRule="exact"/>
        <w:rPr>
          <w:rFonts w:ascii="Arial" w:cs="Arial" w:eastAsia="Arial" w:hAnsi="Arial"/>
          <w:sz w:val="20"/>
          <w:szCs w:val="20"/>
          <w:color w:val="auto"/>
        </w:rPr>
      </w:pPr>
    </w:p>
    <w:p>
      <w:pPr>
        <w:jc w:val="both"/>
        <w:ind w:firstLine="1735"/>
        <w:spacing w:after="0" w:line="276" w:lineRule="auto"/>
        <w:tabs>
          <w:tab w:leader="none" w:pos="2606"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Termination by Borrowers</w:t>
      </w:r>
      <w:r>
        <w:rPr>
          <w:rFonts w:ascii="Arial" w:cs="Arial" w:eastAsia="Arial" w:hAnsi="Arial"/>
          <w:sz w:val="18"/>
          <w:szCs w:val="18"/>
          <w:color w:val="auto"/>
        </w:rPr>
        <w:t>. Upon at least ten (10) Business Days’ prior written notice and pursuant to payoff documentation in form and substance reasonably satisfactory to Agent and Lenders, Borrowers may, at their option, terminate this Agreement. Any notice of termination given by Borrowers shall be an irrevocable notice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notice may be conditioned on closing the applicable refinancing or transfer for which such notice was given) unless all Lenders otherwise agree in writing and no Lender shall have any obligation to make any Loans on or after the termination date stated in such notice. Borrowers may elect to terminate this Agreement in its entirety only. No section of this Agreement or type of Loan available hereunder may be terminated singly.</w:t>
      </w:r>
    </w:p>
    <w:p>
      <w:pPr>
        <w:spacing w:after="0" w:line="164" w:lineRule="exact"/>
        <w:rPr>
          <w:rFonts w:ascii="Arial" w:cs="Arial" w:eastAsia="Arial" w:hAnsi="Arial"/>
          <w:sz w:val="18"/>
          <w:szCs w:val="18"/>
          <w:color w:val="auto"/>
        </w:rPr>
      </w:pPr>
    </w:p>
    <w:p>
      <w:pPr>
        <w:jc w:val="both"/>
        <w:ind w:firstLine="1735"/>
        <w:spacing w:after="0" w:line="255" w:lineRule="auto"/>
        <w:tabs>
          <w:tab w:leader="none" w:pos="2595"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Effectiveness of Termination</w:t>
      </w:r>
      <w:r>
        <w:rPr>
          <w:rFonts w:ascii="Arial" w:cs="Arial" w:eastAsia="Arial" w:hAnsi="Arial"/>
          <w:sz w:val="19"/>
          <w:szCs w:val="19"/>
          <w:color w:val="auto"/>
        </w:rPr>
        <w:t>. All of the Obligations shall be immediately due and payable upon the Termination Date. All undertakings, agreements, covenants, warranties and representations of Borrowers contained in the Financing Documents shall survive any such termination and Agent shall retain its Liens in the Collateral and Agent and each Lender shall retain all of its rights and remedies under the Financing Documents notwithstanding such termination until all Obligations have been discharged or paid, in full, in immediately available funds, including, without limitation, all Obligations under the terms of each Fee Letter resulting from such termination. Notwithstanding the foregoing or the payment in full of the Obligations, Agent shall not be required to terminate its Liens in the Collateral unless, with respect to any loss or damage Agent may incur as a result of dishonored checks or other items of payment received by Agent from Borrower or any Account Debtor and applied to the Obligations, Agent shall, at its option, (i) have received a written agreement satisfactory to Agent, executed by Borrowers and by any Person whose loans or other advances to Borrowers are used in whole or in part to satisfy the Obligations, indemnifying Agent and each Lender from any such loss or damage or (ii) have retained cash Collateral or other Collateral for such period of time as Agent, in its discretion, may deem necessary to protect Agent and each Lender from any such loss or damage.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3 - REPRESENTATIONS AND WARRANTIES</w:t>
      </w:r>
    </w:p>
    <w:p>
      <w:pPr>
        <w:spacing w:after="0" w:line="222"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To induce Agent and Lenders to enter into this Agreement and to make the Loans and other credit accommodations contemplated hereby, each Borrower hereby represents and warrants to Agent and each Lender that:</w:t>
      </w:r>
    </w:p>
    <w:p>
      <w:pPr>
        <w:spacing w:after="0" w:line="171"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 xml:space="preserve">Section 3.1 </w:t>
      </w:r>
      <w:r>
        <w:rPr>
          <w:rFonts w:ascii="Arial" w:cs="Arial" w:eastAsia="Arial" w:hAnsi="Arial"/>
          <w:sz w:val="20"/>
          <w:szCs w:val="20"/>
          <w:u w:val="single" w:color="auto"/>
          <w:color w:val="auto"/>
        </w:rPr>
        <w:t>Existence and Power</w:t>
      </w:r>
      <w:r>
        <w:rPr>
          <w:rFonts w:ascii="Arial" w:cs="Arial" w:eastAsia="Arial" w:hAnsi="Arial"/>
          <w:sz w:val="20"/>
          <w:szCs w:val="20"/>
          <w:color w:val="auto"/>
        </w:rPr>
        <w:t>. Each Credit Party (a) is an entity as specified on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Schedule 3.1</w:t>
      </w:r>
      <w:r>
        <w:rPr>
          <w:rFonts w:ascii="Arial" w:cs="Arial" w:eastAsia="Arial" w:hAnsi="Arial"/>
          <w:sz w:val="20"/>
          <w:szCs w:val="20"/>
          <w:color w:val="auto"/>
        </w:rPr>
        <w:t>, (b) is duly organized,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validly existing and in good standing under the laws of the jurisdiction specified on </w:t>
      </w:r>
      <w:r>
        <w:rPr>
          <w:rFonts w:ascii="Arial" w:cs="Arial" w:eastAsia="Arial" w:hAnsi="Arial"/>
          <w:sz w:val="20"/>
          <w:szCs w:val="20"/>
          <w:u w:val="single" w:color="auto"/>
          <w:color w:val="auto"/>
        </w:rPr>
        <w:t>Schedule 3.1</w:t>
      </w:r>
      <w:r>
        <w:rPr>
          <w:rFonts w:ascii="Arial" w:cs="Arial" w:eastAsia="Arial" w:hAnsi="Arial"/>
          <w:sz w:val="20"/>
          <w:szCs w:val="20"/>
          <w:color w:val="auto"/>
        </w:rPr>
        <w:t xml:space="preserve"> and no other jurisdiction, (c) has the same legal name as it appears in such Credit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8" w:name="page99"/>
    <w:bookmarkEnd w:id="98"/>
    <w:p>
      <w:pPr>
        <w:jc w:val="both"/>
        <w:spacing w:after="0" w:line="242" w:lineRule="auto"/>
        <w:rPr>
          <w:sz w:val="20"/>
          <w:szCs w:val="20"/>
          <w:color w:val="auto"/>
        </w:rPr>
      </w:pPr>
      <w:r>
        <w:rPr>
          <w:rFonts w:ascii="Arial" w:cs="Arial" w:eastAsia="Arial" w:hAnsi="Arial"/>
          <w:sz w:val="20"/>
          <w:szCs w:val="20"/>
          <w:color w:val="auto"/>
        </w:rPr>
        <w:t xml:space="preserve">Party’s Organizational Documents and an organizational identification number (if any), in each case as specified on </w:t>
      </w:r>
      <w:r>
        <w:rPr>
          <w:rFonts w:ascii="Arial" w:cs="Arial" w:eastAsia="Arial" w:hAnsi="Arial"/>
          <w:sz w:val="20"/>
          <w:szCs w:val="20"/>
          <w:u w:val="single" w:color="auto"/>
          <w:color w:val="auto"/>
        </w:rPr>
        <w:t>Schedule 3.1</w:t>
      </w:r>
      <w:r>
        <w:rPr>
          <w:rFonts w:ascii="Arial" w:cs="Arial" w:eastAsia="Arial" w:hAnsi="Arial"/>
          <w:sz w:val="20"/>
          <w:szCs w:val="20"/>
          <w:color w:val="auto"/>
        </w:rPr>
        <w:t xml:space="preserve">, (d) has all powers and all Permits necessary or desirable in the operation of its business as presently conducted or as proposed to be conducted, except where the failure to have such Permits would not reasonably be expected to have a Material Adverse Effect, and (e) is qualified to do business as a foreign entity in each jurisdiction in which it is required to be so qualified, which jurisdictions as of the Closing Date are specified on </w:t>
      </w:r>
      <w:r>
        <w:rPr>
          <w:rFonts w:ascii="Arial" w:cs="Arial" w:eastAsia="Arial" w:hAnsi="Arial"/>
          <w:sz w:val="20"/>
          <w:szCs w:val="20"/>
          <w:u w:val="single" w:color="auto"/>
          <w:color w:val="auto"/>
        </w:rPr>
        <w:t>Schedule 3.1</w:t>
      </w:r>
      <w:r>
        <w:rPr>
          <w:rFonts w:ascii="Arial" w:cs="Arial" w:eastAsia="Arial" w:hAnsi="Arial"/>
          <w:sz w:val="20"/>
          <w:szCs w:val="20"/>
          <w:color w:val="auto"/>
        </w:rPr>
        <w:t xml:space="preserve">, except where the failure to be so qualified would not reasonably be expected to have a Material Adverse Effect. Except as set forth on </w:t>
      </w:r>
      <w:r>
        <w:rPr>
          <w:rFonts w:ascii="Arial" w:cs="Arial" w:eastAsia="Arial" w:hAnsi="Arial"/>
          <w:sz w:val="20"/>
          <w:szCs w:val="20"/>
          <w:u w:val="single" w:color="auto"/>
          <w:color w:val="auto"/>
        </w:rPr>
        <w:t>Schedule 3.1</w:t>
      </w:r>
      <w:r>
        <w:rPr>
          <w:rFonts w:ascii="Arial" w:cs="Arial" w:eastAsia="Arial" w:hAnsi="Arial"/>
          <w:sz w:val="20"/>
          <w:szCs w:val="20"/>
          <w:color w:val="auto"/>
        </w:rPr>
        <w:t>, no Credit Party (x) has had, over the five (5) year period preceding the Closing Date, any name other than its current name, or (y) was incorporated or organized under the laws of any jurisdiction other than its current jurisdiction of incorporation or organization.</w:t>
      </w:r>
    </w:p>
    <w:p>
      <w:pPr>
        <w:spacing w:after="0" w:line="191"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8"/>
          <w:szCs w:val="18"/>
          <w:b w:val="1"/>
          <w:bCs w:val="1"/>
          <w:color w:val="auto"/>
        </w:rPr>
        <w:t xml:space="preserve">Section 3.2 </w:t>
      </w:r>
      <w:r>
        <w:rPr>
          <w:rFonts w:ascii="Arial" w:cs="Arial" w:eastAsia="Arial" w:hAnsi="Arial"/>
          <w:sz w:val="18"/>
          <w:szCs w:val="18"/>
          <w:u w:val="single" w:color="auto"/>
          <w:color w:val="auto"/>
        </w:rPr>
        <w:t>Organization and Governmental Authorization; No Contravention</w:t>
      </w:r>
      <w:r>
        <w:rPr>
          <w:rFonts w:ascii="Arial" w:cs="Arial" w:eastAsia="Arial" w:hAnsi="Arial"/>
          <w:sz w:val="18"/>
          <w:szCs w:val="18"/>
          <w:color w:val="auto"/>
        </w:rPr>
        <w:t>. The execution, delivery and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by each Credit Party of the Financing Documents to which it is a party (a) are within its powers, (b) have been duly authorized by all necessary action pursuant to its Organizational Documents, (c) require no further action by or in respect of, or filing with, any Governmental Authority, except for the filings necessary to perfect the Liens created by the Financing Documents and (d) do not violate, conflict with or cause a breach or a default under (i) any Law applicable to any Credit Party in any material respect, (ii) any of the Organizational Documents of any Credit Party, or (iii) any material agreement or instrument binding upon it, except for such violations, conflicts, breaches or defaults as could not, with respect to this clause (iii), reasonably be expected to have a Material Adverse Effect.</w:t>
      </w:r>
    </w:p>
    <w:p>
      <w:pPr>
        <w:spacing w:after="0" w:line="162"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b w:val="1"/>
          <w:bCs w:val="1"/>
          <w:color w:val="auto"/>
        </w:rPr>
        <w:t xml:space="preserve">Section 3.3 </w:t>
      </w:r>
      <w:r>
        <w:rPr>
          <w:rFonts w:ascii="Arial" w:cs="Arial" w:eastAsia="Arial" w:hAnsi="Arial"/>
          <w:sz w:val="20"/>
          <w:szCs w:val="20"/>
          <w:u w:val="single" w:color="auto"/>
          <w:color w:val="auto"/>
        </w:rPr>
        <w:t>Binding Effect</w:t>
      </w:r>
      <w:r>
        <w:rPr>
          <w:rFonts w:ascii="Arial" w:cs="Arial" w:eastAsia="Arial" w:hAnsi="Arial"/>
          <w:sz w:val="20"/>
          <w:szCs w:val="20"/>
          <w:color w:val="auto"/>
        </w:rPr>
        <w:t>. Each of the Financing Documents to which any Credit Party is a party constitutes a valid and</w:t>
      </w:r>
      <w:r>
        <w:rPr>
          <w:rFonts w:ascii="Arial" w:cs="Arial" w:eastAsia="Arial" w:hAnsi="Arial"/>
          <w:sz w:val="20"/>
          <w:szCs w:val="20"/>
          <w:b w:val="1"/>
          <w:bCs w:val="1"/>
          <w:color w:val="auto"/>
        </w:rPr>
        <w:t xml:space="preserve"> </w:t>
      </w:r>
      <w:r>
        <w:rPr>
          <w:rFonts w:ascii="Arial" w:cs="Arial" w:eastAsia="Arial" w:hAnsi="Arial"/>
          <w:sz w:val="20"/>
          <w:szCs w:val="20"/>
          <w:color w:val="auto"/>
        </w:rPr>
        <w:t>binding agreement or instrument of such Credit Party, enforceable against such Credit Party in accordance with its respective terms, except as the enforceability thereof may be limited by bankruptcy, insolvency or other similar laws relating to the enforcement of creditors’ rights generally and by general equitable principles. Each Financing Document has been duly executed and delivered by each Credit Party party thereto.</w:t>
      </w:r>
    </w:p>
    <w:p>
      <w:pPr>
        <w:spacing w:after="0" w:line="185"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9"/>
          <w:szCs w:val="19"/>
          <w:b w:val="1"/>
          <w:bCs w:val="1"/>
          <w:color w:val="auto"/>
        </w:rPr>
        <w:t xml:space="preserve">Section 3.4 </w:t>
      </w:r>
      <w:r>
        <w:rPr>
          <w:rFonts w:ascii="Arial" w:cs="Arial" w:eastAsia="Arial" w:hAnsi="Arial"/>
          <w:sz w:val="19"/>
          <w:szCs w:val="19"/>
          <w:u w:val="single" w:color="auto"/>
          <w:color w:val="auto"/>
        </w:rPr>
        <w:t>Capitalization</w:t>
      </w:r>
      <w:r>
        <w:rPr>
          <w:rFonts w:ascii="Arial" w:cs="Arial" w:eastAsia="Arial" w:hAnsi="Arial"/>
          <w:sz w:val="19"/>
          <w:szCs w:val="19"/>
          <w:color w:val="auto"/>
        </w:rPr>
        <w:t>. The authorized equity securities of each of the Credit Parties (other than Aptevo Therapeutics)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as of the Closing Date are as set forth on </w:t>
      </w:r>
      <w:r>
        <w:rPr>
          <w:rFonts w:ascii="Arial" w:cs="Arial" w:eastAsia="Arial" w:hAnsi="Arial"/>
          <w:sz w:val="19"/>
          <w:szCs w:val="19"/>
          <w:u w:val="single" w:color="auto"/>
          <w:color w:val="auto"/>
        </w:rPr>
        <w:t>Schedule 3.4</w:t>
      </w:r>
      <w:r>
        <w:rPr>
          <w:rFonts w:ascii="Arial" w:cs="Arial" w:eastAsia="Arial" w:hAnsi="Arial"/>
          <w:sz w:val="19"/>
          <w:szCs w:val="19"/>
          <w:color w:val="auto"/>
        </w:rPr>
        <w:t xml:space="preserve">. All issued and outstanding equity securities of each of the Credit Parties are duly authorized and validly issued, fully paid, nonassessable, free and clear of all Liens (other than Permitted Liens) other than those in favor of Agent for the benefit of Agent and Lenders, and such equity securities were issued in all material respects in compliance with all applicable Laws. The identity of the holders of the equity securities of each of the Credit Parties (other than Aptevo Therapeutics) and the percentage of their fully-diluted ownership of the equity securities of each of the Credit Parties as of the Closing Date is set forth on </w:t>
      </w:r>
      <w:r>
        <w:rPr>
          <w:rFonts w:ascii="Arial" w:cs="Arial" w:eastAsia="Arial" w:hAnsi="Arial"/>
          <w:sz w:val="19"/>
          <w:szCs w:val="19"/>
          <w:u w:val="single" w:color="auto"/>
          <w:color w:val="auto"/>
        </w:rPr>
        <w:t>Schedule 3.4</w:t>
      </w:r>
      <w:r>
        <w:rPr>
          <w:rFonts w:ascii="Arial" w:cs="Arial" w:eastAsia="Arial" w:hAnsi="Arial"/>
          <w:sz w:val="19"/>
          <w:szCs w:val="19"/>
          <w:color w:val="auto"/>
        </w:rPr>
        <w:t xml:space="preserve">. No shares of the capital stock or other equity securities of any Credit Party, other than those described above, are issued and outstanding as of the Closing Date. Except as set forth on </w:t>
      </w:r>
      <w:r>
        <w:rPr>
          <w:rFonts w:ascii="Arial" w:cs="Arial" w:eastAsia="Arial" w:hAnsi="Arial"/>
          <w:sz w:val="19"/>
          <w:szCs w:val="19"/>
          <w:u w:val="single" w:color="auto"/>
          <w:color w:val="auto"/>
        </w:rPr>
        <w:t>Schedule 3.4</w:t>
      </w:r>
      <w:r>
        <w:rPr>
          <w:rFonts w:ascii="Arial" w:cs="Arial" w:eastAsia="Arial" w:hAnsi="Arial"/>
          <w:sz w:val="19"/>
          <w:szCs w:val="19"/>
          <w:color w:val="auto"/>
        </w:rPr>
        <w:t>, as of the Closing Date there are no preemptive or other outstanding rights, options, warrants, conversion rights or similar agreements or understandings for the purchase or acquisition from any Credit Party of any equity securities of any such entity.</w:t>
      </w:r>
    </w:p>
    <w:p>
      <w:pPr>
        <w:spacing w:after="0" w:line="180"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9"/>
          <w:szCs w:val="19"/>
          <w:b w:val="1"/>
          <w:bCs w:val="1"/>
          <w:color w:val="auto"/>
        </w:rPr>
        <w:t xml:space="preserve">Section 3.5 </w:t>
      </w:r>
      <w:r>
        <w:rPr>
          <w:rFonts w:ascii="Arial" w:cs="Arial" w:eastAsia="Arial" w:hAnsi="Arial"/>
          <w:sz w:val="19"/>
          <w:szCs w:val="19"/>
          <w:u w:val="single" w:color="auto"/>
          <w:color w:val="auto"/>
        </w:rPr>
        <w:t>Financial Information</w:t>
      </w:r>
      <w:r>
        <w:rPr>
          <w:rFonts w:ascii="Arial" w:cs="Arial" w:eastAsia="Arial" w:hAnsi="Arial"/>
          <w:sz w:val="19"/>
          <w:szCs w:val="19"/>
          <w:color w:val="auto"/>
        </w:rPr>
        <w:t>. All information delivered to Agent and pertaining to the financial condition of any</w:t>
      </w:r>
      <w:r>
        <w:rPr>
          <w:rFonts w:ascii="Arial" w:cs="Arial" w:eastAsia="Arial" w:hAnsi="Arial"/>
          <w:sz w:val="19"/>
          <w:szCs w:val="19"/>
          <w:b w:val="1"/>
          <w:bCs w:val="1"/>
          <w:color w:val="auto"/>
        </w:rPr>
        <w:t xml:space="preserve"> </w:t>
      </w:r>
      <w:r>
        <w:rPr>
          <w:rFonts w:ascii="Arial" w:cs="Arial" w:eastAsia="Arial" w:hAnsi="Arial"/>
          <w:sz w:val="19"/>
          <w:szCs w:val="19"/>
          <w:color w:val="auto"/>
        </w:rPr>
        <w:t>Credit Party fairly presents the financial position of the Credit Parties (taken as a whole) as of such date in conformity with GAAP (and as to unaudited financial statements, subject to normal year-end adjustments and the absence of footnote disclosures). Since December 31, 2019, no event has occurred which would be reasonably likely to have a Material Adverse Effect.</w:t>
      </w:r>
    </w:p>
    <w:p>
      <w:pPr>
        <w:spacing w:after="0" w:line="169"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 xml:space="preserve">Section 3.6 </w:t>
      </w:r>
      <w:r>
        <w:rPr>
          <w:rFonts w:ascii="Arial" w:cs="Arial" w:eastAsia="Arial" w:hAnsi="Arial"/>
          <w:sz w:val="20"/>
          <w:szCs w:val="20"/>
          <w:u w:val="single" w:color="auto"/>
          <w:color w:val="auto"/>
        </w:rPr>
        <w:t>Litigation</w:t>
      </w:r>
      <w:r>
        <w:rPr>
          <w:rFonts w:ascii="Arial" w:cs="Arial" w:eastAsia="Arial" w:hAnsi="Arial"/>
          <w:sz w:val="20"/>
          <w:szCs w:val="20"/>
          <w:color w:val="auto"/>
        </w:rPr>
        <w:t>. Except as set forth on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Schedule 3.6</w:t>
      </w:r>
      <w:r>
        <w:rPr>
          <w:rFonts w:ascii="Arial" w:cs="Arial" w:eastAsia="Arial" w:hAnsi="Arial"/>
          <w:sz w:val="20"/>
          <w:szCs w:val="20"/>
          <w:b w:val="1"/>
          <w:bCs w:val="1"/>
          <w:color w:val="auto"/>
        </w:rPr>
        <w:t xml:space="preserve"> </w:t>
      </w:r>
      <w:r>
        <w:rPr>
          <w:rFonts w:ascii="Arial" w:cs="Arial" w:eastAsia="Arial" w:hAnsi="Arial"/>
          <w:sz w:val="20"/>
          <w:szCs w:val="20"/>
          <w:color w:val="auto"/>
        </w:rPr>
        <w:t>as of the Closing Date, and except as hereafter disclosed to</w:t>
      </w:r>
      <w:r>
        <w:rPr>
          <w:rFonts w:ascii="Arial" w:cs="Arial" w:eastAsia="Arial" w:hAnsi="Arial"/>
          <w:sz w:val="20"/>
          <w:szCs w:val="20"/>
          <w:b w:val="1"/>
          <w:bCs w:val="1"/>
          <w:color w:val="auto"/>
        </w:rPr>
        <w:t xml:space="preserve"> </w:t>
      </w:r>
      <w:r>
        <w:rPr>
          <w:rFonts w:ascii="Arial" w:cs="Arial" w:eastAsia="Arial" w:hAnsi="Arial"/>
          <w:sz w:val="20"/>
          <w:szCs w:val="20"/>
          <w:color w:val="auto"/>
        </w:rPr>
        <w:t>Agent in writing, there is no Litigation pending against, or to such Borrower’s knowledge threatened in writing against or affecting, any Credit Party. There is no Litigation pending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99" w:name="page100"/>
    <w:bookmarkEnd w:id="99"/>
    <w:p>
      <w:pPr>
        <w:jc w:val="both"/>
        <w:spacing w:after="0" w:line="260" w:lineRule="auto"/>
        <w:rPr>
          <w:sz w:val="20"/>
          <w:szCs w:val="20"/>
          <w:color w:val="auto"/>
        </w:rPr>
      </w:pPr>
      <w:r>
        <w:rPr>
          <w:rFonts w:ascii="Arial" w:cs="Arial" w:eastAsia="Arial" w:hAnsi="Arial"/>
          <w:sz w:val="20"/>
          <w:szCs w:val="20"/>
          <w:color w:val="auto"/>
        </w:rPr>
        <w:t>which would be reasonably likely to have a Material Adverse Effect or which in any manner draws into question the validity of any of the Financing Documents.</w:t>
      </w:r>
    </w:p>
    <w:p>
      <w:pPr>
        <w:spacing w:after="0" w:line="171"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b w:val="1"/>
          <w:bCs w:val="1"/>
          <w:color w:val="auto"/>
        </w:rPr>
        <w:t xml:space="preserve">Section 3.7 </w:t>
      </w:r>
      <w:r>
        <w:rPr>
          <w:rFonts w:ascii="Arial" w:cs="Arial" w:eastAsia="Arial" w:hAnsi="Arial"/>
          <w:sz w:val="19"/>
          <w:szCs w:val="19"/>
          <w:u w:val="single" w:color="auto"/>
          <w:color w:val="auto"/>
        </w:rPr>
        <w:t>Ownership of Property</w:t>
      </w:r>
      <w:r>
        <w:rPr>
          <w:rFonts w:ascii="Arial" w:cs="Arial" w:eastAsia="Arial" w:hAnsi="Arial"/>
          <w:sz w:val="19"/>
          <w:szCs w:val="19"/>
          <w:color w:val="auto"/>
        </w:rPr>
        <w:t>. Each Borrower and each of its Subsidiaries is the lawful owner of, has good and</w:t>
      </w:r>
      <w:r>
        <w:rPr>
          <w:rFonts w:ascii="Arial" w:cs="Arial" w:eastAsia="Arial" w:hAnsi="Arial"/>
          <w:sz w:val="19"/>
          <w:szCs w:val="19"/>
          <w:b w:val="1"/>
          <w:bCs w:val="1"/>
          <w:color w:val="auto"/>
        </w:rPr>
        <w:t xml:space="preserve"> </w:t>
      </w:r>
      <w:r>
        <w:rPr>
          <w:rFonts w:ascii="Arial" w:cs="Arial" w:eastAsia="Arial" w:hAnsi="Arial"/>
          <w:sz w:val="19"/>
          <w:szCs w:val="19"/>
          <w:color w:val="auto"/>
        </w:rPr>
        <w:t>marketable title to and is in lawful possession of, or has valid leasehold interests in, all properties, accounts and other assets (real or personal, tangible, intangible or mixed) purported or reported to be owned or leased (as the case may be) by such Person.</w:t>
      </w:r>
    </w:p>
    <w:p>
      <w:pPr>
        <w:spacing w:after="0" w:line="162"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b w:val="1"/>
          <w:bCs w:val="1"/>
          <w:color w:val="auto"/>
        </w:rPr>
        <w:t xml:space="preserve">Section 3.8 </w:t>
      </w:r>
      <w:r>
        <w:rPr>
          <w:rFonts w:ascii="Arial" w:cs="Arial" w:eastAsia="Arial" w:hAnsi="Arial"/>
          <w:sz w:val="19"/>
          <w:szCs w:val="19"/>
          <w:u w:val="single" w:color="auto"/>
          <w:color w:val="auto"/>
        </w:rPr>
        <w:t>No Default</w:t>
      </w:r>
      <w:r>
        <w:rPr>
          <w:rFonts w:ascii="Arial" w:cs="Arial" w:eastAsia="Arial" w:hAnsi="Arial"/>
          <w:sz w:val="19"/>
          <w:szCs w:val="19"/>
          <w:color w:val="auto"/>
        </w:rPr>
        <w:t>. No Event of Default, or to such Borrower’s knowledge, Default, has occurred and is</w:t>
      </w:r>
      <w:r>
        <w:rPr>
          <w:rFonts w:ascii="Arial" w:cs="Arial" w:eastAsia="Arial" w:hAnsi="Arial"/>
          <w:sz w:val="19"/>
          <w:szCs w:val="19"/>
          <w:b w:val="1"/>
          <w:bCs w:val="1"/>
          <w:color w:val="auto"/>
        </w:rPr>
        <w:t xml:space="preserve"> </w:t>
      </w:r>
      <w:r>
        <w:rPr>
          <w:rFonts w:ascii="Arial" w:cs="Arial" w:eastAsia="Arial" w:hAnsi="Arial"/>
          <w:sz w:val="19"/>
          <w:szCs w:val="19"/>
          <w:color w:val="auto"/>
        </w:rPr>
        <w:t>continuing. No Credit Party is in breach or default under or with respect to any contract, agreement, lease or other instrument to which it is a party or by which its property is bound or affected, which breach or default would reasonably be expected to have a Material Adverse Effect.</w:t>
      </w:r>
    </w:p>
    <w:p>
      <w:pPr>
        <w:spacing w:after="0" w:line="162"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9"/>
          <w:szCs w:val="19"/>
          <w:b w:val="1"/>
          <w:bCs w:val="1"/>
          <w:color w:val="auto"/>
        </w:rPr>
        <w:t xml:space="preserve">Section 3.9 </w:t>
      </w:r>
      <w:r>
        <w:rPr>
          <w:rFonts w:ascii="Arial" w:cs="Arial" w:eastAsia="Arial" w:hAnsi="Arial"/>
          <w:sz w:val="19"/>
          <w:szCs w:val="19"/>
          <w:u w:val="single" w:color="auto"/>
          <w:color w:val="auto"/>
        </w:rPr>
        <w:t>Labor Matters</w:t>
      </w:r>
      <w:r>
        <w:rPr>
          <w:rFonts w:ascii="Arial" w:cs="Arial" w:eastAsia="Arial" w:hAnsi="Arial"/>
          <w:sz w:val="19"/>
          <w:szCs w:val="19"/>
          <w:color w:val="auto"/>
        </w:rPr>
        <w:t>. As of the Closing Date, there are no strikes or other labor disputes pending or, to any</w:t>
      </w:r>
      <w:r>
        <w:rPr>
          <w:rFonts w:ascii="Arial" w:cs="Arial" w:eastAsia="Arial" w:hAnsi="Arial"/>
          <w:sz w:val="19"/>
          <w:szCs w:val="19"/>
          <w:b w:val="1"/>
          <w:bCs w:val="1"/>
          <w:color w:val="auto"/>
        </w:rPr>
        <w:t xml:space="preserve"> </w:t>
      </w:r>
      <w:r>
        <w:rPr>
          <w:rFonts w:ascii="Arial" w:cs="Arial" w:eastAsia="Arial" w:hAnsi="Arial"/>
          <w:sz w:val="19"/>
          <w:szCs w:val="19"/>
          <w:color w:val="auto"/>
        </w:rPr>
        <w:t>Borrower’s knowledge, threatened in writing against any Credit Party. Hours worked and payments made to the employees of the Credit Parties have not been in violation of the Fair Labor Standards Act or any other applicable Law dealing with such matters. All payments due from the Credit Parties, or for which any claim may be made against any of them, on account of wages and employee and retiree health and welfare insurance and other benefits have been paid or accrued as a liability on their books, as the case may be. The consummation of the transactions contemplated by the Financing Documents will not give rise to a right of termination or right of renegotiation on the part of any union under any collective bargaining agreement to which it is a party or by which it is bound.</w:t>
      </w:r>
    </w:p>
    <w:p>
      <w:pPr>
        <w:spacing w:after="0" w:line="172" w:lineRule="exact"/>
        <w:rPr>
          <w:sz w:val="20"/>
          <w:szCs w:val="20"/>
          <w:color w:val="auto"/>
        </w:rPr>
      </w:pPr>
    </w:p>
    <w:p>
      <w:pPr>
        <w:jc w:val="both"/>
        <w:ind w:right="20" w:firstLine="864"/>
        <w:spacing w:after="0" w:line="293" w:lineRule="auto"/>
        <w:rPr>
          <w:sz w:val="20"/>
          <w:szCs w:val="20"/>
          <w:color w:val="auto"/>
        </w:rPr>
      </w:pPr>
      <w:r>
        <w:rPr>
          <w:rFonts w:ascii="Arial" w:cs="Arial" w:eastAsia="Arial" w:hAnsi="Arial"/>
          <w:sz w:val="19"/>
          <w:szCs w:val="19"/>
          <w:b w:val="1"/>
          <w:bCs w:val="1"/>
          <w:color w:val="auto"/>
        </w:rPr>
        <w:t xml:space="preserve">Section 3.10 </w:t>
      </w:r>
      <w:r>
        <w:rPr>
          <w:rFonts w:ascii="Arial" w:cs="Arial" w:eastAsia="Arial" w:hAnsi="Arial"/>
          <w:sz w:val="19"/>
          <w:szCs w:val="19"/>
          <w:u w:val="single" w:color="auto"/>
          <w:color w:val="auto"/>
        </w:rPr>
        <w:t>Regulated Entities</w:t>
      </w:r>
      <w:r>
        <w:rPr>
          <w:rFonts w:ascii="Arial" w:cs="Arial" w:eastAsia="Arial" w:hAnsi="Arial"/>
          <w:sz w:val="19"/>
          <w:szCs w:val="19"/>
          <w:color w:val="auto"/>
        </w:rPr>
        <w:t>. No Credit Party is an “investment company” or a company “controlled” by an</w:t>
      </w:r>
      <w:r>
        <w:rPr>
          <w:rFonts w:ascii="Arial" w:cs="Arial" w:eastAsia="Arial" w:hAnsi="Arial"/>
          <w:sz w:val="19"/>
          <w:szCs w:val="19"/>
          <w:b w:val="1"/>
          <w:bCs w:val="1"/>
          <w:color w:val="auto"/>
        </w:rPr>
        <w:t xml:space="preserve"> </w:t>
      </w:r>
      <w:r>
        <w:rPr>
          <w:rFonts w:ascii="Arial" w:cs="Arial" w:eastAsia="Arial" w:hAnsi="Arial"/>
          <w:sz w:val="19"/>
          <w:szCs w:val="19"/>
          <w:color w:val="auto"/>
        </w:rPr>
        <w:t>“investment company” or a “subsidiary” of an “investment company,” all within the meaning of the Investment Company Act of 1940.</w:t>
      </w:r>
    </w:p>
    <w:p>
      <w:pPr>
        <w:spacing w:after="0" w:line="142"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b w:val="1"/>
          <w:bCs w:val="1"/>
          <w:color w:val="auto"/>
        </w:rPr>
        <w:t xml:space="preserve">Section 3.11 </w:t>
      </w:r>
      <w:r>
        <w:rPr>
          <w:rFonts w:ascii="Arial" w:cs="Arial" w:eastAsia="Arial" w:hAnsi="Arial"/>
          <w:sz w:val="20"/>
          <w:szCs w:val="20"/>
          <w:u w:val="single" w:color="auto"/>
          <w:color w:val="auto"/>
        </w:rPr>
        <w:t>Margin Regulations</w:t>
      </w:r>
      <w:r>
        <w:rPr>
          <w:rFonts w:ascii="Arial" w:cs="Arial" w:eastAsia="Arial" w:hAnsi="Arial"/>
          <w:sz w:val="20"/>
          <w:szCs w:val="20"/>
          <w:color w:val="auto"/>
        </w:rPr>
        <w:t>. The Credit Parties and their Subsidiaries do not own any stock, partnership interest 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other equity securities, except for their respective Subsidiaries listed on </w:t>
      </w:r>
      <w:r>
        <w:rPr>
          <w:rFonts w:ascii="Arial" w:cs="Arial" w:eastAsia="Arial" w:hAnsi="Arial"/>
          <w:sz w:val="20"/>
          <w:szCs w:val="20"/>
          <w:u w:val="single" w:color="auto"/>
          <w:color w:val="auto"/>
        </w:rPr>
        <w:t>Schedule 3.4</w:t>
      </w:r>
      <w:r>
        <w:rPr>
          <w:rFonts w:ascii="Arial" w:cs="Arial" w:eastAsia="Arial" w:hAnsi="Arial"/>
          <w:sz w:val="20"/>
          <w:szCs w:val="20"/>
          <w:color w:val="auto"/>
        </w:rPr>
        <w:t xml:space="preserve"> and Permitted Investments. Without limiting the foregoing, the Credit Parties and their Subsidiaries do not own or hold any Margin Stock. None of the proceeds from the Loans have been or will be used, directly or indirectly, for the purpose of purchasing or carrying any “margin stock” (as defined in Regulation U of the Federal Reserve Board), for the purpose of reducing or retiring any indebtedness which was originally incurred to purchase or carry any “margin stock” or for any other purpose which might cause any of the Loans to be considered a “purpose credit” within the meaning of Regulation T, U or X of the Federal Reserve Board.</w:t>
      </w:r>
    </w:p>
    <w:p>
      <w:pPr>
        <w:spacing w:after="0" w:line="186"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0"/>
          <w:szCs w:val="20"/>
          <w:b w:val="1"/>
          <w:bCs w:val="1"/>
          <w:color w:val="auto"/>
        </w:rPr>
        <w:t>Section 3.12</w:t>
      </w:r>
      <w:r>
        <w:rPr>
          <w:sz w:val="20"/>
          <w:szCs w:val="20"/>
          <w:color w:val="auto"/>
        </w:rPr>
        <w:tab/>
      </w:r>
      <w:r>
        <w:rPr>
          <w:rFonts w:ascii="Arial" w:cs="Arial" w:eastAsia="Arial" w:hAnsi="Arial"/>
          <w:sz w:val="18"/>
          <w:szCs w:val="18"/>
          <w:u w:val="single" w:color="auto"/>
          <w:color w:val="auto"/>
        </w:rPr>
        <w:t>Compliance With Laws; Anti-Terrorism Laws</w:t>
      </w:r>
      <w:r>
        <w:rPr>
          <w:rFonts w:ascii="Arial" w:cs="Arial" w:eastAsia="Arial" w:hAnsi="Arial"/>
          <w:sz w:val="18"/>
          <w:szCs w:val="18"/>
          <w:color w:val="auto"/>
        </w:rPr>
        <w:t>.</w:t>
      </w:r>
    </w:p>
    <w:p>
      <w:pPr>
        <w:spacing w:after="0" w:line="222" w:lineRule="exact"/>
        <w:rPr>
          <w:sz w:val="20"/>
          <w:szCs w:val="20"/>
          <w:color w:val="auto"/>
        </w:rPr>
      </w:pPr>
    </w:p>
    <w:p>
      <w:pPr>
        <w:ind w:firstLine="1735"/>
        <w:spacing w:after="0" w:line="260" w:lineRule="auto"/>
        <w:tabs>
          <w:tab w:leader="none" w:pos="2595" w:val="left"/>
        </w:tabs>
        <w:numPr>
          <w:ilvl w:val="0"/>
          <w:numId w:val="72"/>
        </w:numPr>
        <w:rPr>
          <w:rFonts w:ascii="Arial" w:cs="Arial" w:eastAsia="Arial" w:hAnsi="Arial"/>
          <w:sz w:val="20"/>
          <w:szCs w:val="20"/>
          <w:color w:val="auto"/>
        </w:rPr>
      </w:pPr>
      <w:r>
        <w:rPr>
          <w:rFonts w:ascii="Arial" w:cs="Arial" w:eastAsia="Arial" w:hAnsi="Arial"/>
          <w:sz w:val="20"/>
          <w:szCs w:val="20"/>
          <w:color w:val="auto"/>
        </w:rPr>
        <w:t>Each Credit Party is in compliance with the requirements of all applicable Laws, except for such Laws the noncompliance with which would not reasonably be expected to have a Material Adverse Effect.</w:t>
      </w:r>
    </w:p>
    <w:p>
      <w:pPr>
        <w:spacing w:after="0" w:line="176" w:lineRule="exact"/>
        <w:rPr>
          <w:rFonts w:ascii="Arial" w:cs="Arial" w:eastAsia="Arial" w:hAnsi="Arial"/>
          <w:sz w:val="20"/>
          <w:szCs w:val="20"/>
          <w:color w:val="auto"/>
        </w:rPr>
      </w:pPr>
    </w:p>
    <w:p>
      <w:pPr>
        <w:jc w:val="both"/>
        <w:ind w:firstLine="1735"/>
        <w:spacing w:after="0" w:line="243" w:lineRule="auto"/>
        <w:tabs>
          <w:tab w:leader="none" w:pos="2606" w:val="left"/>
        </w:tabs>
        <w:numPr>
          <w:ilvl w:val="0"/>
          <w:numId w:val="72"/>
        </w:numPr>
        <w:rPr>
          <w:rFonts w:ascii="Arial" w:cs="Arial" w:eastAsia="Arial" w:hAnsi="Arial"/>
          <w:sz w:val="20"/>
          <w:szCs w:val="20"/>
          <w:color w:val="auto"/>
        </w:rPr>
      </w:pPr>
      <w:r>
        <w:rPr>
          <w:rFonts w:ascii="Arial" w:cs="Arial" w:eastAsia="Arial" w:hAnsi="Arial"/>
          <w:sz w:val="20"/>
          <w:szCs w:val="20"/>
          <w:color w:val="auto"/>
        </w:rPr>
        <w:t>None of the Credit Parties and, to the knowledge of the Credit Parties, none of their Affiliates (i) is in violation of any Anti-Terrorism Law, (ii) engages in or conspires to engage in any transaction that evades or avoids, or has the purpose of evading or avoiding, or attempts to violate, any of the prohibitions set forth in any Anti-Terrorism Law, (iii) is a Blocked Person, or is controlled by a Blocked Person, (iv) is acting or will act for or on behalf of a Blocked Person, (v) is associated with, or will become associated with, a Blocked Person or (vi) is providing, or will provide, material, financial or technical support or other services to or in support of acts of terrorism of a Blocked Person. No Credit Party nor, to the knowledge of any Credit Party, any of its Affiliates or agents acting or benefiting in any capacity in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00" w:name="page101"/>
    <w:bookmarkEnd w:id="100"/>
    <w:p>
      <w:pPr>
        <w:jc w:val="both"/>
        <w:spacing w:after="0" w:line="246" w:lineRule="auto"/>
        <w:rPr>
          <w:sz w:val="20"/>
          <w:szCs w:val="20"/>
          <w:color w:val="auto"/>
        </w:rPr>
      </w:pPr>
      <w:r>
        <w:rPr>
          <w:rFonts w:ascii="Arial" w:cs="Arial" w:eastAsia="Arial" w:hAnsi="Arial"/>
          <w:sz w:val="20"/>
          <w:szCs w:val="20"/>
          <w:color w:val="auto"/>
        </w:rPr>
        <w:t>connection with the transactions contemplated by this Agreement, (A) conducts any business or engages in making or receiving any contribution of funds, goods or services to or for the benefit of any Blocked Person, or (B) deals in, or otherwise engages in any transaction relating to, any property or interest in property blocked pursuant to Executive Order No. 13224, any similar executive order or other Anti-Terrorism Law.</w:t>
      </w:r>
    </w:p>
    <w:p>
      <w:pPr>
        <w:spacing w:after="0" w:line="185"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9"/>
          <w:szCs w:val="19"/>
          <w:b w:val="1"/>
          <w:bCs w:val="1"/>
          <w:color w:val="auto"/>
        </w:rPr>
        <w:t xml:space="preserve">Section 3.13 </w:t>
      </w:r>
      <w:r>
        <w:rPr>
          <w:rFonts w:ascii="Arial" w:cs="Arial" w:eastAsia="Arial" w:hAnsi="Arial"/>
          <w:sz w:val="19"/>
          <w:szCs w:val="19"/>
          <w:u w:val="single" w:color="auto"/>
          <w:color w:val="auto"/>
        </w:rPr>
        <w:t>Taxes</w:t>
      </w:r>
      <w:r>
        <w:rPr>
          <w:rFonts w:ascii="Arial" w:cs="Arial" w:eastAsia="Arial" w:hAnsi="Arial"/>
          <w:sz w:val="19"/>
          <w:szCs w:val="19"/>
          <w:color w:val="auto"/>
        </w:rPr>
        <w:t>. All U.S. federal and all other material foreign, state and local tax returns, reports and statements</w:t>
      </w:r>
      <w:r>
        <w:rPr>
          <w:rFonts w:ascii="Arial" w:cs="Arial" w:eastAsia="Arial" w:hAnsi="Arial"/>
          <w:sz w:val="19"/>
          <w:szCs w:val="19"/>
          <w:b w:val="1"/>
          <w:bCs w:val="1"/>
          <w:color w:val="auto"/>
        </w:rPr>
        <w:t xml:space="preserve"> </w:t>
      </w:r>
      <w:r>
        <w:rPr>
          <w:rFonts w:ascii="Arial" w:cs="Arial" w:eastAsia="Arial" w:hAnsi="Arial"/>
          <w:sz w:val="19"/>
          <w:szCs w:val="19"/>
          <w:color w:val="auto"/>
        </w:rPr>
        <w:t>required to be filed by or on behalf of each Credit Party have been filed with the appropriate Governmental Authorities in all jurisdictions in which such returns, reports and statements are required to be filed and, except to the extent subject to a Permitted Contest, all Taxes (including real property Taxes) and other charges shown to be due and payable in respect thereof have been timely paid prior to the date on which any fine, penalty, interest, late charge or loss may be added thereto for nonpayment thereof. Except to the extent subject to a Permitted Contest, all material state and local sales and use Taxes required to be paid by each Credit Party have been paid. All federal and material state returns have been filed by each Credit Party for all periods for which returns were due with respect to employee income tax withholding, social security and unemployment taxes, and, except to the extent subject to a Permitted Contest, the amounts shown thereon to be due and payable have been paid in full or adequate provisions therefor have been made therefor on the financial statements of the Credit Parties.</w:t>
      </w:r>
    </w:p>
    <w:p>
      <w:pPr>
        <w:spacing w:after="0" w:line="180"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0"/>
          <w:szCs w:val="20"/>
          <w:b w:val="1"/>
          <w:bCs w:val="1"/>
          <w:color w:val="auto"/>
        </w:rPr>
        <w:t>Section 3.14</w:t>
      </w:r>
      <w:r>
        <w:rPr>
          <w:sz w:val="20"/>
          <w:szCs w:val="20"/>
          <w:color w:val="auto"/>
        </w:rPr>
        <w:tab/>
      </w:r>
      <w:r>
        <w:rPr>
          <w:rFonts w:ascii="Arial" w:cs="Arial" w:eastAsia="Arial" w:hAnsi="Arial"/>
          <w:sz w:val="18"/>
          <w:szCs w:val="18"/>
          <w:u w:val="single" w:color="auto"/>
          <w:color w:val="auto"/>
        </w:rPr>
        <w:t>Compliance with ERISA</w:t>
      </w:r>
      <w:r>
        <w:rPr>
          <w:rFonts w:ascii="Arial" w:cs="Arial" w:eastAsia="Arial" w:hAnsi="Arial"/>
          <w:sz w:val="18"/>
          <w:szCs w:val="18"/>
          <w:color w:val="auto"/>
        </w:rPr>
        <w:t>.</w:t>
      </w:r>
    </w:p>
    <w:p>
      <w:pPr>
        <w:spacing w:after="0" w:line="222" w:lineRule="exact"/>
        <w:rPr>
          <w:sz w:val="20"/>
          <w:szCs w:val="20"/>
          <w:color w:val="auto"/>
        </w:rPr>
      </w:pPr>
    </w:p>
    <w:p>
      <w:pPr>
        <w:jc w:val="both"/>
        <w:ind w:firstLine="1735"/>
        <w:spacing w:after="0" w:line="243" w:lineRule="auto"/>
        <w:tabs>
          <w:tab w:leader="none" w:pos="2595" w:val="left"/>
        </w:tabs>
        <w:numPr>
          <w:ilvl w:val="0"/>
          <w:numId w:val="73"/>
        </w:numPr>
        <w:rPr>
          <w:rFonts w:ascii="Arial" w:cs="Arial" w:eastAsia="Arial" w:hAnsi="Arial"/>
          <w:sz w:val="20"/>
          <w:szCs w:val="20"/>
          <w:color w:val="auto"/>
        </w:rPr>
      </w:pPr>
      <w:r>
        <w:rPr>
          <w:rFonts w:ascii="Arial" w:cs="Arial" w:eastAsia="Arial" w:hAnsi="Arial"/>
          <w:sz w:val="20"/>
          <w:szCs w:val="20"/>
          <w:color w:val="auto"/>
        </w:rPr>
        <w:t>Except as would not reasonably be expected, individually or in the aggregate, to have a Material Adverse Effect, (i) each ERISA Plan (and the related trusts and funding agreements) complies in form and in operation with, has been administered in compliance with, and the terms of each ERISA Plan satisfy, the applicable requirements of ERISA and the Code; (ii) each ERISA Plan which is intended to be qualified under Section 401(a) of the Code is so qualified, and the United States Internal Revenue Service has issued a favorable determination letter with respect to each such ERISA Plan; and (iii) no Credit Party has incurred liability for any excise tax under any of Sections 4971 through 5000 of the Code.</w:t>
      </w:r>
    </w:p>
    <w:p>
      <w:pPr>
        <w:spacing w:after="0" w:line="195" w:lineRule="exact"/>
        <w:rPr>
          <w:rFonts w:ascii="Arial" w:cs="Arial" w:eastAsia="Arial" w:hAnsi="Arial"/>
          <w:sz w:val="20"/>
          <w:szCs w:val="20"/>
          <w:color w:val="auto"/>
        </w:rPr>
      </w:pPr>
    </w:p>
    <w:p>
      <w:pPr>
        <w:jc w:val="both"/>
        <w:ind w:firstLine="1735"/>
        <w:spacing w:after="0" w:line="254" w:lineRule="auto"/>
        <w:tabs>
          <w:tab w:leader="none" w:pos="2606" w:val="left"/>
        </w:tabs>
        <w:numPr>
          <w:ilvl w:val="0"/>
          <w:numId w:val="73"/>
        </w:numPr>
        <w:rPr>
          <w:rFonts w:ascii="Arial" w:cs="Arial" w:eastAsia="Arial" w:hAnsi="Arial"/>
          <w:sz w:val="19"/>
          <w:szCs w:val="19"/>
          <w:color w:val="auto"/>
        </w:rPr>
      </w:pPr>
      <w:r>
        <w:rPr>
          <w:rFonts w:ascii="Arial" w:cs="Arial" w:eastAsia="Arial" w:hAnsi="Arial"/>
          <w:sz w:val="19"/>
          <w:szCs w:val="19"/>
          <w:color w:val="auto"/>
        </w:rPr>
        <w:t>Except as would not reasonably be expected, individually or in the aggregate, to have a Material Adverse Effect, each Borrower and each Subsidiary is in compliance with the applicable provisions of ERISA and the provisions of the Code relating to ERISA Plans and the regulations and published interpretations therein. During the thirty-six (36) month period prior to the Closing Date or the making of any Loan (i) no steps have been taken to terminate any Pension Plan, other than pursuant to a “standard termination,” within the meaning of Section 4041(b) of ERISA, and (ii) no contribution failure has occurred with respect to any Pension Plan sufficient to give rise to a Lien under Section 303(k) of ERISA or Section 430(k) of the Code and no event has occurred that would give rise to a Lien under Section 4068 of ERISA. No condition exists or event or transaction has occurred with respect to any Pension Plan which could result in the incurrence by any Credit Party of any liability, fine or penalty in an amount in excess of $500,000. No Credit Party has incurred liability to the PBGC (other than for current premiums) with respect to any employee Pension Plan. Except as would not reasonably be expected to result in material liability to any Credit Party, all contributions (if any) have been made on a timely basis to any Multiemployer Plan that are required to be made by any Credit Party or any other member of the Controlled Group under the terms of the plan or of any collective bargaining agreement or by applicable Law; no Credit Party nor any member of the Controlled Group has withdrawn or partially withdrawn from any Multiemployer Plan, incurred any withdrawal liability with respect to any such plan or received notice of any claim or demand for withdrawal liability or partial withdrawal liability from any such plan, and no Credit Party nor any member of the Controlled Group has received any notice that any Multiemployer Plan is in reorganization, that any such plan is or may be terminated, or that any such plan is or may become insolvent.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01" w:name="page102"/>
    <w:bookmarkEnd w:id="101"/>
    <w:p>
      <w:pPr>
        <w:jc w:val="both"/>
        <w:ind w:firstLine="864"/>
        <w:spacing w:after="0" w:line="285" w:lineRule="auto"/>
        <w:rPr>
          <w:sz w:val="20"/>
          <w:szCs w:val="20"/>
          <w:color w:val="auto"/>
        </w:rPr>
      </w:pPr>
      <w:r>
        <w:rPr>
          <w:rFonts w:ascii="Arial" w:cs="Arial" w:eastAsia="Arial" w:hAnsi="Arial"/>
          <w:sz w:val="18"/>
          <w:szCs w:val="18"/>
          <w:b w:val="1"/>
          <w:bCs w:val="1"/>
          <w:color w:val="auto"/>
        </w:rPr>
        <w:t xml:space="preserve">Section 3.15 </w:t>
      </w:r>
      <w:r>
        <w:rPr>
          <w:rFonts w:ascii="Arial" w:cs="Arial" w:eastAsia="Arial" w:hAnsi="Arial"/>
          <w:sz w:val="18"/>
          <w:szCs w:val="18"/>
          <w:u w:val="single" w:color="auto"/>
          <w:color w:val="auto"/>
        </w:rPr>
        <w:t>Consummation of Financing Documents; Brokers</w:t>
      </w:r>
      <w:r>
        <w:rPr>
          <w:rFonts w:ascii="Arial" w:cs="Arial" w:eastAsia="Arial" w:hAnsi="Arial"/>
          <w:sz w:val="18"/>
          <w:szCs w:val="18"/>
          <w:color w:val="auto"/>
        </w:rPr>
        <w:t>. Except for fees payable to Agent and/or Lenders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3.15</w:t>
      </w:r>
      <w:r>
        <w:rPr>
          <w:rFonts w:ascii="Arial" w:cs="Arial" w:eastAsia="Arial" w:hAnsi="Arial"/>
          <w:sz w:val="18"/>
          <w:szCs w:val="18"/>
          <w:color w:val="auto"/>
        </w:rPr>
        <w:t xml:space="preserve">, no broker, finder or other intermediary has brought about the obtaining, making or closing of the transactions contemplated by the Financing Documents, and except as set forth on </w:t>
      </w:r>
      <w:r>
        <w:rPr>
          <w:rFonts w:ascii="Arial" w:cs="Arial" w:eastAsia="Arial" w:hAnsi="Arial"/>
          <w:sz w:val="18"/>
          <w:szCs w:val="18"/>
          <w:u w:val="single" w:color="auto"/>
          <w:color w:val="auto"/>
        </w:rPr>
        <w:t>Schedule 3.15</w:t>
      </w:r>
      <w:r>
        <w:rPr>
          <w:rFonts w:ascii="Arial" w:cs="Arial" w:eastAsia="Arial" w:hAnsi="Arial"/>
          <w:sz w:val="18"/>
          <w:szCs w:val="18"/>
          <w:color w:val="auto"/>
        </w:rPr>
        <w:t xml:space="preserve"> no Credit Party has or will have any obligation to any Person in respect of any finder’s or brokerage fees, commissions or other expenses in connection herewith or therewith.</w:t>
      </w:r>
    </w:p>
    <w:p>
      <w:pPr>
        <w:spacing w:after="0" w:line="135" w:lineRule="exact"/>
        <w:rPr>
          <w:sz w:val="20"/>
          <w:szCs w:val="20"/>
          <w:color w:val="auto"/>
        </w:rPr>
      </w:pPr>
    </w:p>
    <w:tbl>
      <w:tblPr>
        <w:tblLayout w:type="fixed"/>
        <w:tblInd w:w="880" w:type="dxa"/>
        <w:tblCellMar>
          <w:top w:w="0" w:type="dxa"/>
          <w:left w:w="0" w:type="dxa"/>
          <w:bottom w:w="0" w:type="dxa"/>
          <w:right w:w="0" w:type="dxa"/>
        </w:tblCellMar>
      </w:tblPr>
      <w:tr>
        <w:trPr>
          <w:trHeight w:val="241"/>
        </w:trPr>
        <w:tc>
          <w:tcPr>
            <w:tcW w:w="1660" w:type="dxa"/>
            <w:vAlign w:val="bottom"/>
          </w:tcPr>
          <w:p>
            <w:pPr>
              <w:spacing w:after="0"/>
              <w:rPr>
                <w:sz w:val="20"/>
                <w:szCs w:val="20"/>
                <w:color w:val="auto"/>
              </w:rPr>
            </w:pPr>
            <w:r>
              <w:rPr>
                <w:rFonts w:ascii="Arial" w:cs="Arial" w:eastAsia="Arial" w:hAnsi="Arial"/>
                <w:sz w:val="20"/>
                <w:szCs w:val="20"/>
                <w:b w:val="1"/>
                <w:bCs w:val="1"/>
                <w:color w:val="auto"/>
              </w:rPr>
              <w:t>Section 3.16</w:t>
            </w:r>
          </w:p>
        </w:tc>
        <w:tc>
          <w:tcPr>
            <w:tcW w:w="1520" w:type="dxa"/>
            <w:vAlign w:val="bottom"/>
            <w:gridSpan w:val="3"/>
          </w:tcPr>
          <w:p>
            <w:pPr>
              <w:spacing w:after="0"/>
              <w:rPr>
                <w:sz w:val="20"/>
                <w:szCs w:val="20"/>
                <w:color w:val="auto"/>
              </w:rPr>
            </w:pPr>
            <w:r>
              <w:rPr>
                <w:rFonts w:ascii="Arial" w:cs="Arial" w:eastAsia="Arial" w:hAnsi="Arial"/>
                <w:sz w:val="20"/>
                <w:szCs w:val="20"/>
                <w:color w:val="auto"/>
              </w:rPr>
              <w:t>Reserved</w:t>
            </w:r>
            <w:r>
              <w:rPr>
                <w:rFonts w:ascii="Arial" w:cs="Arial" w:eastAsia="Arial" w:hAnsi="Arial"/>
                <w:sz w:val="21"/>
                <w:szCs w:val="21"/>
                <w:color w:val="auto"/>
              </w:rPr>
              <w:t>.</w:t>
            </w:r>
          </w:p>
        </w:tc>
      </w:tr>
      <w:tr>
        <w:trPr>
          <w:trHeight w:val="20"/>
        </w:trPr>
        <w:tc>
          <w:tcPr>
            <w:tcW w:w="1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660" w:type="dxa"/>
            <w:vAlign w:val="bottom"/>
          </w:tcPr>
          <w:p>
            <w:pPr>
              <w:spacing w:after="0"/>
              <w:rPr>
                <w:sz w:val="20"/>
                <w:szCs w:val="20"/>
                <w:color w:val="auto"/>
              </w:rPr>
            </w:pPr>
            <w:r>
              <w:rPr>
                <w:rFonts w:ascii="Arial" w:cs="Arial" w:eastAsia="Arial" w:hAnsi="Arial"/>
                <w:sz w:val="20"/>
                <w:szCs w:val="20"/>
                <w:b w:val="1"/>
                <w:bCs w:val="1"/>
                <w:color w:val="auto"/>
              </w:rPr>
              <w:t>Section 3.17</w:t>
            </w:r>
          </w:p>
        </w:tc>
        <w:tc>
          <w:tcPr>
            <w:tcW w:w="1520" w:type="dxa"/>
            <w:vAlign w:val="bottom"/>
            <w:gridSpan w:val="3"/>
          </w:tcPr>
          <w:p>
            <w:pPr>
              <w:spacing w:after="0"/>
              <w:rPr>
                <w:sz w:val="20"/>
                <w:szCs w:val="20"/>
                <w:color w:val="auto"/>
              </w:rPr>
            </w:pPr>
            <w:r>
              <w:rPr>
                <w:rFonts w:ascii="Arial" w:cs="Arial" w:eastAsia="Arial" w:hAnsi="Arial"/>
                <w:sz w:val="20"/>
                <w:szCs w:val="20"/>
                <w:color w:val="auto"/>
                <w:w w:val="89"/>
              </w:rPr>
              <w:t>Material Contracts</w:t>
            </w:r>
            <w:r>
              <w:rPr>
                <w:rFonts w:ascii="Arial" w:cs="Arial" w:eastAsia="Arial" w:hAnsi="Arial"/>
                <w:sz w:val="21"/>
                <w:szCs w:val="21"/>
                <w:color w:val="auto"/>
                <w:w w:val="89"/>
              </w:rPr>
              <w:t>.</w:t>
            </w:r>
          </w:p>
        </w:tc>
      </w:tr>
      <w:tr>
        <w:trPr>
          <w:trHeight w:val="20"/>
        </w:trPr>
        <w:tc>
          <w:tcPr>
            <w:tcW w:w="1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1735"/>
        <w:spacing w:after="0" w:line="263" w:lineRule="auto"/>
        <w:tabs>
          <w:tab w:leader="none" w:pos="2595"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Except for the Financing Documents and the agreements set forth on </w:t>
      </w:r>
      <w:r>
        <w:rPr>
          <w:rFonts w:ascii="Arial" w:cs="Arial" w:eastAsia="Arial" w:hAnsi="Arial"/>
          <w:sz w:val="19"/>
          <w:szCs w:val="19"/>
          <w:u w:val="single" w:color="auto"/>
          <w:color w:val="auto"/>
        </w:rPr>
        <w:t>Schedule 3.17</w:t>
      </w:r>
      <w:r>
        <w:rPr>
          <w:rFonts w:ascii="Arial" w:cs="Arial" w:eastAsia="Arial" w:hAnsi="Arial"/>
          <w:sz w:val="19"/>
          <w:szCs w:val="19"/>
          <w:color w:val="auto"/>
        </w:rPr>
        <w:t>, as of the Closing Date there are no Material Contracts. The consummation of the transactions contemplated by the Financing Documents will not give rise to a right of termination in favor of any party to any Material Contract (other than any Credit Party), except for such Material Contracts the noncompliance with which would not reasonably be expected to have a Material Adverse Effect.</w:t>
      </w:r>
    </w:p>
    <w:p>
      <w:pPr>
        <w:spacing w:after="0" w:line="176" w:lineRule="exact"/>
        <w:rPr>
          <w:rFonts w:ascii="Arial" w:cs="Arial" w:eastAsia="Arial" w:hAnsi="Arial"/>
          <w:sz w:val="19"/>
          <w:szCs w:val="19"/>
          <w:color w:val="auto"/>
        </w:rPr>
      </w:pPr>
    </w:p>
    <w:p>
      <w:pPr>
        <w:jc w:val="both"/>
        <w:ind w:firstLine="1735"/>
        <w:spacing w:after="0" w:line="255" w:lineRule="auto"/>
        <w:tabs>
          <w:tab w:leader="none" w:pos="2606" w:val="left"/>
        </w:tabs>
        <w:numPr>
          <w:ilvl w:val="0"/>
          <w:numId w:val="74"/>
        </w:numPr>
        <w:rPr>
          <w:rFonts w:ascii="Arial" w:cs="Arial" w:eastAsia="Arial" w:hAnsi="Arial"/>
          <w:sz w:val="19"/>
          <w:szCs w:val="19"/>
          <w:color w:val="auto"/>
        </w:rPr>
      </w:pPr>
      <w:r>
        <w:rPr>
          <w:rFonts w:ascii="Arial" w:cs="Arial" w:eastAsia="Arial" w:hAnsi="Arial"/>
          <w:sz w:val="19"/>
          <w:szCs w:val="19"/>
          <w:color w:val="auto"/>
        </w:rPr>
        <w:t>(i) Each Royalty Agreement is a legal, valid and binding agreement enforceable (subject, as to enforcement, to (x) the effect of applicable bankruptcy, insolvency, examinership or similar laws affecting the enforcement or creditors’ rights and (y) general principles of equity) against the Credit Parties party thereto in accordance with its terms; (ii) all of each Credit Party’s rights (including all Accounts) under the Ruxience Royalty Agreement and any other Royalty Agreement (excluding the IXINITY Royalty Agreement) to which it is a party are fully assignable to Agent, for the benefit of Lenders, without further consent of, or any action by, any other Person, and such an assignment would not constitute a default or breach of such Royalty Agreement; (iii) all of each Credit Party’s Accounts under the IXINITY Royalty Agreement are fully assignable to Agent, for the benefit of Lenders, without further consent of, or any action by, any other Person and such an assignment would not constitute a default or breach of the IXINITY Royalty Agreement; (iv) no Royalty Agreement or any Accounts of Borrowers in respect of any Royalty Agreement constitutes Excluded Property; and (v) all payments to be made to a Credit Party pursuant to each Royalty Agreement are stated in Dollars (to the extent that specific amounts or currencies are therein stated) in the applicable Royalty Agreement no amounts under any Royalty Agreement are required to be paid in a currency other than Dollars.</w:t>
      </w:r>
    </w:p>
    <w:p>
      <w:pPr>
        <w:spacing w:after="0" w:line="184" w:lineRule="exact"/>
        <w:rPr>
          <w:rFonts w:ascii="Arial" w:cs="Arial" w:eastAsia="Arial" w:hAnsi="Arial"/>
          <w:sz w:val="19"/>
          <w:szCs w:val="19"/>
          <w:color w:val="auto"/>
        </w:rPr>
      </w:pPr>
    </w:p>
    <w:p>
      <w:pPr>
        <w:jc w:val="both"/>
        <w:ind w:firstLine="1735"/>
        <w:spacing w:after="0" w:line="244" w:lineRule="auto"/>
        <w:tabs>
          <w:tab w:leader="none" w:pos="2595" w:val="left"/>
        </w:tabs>
        <w:numPr>
          <w:ilvl w:val="0"/>
          <w:numId w:val="74"/>
        </w:numPr>
        <w:rPr>
          <w:rFonts w:ascii="Arial" w:cs="Arial" w:eastAsia="Arial" w:hAnsi="Arial"/>
          <w:sz w:val="20"/>
          <w:szCs w:val="20"/>
          <w:color w:val="auto"/>
        </w:rPr>
      </w:pPr>
      <w:r>
        <w:rPr>
          <w:rFonts w:ascii="Arial" w:cs="Arial" w:eastAsia="Arial" w:hAnsi="Arial"/>
          <w:sz w:val="20"/>
          <w:szCs w:val="20"/>
          <w:color w:val="auto"/>
        </w:rPr>
        <w:t>Except with respect to property constituting an “account,” “chattel paper,” a “promissory note” or a “payment intangible” (as each such term is defined in the UCC), no Credit Party makes any representation or warranty that the Agent or any Lender may exercise remedies, without the consent of the counterparty thereunder, in respect of any security interest in any Royalty Agreement containing an anti-assignment term. This disclaimer does not affect any representation or warranty relating to the attachment of the security interest.</w:t>
      </w:r>
    </w:p>
    <w:p>
      <w:pPr>
        <w:spacing w:after="0" w:line="194" w:lineRule="exact"/>
        <w:rPr>
          <w:rFonts w:ascii="Arial" w:cs="Arial" w:eastAsia="Arial" w:hAnsi="Arial"/>
          <w:sz w:val="20"/>
          <w:szCs w:val="20"/>
          <w:color w:val="auto"/>
        </w:rPr>
      </w:pPr>
    </w:p>
    <w:p>
      <w:pPr>
        <w:jc w:val="both"/>
        <w:ind w:firstLine="1735"/>
        <w:spacing w:after="0" w:line="246" w:lineRule="auto"/>
        <w:tabs>
          <w:tab w:leader="none" w:pos="2606"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obligations of Pfizer Inc., as successor to Wyeth LLC, to make payments in respect of CD20 Biosimilar Products (as defined in that certain Amendment No. 3 to the Ruxience Royalty Agreement dated as of May 18, 2011 (the “</w:t>
      </w:r>
      <w:r>
        <w:rPr>
          <w:rFonts w:ascii="Arial" w:cs="Arial" w:eastAsia="Arial" w:hAnsi="Arial"/>
          <w:sz w:val="20"/>
          <w:szCs w:val="20"/>
          <w:b w:val="1"/>
          <w:bCs w:val="1"/>
          <w:color w:val="auto"/>
        </w:rPr>
        <w:t>Third</w:t>
      </w:r>
      <w:r>
        <w:rPr>
          <w:rFonts w:ascii="Arial" w:cs="Arial" w:eastAsia="Arial" w:hAnsi="Arial"/>
          <w:sz w:val="20"/>
          <w:szCs w:val="20"/>
          <w:color w:val="auto"/>
        </w:rPr>
        <w:t xml:space="preserve"> </w:t>
      </w:r>
      <w:r>
        <w:rPr>
          <w:rFonts w:ascii="Arial" w:cs="Arial" w:eastAsia="Arial" w:hAnsi="Arial"/>
          <w:sz w:val="20"/>
          <w:szCs w:val="20"/>
          <w:b w:val="1"/>
          <w:bCs w:val="1"/>
          <w:color w:val="auto"/>
        </w:rPr>
        <w:t>Amendment to Ruxience Royalty Agreement</w:t>
      </w:r>
      <w:r>
        <w:rPr>
          <w:rFonts w:ascii="Arial" w:cs="Arial" w:eastAsia="Arial" w:hAnsi="Arial"/>
          <w:sz w:val="20"/>
          <w:szCs w:val="20"/>
          <w:color w:val="auto"/>
        </w:rPr>
        <w:t>”)) to Borrower pursuant to and in accordance with the terms of the Third Amendment to</w:t>
      </w:r>
      <w:r>
        <w:rPr>
          <w:rFonts w:ascii="Arial" w:cs="Arial" w:eastAsia="Arial" w:hAnsi="Arial"/>
          <w:sz w:val="20"/>
          <w:szCs w:val="20"/>
          <w:b w:val="1"/>
          <w:bCs w:val="1"/>
          <w:color w:val="auto"/>
        </w:rPr>
        <w:t xml:space="preserve"> </w:t>
      </w:r>
      <w:r>
        <w:rPr>
          <w:rFonts w:ascii="Arial" w:cs="Arial" w:eastAsia="Arial" w:hAnsi="Arial"/>
          <w:sz w:val="20"/>
          <w:szCs w:val="20"/>
          <w:color w:val="auto"/>
        </w:rPr>
        <w:t>Ruxience Royalty Agreement have not been terminated and remain in full force and effect.</w:t>
      </w:r>
    </w:p>
    <w:p>
      <w:pPr>
        <w:spacing w:after="0" w:line="185"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0"/>
          <w:szCs w:val="20"/>
          <w:b w:val="1"/>
          <w:bCs w:val="1"/>
          <w:color w:val="auto"/>
        </w:rPr>
        <w:t>Section 3.18</w:t>
      </w:r>
      <w:r>
        <w:rPr>
          <w:sz w:val="20"/>
          <w:szCs w:val="20"/>
          <w:color w:val="auto"/>
        </w:rPr>
        <w:tab/>
      </w:r>
      <w:r>
        <w:rPr>
          <w:rFonts w:ascii="Arial" w:cs="Arial" w:eastAsia="Arial" w:hAnsi="Arial"/>
          <w:sz w:val="18"/>
          <w:szCs w:val="18"/>
          <w:u w:val="single" w:color="auto"/>
          <w:color w:val="auto"/>
        </w:rPr>
        <w:t>Compliance with Environmental Requirements; No Hazardous Materials</w:t>
      </w:r>
      <w:r>
        <w:rPr>
          <w:rFonts w:ascii="Arial" w:cs="Arial" w:eastAsia="Arial" w:hAnsi="Arial"/>
          <w:sz w:val="18"/>
          <w:szCs w:val="18"/>
          <w:color w:val="auto"/>
        </w:rPr>
        <w:t>. Except in each case as set forth 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Schedule 3.18</w:t>
      </w:r>
      <w:r>
        <w:rPr>
          <w:rFonts w:ascii="Arial" w:cs="Arial" w:eastAsia="Arial" w:hAnsi="Arial"/>
          <w:sz w:val="20"/>
          <w:szCs w:val="20"/>
          <w:color w:val="auto"/>
        </w:rPr>
        <w:t>:</w:t>
      </w:r>
    </w:p>
    <w:p>
      <w:pPr>
        <w:spacing w:after="0" w:line="200" w:lineRule="exact"/>
        <w:rPr>
          <w:sz w:val="20"/>
          <w:szCs w:val="20"/>
          <w:color w:val="auto"/>
        </w:rPr>
      </w:pPr>
    </w:p>
    <w:p>
      <w:pPr>
        <w:ind w:firstLine="1735"/>
        <w:spacing w:after="0" w:line="260" w:lineRule="auto"/>
        <w:tabs>
          <w:tab w:leader="none" w:pos="2595" w:val="left"/>
        </w:tabs>
        <w:numPr>
          <w:ilvl w:val="0"/>
          <w:numId w:val="75"/>
        </w:numPr>
        <w:rPr>
          <w:rFonts w:ascii="Arial" w:cs="Arial" w:eastAsia="Arial" w:hAnsi="Arial"/>
          <w:sz w:val="20"/>
          <w:szCs w:val="20"/>
          <w:color w:val="auto"/>
        </w:rPr>
      </w:pPr>
      <w:r>
        <w:rPr>
          <w:rFonts w:ascii="Arial" w:cs="Arial" w:eastAsia="Arial" w:hAnsi="Arial"/>
          <w:sz w:val="20"/>
          <w:szCs w:val="20"/>
          <w:color w:val="auto"/>
        </w:rPr>
        <w:t>no notice, notification, demand, request for information, citation, summons, complaint or order has been issued, no complaint has been filed, no penalty has been assessed and no</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2" w:name="page103"/>
    <w:bookmarkEnd w:id="102"/>
    <w:p>
      <w:pPr>
        <w:jc w:val="both"/>
        <w:spacing w:after="0" w:line="278" w:lineRule="auto"/>
        <w:rPr>
          <w:sz w:val="20"/>
          <w:szCs w:val="20"/>
          <w:color w:val="auto"/>
        </w:rPr>
      </w:pPr>
      <w:r>
        <w:rPr>
          <w:rFonts w:ascii="Arial" w:cs="Arial" w:eastAsia="Arial" w:hAnsi="Arial"/>
          <w:sz w:val="18"/>
          <w:szCs w:val="18"/>
          <w:color w:val="auto"/>
        </w:rPr>
        <w:t>investigation or review is pending, or to such Borrower’s knowledge, threatened in writing by any Governmental Authority or other Person with respect to any (i) alleged violation by any Credit Party of any Environmental Law, (ii) alleged failure by any Credit Party to have any Permits required under any Environmental Law in connection with the conduct of its business or to comply with the terms and conditions thereof, (iii) any generation, treatment, storage, recycling, transportation or disposal of any Hazardous Materials by any Credit Party or any of its Subsidiaries, or (iv) release of Hazardous Materials caused by any Credit Party, any of its Subsidiaries, or any of its agents; and</w:t>
      </w:r>
    </w:p>
    <w:p>
      <w:pPr>
        <w:spacing w:after="0" w:line="165" w:lineRule="exact"/>
        <w:rPr>
          <w:sz w:val="20"/>
          <w:szCs w:val="20"/>
          <w:color w:val="auto"/>
        </w:rPr>
      </w:pPr>
    </w:p>
    <w:p>
      <w:pPr>
        <w:jc w:val="both"/>
        <w:ind w:firstLine="1735"/>
        <w:spacing w:after="0" w:line="242" w:lineRule="auto"/>
        <w:tabs>
          <w:tab w:leader="none" w:pos="2606" w:val="left"/>
        </w:tabs>
        <w:numPr>
          <w:ilvl w:val="0"/>
          <w:numId w:val="76"/>
        </w:numPr>
        <w:rPr>
          <w:rFonts w:ascii="Arial" w:cs="Arial" w:eastAsia="Arial" w:hAnsi="Arial"/>
          <w:sz w:val="20"/>
          <w:szCs w:val="20"/>
          <w:color w:val="auto"/>
        </w:rPr>
      </w:pPr>
      <w:r>
        <w:rPr>
          <w:rFonts w:ascii="Arial" w:cs="Arial" w:eastAsia="Arial" w:hAnsi="Arial"/>
          <w:sz w:val="20"/>
          <w:szCs w:val="20"/>
          <w:color w:val="auto"/>
        </w:rPr>
        <w:t>no property now owned or, to the knowledge of each Borrower, leased by any Credit Party and, to the knowledge of each Borrower, no such property previously owned or leased by any Credit Party, to which any Credit Party has, directly or indirectly, transported or arranged for the transportation of any Hazardous Materials, is listed or, to such Borrower’s knowledge, proposed for listing, on the National Priorities List promulgated pursuant to CERCLA, or CERCLIS (as defined in CERCLA) or any similar state list or is the subject of federal, state or local enforcement actions or, to the knowledge of such Borrower, other investigations which may lead to claims against any Credit Party for clean-up costs, remedial work, damage to natural resources or personal injury claims, including, without limitation, claims under CERCLA except in the case of the forgoing as would not reasonably be expected to result in a Material Adverse Effect.</w:t>
      </w:r>
    </w:p>
    <w:p>
      <w:pPr>
        <w:spacing w:after="0" w:line="191"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b w:val="1"/>
          <w:bCs w:val="1"/>
          <w:color w:val="auto"/>
        </w:rPr>
        <w:t xml:space="preserve">Section 3.19 </w:t>
      </w:r>
      <w:r>
        <w:rPr>
          <w:rFonts w:ascii="Arial" w:cs="Arial" w:eastAsia="Arial" w:hAnsi="Arial"/>
          <w:sz w:val="19"/>
          <w:szCs w:val="19"/>
          <w:u w:val="single" w:color="auto"/>
          <w:color w:val="auto"/>
        </w:rPr>
        <w:t>Intellectual Property and License Agreements</w:t>
      </w:r>
      <w:r>
        <w:rPr>
          <w:rFonts w:ascii="Arial" w:cs="Arial" w:eastAsia="Arial" w:hAnsi="Arial"/>
          <w:sz w:val="19"/>
          <w:szCs w:val="19"/>
          <w:color w:val="auto"/>
        </w:rPr>
        <w:t>. A list of all Registered Intellectual Property of each Credit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Party and all material in-bound license or sublicense agreements, material exclusive out-bound license or sublicense agreements, or other rights of any Credit Party to use material Intellectual Property (but excluding in-bound licenses of over-the-counter software that is commercially available to the public), as of the Closing Date and, as updated pursuant to Section 4.15, is set forth on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3.19</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3.19</w:t>
      </w:r>
      <w:r>
        <w:rPr>
          <w:rFonts w:ascii="Arial" w:cs="Arial" w:eastAsia="Arial" w:hAnsi="Arial"/>
          <w:sz w:val="19"/>
          <w:szCs w:val="19"/>
          <w:color w:val="auto"/>
        </w:rPr>
        <w:t xml:space="preserve"> shall be prepared by Borrower in the form provided by Agent and contain all information required in such form. Except for Permitted Licenses, each Credit Party is the sole owner of its material Intellectual Property free and clear of any Liens other than Permitted Liens. No part of the Material Intangible Assets has been judged invalid or unenforceable, in whole or in part, and to the Borrower’s knowledge, no claim has been made in writing that any part of the Intellectual Property violates the rights of any third party where the effect of such violation would reasonably be expected to have a Material Adverse Effect.</w:t>
      </w:r>
    </w:p>
    <w:p>
      <w:pPr>
        <w:spacing w:after="0" w:line="176"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b w:val="1"/>
          <w:bCs w:val="1"/>
          <w:color w:val="auto"/>
        </w:rPr>
        <w:t xml:space="preserve">Section 3.20 </w:t>
      </w:r>
      <w:r>
        <w:rPr>
          <w:rFonts w:ascii="Arial" w:cs="Arial" w:eastAsia="Arial" w:hAnsi="Arial"/>
          <w:sz w:val="19"/>
          <w:szCs w:val="19"/>
          <w:u w:val="single" w:color="auto"/>
          <w:color w:val="auto"/>
        </w:rPr>
        <w:t>Solvency</w:t>
      </w:r>
      <w:r>
        <w:rPr>
          <w:rFonts w:ascii="Arial" w:cs="Arial" w:eastAsia="Arial" w:hAnsi="Arial"/>
          <w:sz w:val="19"/>
          <w:szCs w:val="19"/>
          <w:color w:val="auto"/>
        </w:rPr>
        <w:t>. After giving effect to the Loan advances and the liabilities and obligations of each Borrower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the Financing Documents, each Borrower (after giving effect to all rights of such Borrower arising by virtue of Section 2.10(b) and any other rights of contribution or similar rights of such Borrower) is Solvent and the Credit Parties (taken as a whole) are Solvent.</w:t>
      </w:r>
    </w:p>
    <w:p>
      <w:pPr>
        <w:spacing w:after="0" w:line="162"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8"/>
          <w:szCs w:val="18"/>
          <w:b w:val="1"/>
          <w:bCs w:val="1"/>
          <w:color w:val="auto"/>
        </w:rPr>
        <w:t xml:space="preserve">Section 3.21 </w:t>
      </w:r>
      <w:r>
        <w:rPr>
          <w:rFonts w:ascii="Arial" w:cs="Arial" w:eastAsia="Arial" w:hAnsi="Arial"/>
          <w:sz w:val="18"/>
          <w:szCs w:val="18"/>
          <w:u w:val="single" w:color="auto"/>
          <w:color w:val="auto"/>
        </w:rPr>
        <w:t>Full Disclosure</w:t>
      </w:r>
      <w:r>
        <w:rPr>
          <w:rFonts w:ascii="Arial" w:cs="Arial" w:eastAsia="Arial" w:hAnsi="Arial"/>
          <w:sz w:val="18"/>
          <w:szCs w:val="18"/>
          <w:color w:val="auto"/>
        </w:rPr>
        <w:t>. The material written information (financial or otherwise) relating to the Credit Parties,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than projections furnished by or on behalf of any Credit Party to Agent or any Lender in connection with the consummation of the transactions contemplated by the Financing Documents, when taken as a whole, is accurate and complete in all material respects and does not and will not, when taken as a whole, contain any untrue statement of a material fact or omit to state a material fact necessary to make the statements contained therein not materially misleading in light of the circumstances under which such statements were made. All financial projections delivered to Agent and Lenders by Borrowers (or their agents) have been prepared on the basis of the assumptions stated therein. Such projections represent each Borrower’s good faith estimate of such Borrower’s future financial performance and such assumptions are believed by such Borrower to be fair and reasonable in light of current business conditions;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it being understood that projections are as to future events and are not to be viewed as facts, projections are subject to significant uncertainties and contingencies, many of which are beyond Borrowers’ control, that Borrowers can give no assurance that such projections will be attained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03" w:name="page104"/>
    <w:bookmarkEnd w:id="103"/>
    <w:p>
      <w:pPr>
        <w:jc w:val="both"/>
        <w:spacing w:after="0" w:line="260" w:lineRule="auto"/>
        <w:rPr>
          <w:sz w:val="20"/>
          <w:szCs w:val="20"/>
          <w:color w:val="auto"/>
        </w:rPr>
      </w:pPr>
      <w:r>
        <w:rPr>
          <w:rFonts w:ascii="Arial" w:cs="Arial" w:eastAsia="Arial" w:hAnsi="Arial"/>
          <w:sz w:val="20"/>
          <w:szCs w:val="20"/>
          <w:color w:val="auto"/>
        </w:rPr>
        <w:t>and that actual results during the period or periods covered by any such projections may differ significantly from the projected results and such differences may be material.</w:t>
      </w:r>
    </w:p>
    <w:p>
      <w:pPr>
        <w:spacing w:after="0" w:line="171"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 xml:space="preserve">Section 3.22 </w:t>
      </w:r>
      <w:r>
        <w:rPr>
          <w:rFonts w:ascii="Arial" w:cs="Arial" w:eastAsia="Arial" w:hAnsi="Arial"/>
          <w:sz w:val="20"/>
          <w:szCs w:val="20"/>
          <w:u w:val="single" w:color="auto"/>
          <w:color w:val="auto"/>
        </w:rPr>
        <w:t>Interest Rate</w:t>
      </w:r>
      <w:r>
        <w:rPr>
          <w:rFonts w:ascii="Arial" w:cs="Arial" w:eastAsia="Arial" w:hAnsi="Arial"/>
          <w:sz w:val="20"/>
          <w:szCs w:val="20"/>
          <w:color w:val="auto"/>
        </w:rPr>
        <w:t>. The rate of interest paid under the Notes and the method and manner of the calculation thereof</w:t>
      </w:r>
      <w:r>
        <w:rPr>
          <w:rFonts w:ascii="Arial" w:cs="Arial" w:eastAsia="Arial" w:hAnsi="Arial"/>
          <w:sz w:val="20"/>
          <w:szCs w:val="20"/>
          <w:b w:val="1"/>
          <w:bCs w:val="1"/>
          <w:color w:val="auto"/>
        </w:rPr>
        <w:t xml:space="preserve"> </w:t>
      </w:r>
      <w:r>
        <w:rPr>
          <w:rFonts w:ascii="Arial" w:cs="Arial" w:eastAsia="Arial" w:hAnsi="Arial"/>
          <w:sz w:val="20"/>
          <w:szCs w:val="20"/>
          <w:color w:val="auto"/>
        </w:rPr>
        <w:t>do not violate any usury or other law or applicable Laws on the Closing Date, any of the Organizational Documents, or any of the Financing Documents.</w:t>
      </w:r>
    </w:p>
    <w:p>
      <w:pPr>
        <w:spacing w:after="0" w:line="177" w:lineRule="exact"/>
        <w:rPr>
          <w:sz w:val="20"/>
          <w:szCs w:val="20"/>
          <w:color w:val="auto"/>
        </w:rPr>
      </w:pPr>
    </w:p>
    <w:p>
      <w:pPr>
        <w:jc w:val="both"/>
        <w:ind w:right="20" w:firstLine="864"/>
        <w:spacing w:after="0" w:line="267" w:lineRule="auto"/>
        <w:rPr>
          <w:sz w:val="20"/>
          <w:szCs w:val="20"/>
          <w:color w:val="auto"/>
        </w:rPr>
      </w:pPr>
      <w:r>
        <w:rPr>
          <w:rFonts w:ascii="Arial" w:cs="Arial" w:eastAsia="Arial" w:hAnsi="Arial"/>
          <w:sz w:val="20"/>
          <w:szCs w:val="20"/>
          <w:b w:val="1"/>
          <w:bCs w:val="1"/>
          <w:color w:val="auto"/>
        </w:rPr>
        <w:t xml:space="preserve">Section 3.23 </w:t>
      </w:r>
      <w:r>
        <w:rPr>
          <w:rFonts w:ascii="Arial" w:cs="Arial" w:eastAsia="Arial" w:hAnsi="Arial"/>
          <w:sz w:val="20"/>
          <w:szCs w:val="20"/>
          <w:u w:val="single" w:color="auto"/>
          <w:color w:val="auto"/>
        </w:rPr>
        <w:t>Subsidiaries</w:t>
      </w:r>
      <w:r>
        <w:rPr>
          <w:rFonts w:ascii="Arial" w:cs="Arial" w:eastAsia="Arial" w:hAnsi="Arial"/>
          <w:sz w:val="20"/>
          <w:szCs w:val="20"/>
          <w:color w:val="auto"/>
        </w:rPr>
        <w:t>. Borrowers do not own any stock, partnership interests, limited liability company interests or</w:t>
      </w:r>
      <w:r>
        <w:rPr>
          <w:rFonts w:ascii="Arial" w:cs="Arial" w:eastAsia="Arial" w:hAnsi="Arial"/>
          <w:sz w:val="20"/>
          <w:szCs w:val="20"/>
          <w:b w:val="1"/>
          <w:bCs w:val="1"/>
          <w:color w:val="auto"/>
        </w:rPr>
        <w:t xml:space="preserve"> </w:t>
      </w:r>
      <w:r>
        <w:rPr>
          <w:rFonts w:ascii="Arial" w:cs="Arial" w:eastAsia="Arial" w:hAnsi="Arial"/>
          <w:sz w:val="20"/>
          <w:szCs w:val="20"/>
          <w:color w:val="auto"/>
        </w:rPr>
        <w:t>other equity securities or Subsidiaries except for Permitted Investments.</w:t>
      </w:r>
    </w:p>
    <w:p>
      <w:pPr>
        <w:spacing w:after="0" w:line="163"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0"/>
          <w:szCs w:val="20"/>
          <w:b w:val="1"/>
          <w:bCs w:val="1"/>
          <w:color w:val="auto"/>
        </w:rPr>
        <w:t>Section 3.24</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16" w:lineRule="exact"/>
        <w:rPr>
          <w:sz w:val="20"/>
          <w:szCs w:val="20"/>
          <w:color w:val="auto"/>
        </w:rPr>
      </w:pPr>
    </w:p>
    <w:p>
      <w:pPr>
        <w:jc w:val="both"/>
        <w:ind w:firstLine="864"/>
        <w:spacing w:after="0" w:line="262" w:lineRule="auto"/>
        <w:rPr>
          <w:sz w:val="20"/>
          <w:szCs w:val="20"/>
          <w:color w:val="auto"/>
        </w:rPr>
      </w:pPr>
      <w:r>
        <w:rPr>
          <w:rFonts w:ascii="Arial" w:cs="Arial" w:eastAsia="Arial" w:hAnsi="Arial"/>
          <w:sz w:val="19"/>
          <w:szCs w:val="19"/>
          <w:b w:val="1"/>
          <w:bCs w:val="1"/>
          <w:color w:val="auto"/>
        </w:rPr>
        <w:t xml:space="preserve">Section 3.25 </w:t>
      </w:r>
      <w:r>
        <w:rPr>
          <w:rFonts w:ascii="Arial" w:cs="Arial" w:eastAsia="Arial" w:hAnsi="Arial"/>
          <w:sz w:val="19"/>
          <w:szCs w:val="19"/>
          <w:u w:val="single" w:color="auto"/>
          <w:color w:val="auto"/>
        </w:rPr>
        <w:t>Accuracy of Schedules</w:t>
      </w:r>
      <w:r>
        <w:rPr>
          <w:rFonts w:ascii="Arial" w:cs="Arial" w:eastAsia="Arial" w:hAnsi="Arial"/>
          <w:sz w:val="19"/>
          <w:szCs w:val="19"/>
          <w:color w:val="auto"/>
        </w:rPr>
        <w:t>. All information set forth in the Schedules to this Agreement (including</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Schedule</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3.19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Schedule 8.2(a)</w:t>
      </w:r>
      <w:r>
        <w:rPr>
          <w:rFonts w:ascii="Arial" w:cs="Arial" w:eastAsia="Arial" w:hAnsi="Arial"/>
          <w:sz w:val="19"/>
          <w:szCs w:val="19"/>
          <w:color w:val="auto"/>
        </w:rPr>
        <w:t>) is true, accurate and complete as of the Closing Date, the date of delivery of the last quarterly Compliance Certificate and any other subsequent date in which Borrower is requested to update such Schedules in accordance with this Agreement. All information set forth in the Perfection Certificate is true, accurate and complete as of the Closing Date and any other subsequent date in which Borrower is requested to update such certificate in accordance with this Agreement.</w:t>
      </w:r>
    </w:p>
    <w:p>
      <w:pPr>
        <w:spacing w:after="0" w:line="171"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ARTICLE 4 - AFFIRMATIVE COVENANTS</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Each Borrower agrees that, so long as any Credit Exposure exists:</w:t>
      </w:r>
    </w:p>
    <w:p>
      <w:pPr>
        <w:spacing w:after="0" w:line="210" w:lineRule="exact"/>
        <w:rPr>
          <w:sz w:val="20"/>
          <w:szCs w:val="20"/>
          <w:color w:val="auto"/>
        </w:rPr>
      </w:pPr>
    </w:p>
    <w:p>
      <w:pPr>
        <w:ind w:left="880"/>
        <w:spacing w:after="0"/>
        <w:tabs>
          <w:tab w:leader="none" w:pos="2420" w:val="left"/>
        </w:tabs>
        <w:rPr>
          <w:sz w:val="20"/>
          <w:szCs w:val="20"/>
          <w:color w:val="auto"/>
        </w:rPr>
      </w:pPr>
      <w:r>
        <w:rPr>
          <w:rFonts w:ascii="Arial" w:cs="Arial" w:eastAsia="Arial" w:hAnsi="Arial"/>
          <w:sz w:val="20"/>
          <w:szCs w:val="20"/>
          <w:b w:val="1"/>
          <w:bCs w:val="1"/>
          <w:color w:val="auto"/>
        </w:rPr>
        <w:t>Section 4.1</w:t>
      </w:r>
      <w:r>
        <w:rPr>
          <w:sz w:val="20"/>
          <w:szCs w:val="20"/>
          <w:color w:val="auto"/>
        </w:rPr>
        <w:tab/>
      </w:r>
      <w:r>
        <w:rPr>
          <w:rFonts w:ascii="Arial" w:cs="Arial" w:eastAsia="Arial" w:hAnsi="Arial"/>
          <w:sz w:val="18"/>
          <w:szCs w:val="18"/>
          <w:u w:val="single" w:color="auto"/>
          <w:color w:val="auto"/>
        </w:rPr>
        <w:t>Financial Statements and Other Reports</w:t>
      </w:r>
      <w:r>
        <w:rPr>
          <w:rFonts w:ascii="Arial" w:cs="Arial" w:eastAsia="Arial" w:hAnsi="Arial"/>
          <w:sz w:val="18"/>
          <w:szCs w:val="18"/>
          <w:color w:val="auto"/>
        </w:rPr>
        <w:t>. Each Borrower will deliver to Agent:</w:t>
      </w:r>
    </w:p>
    <w:p>
      <w:pPr>
        <w:spacing w:after="0" w:line="222" w:lineRule="exact"/>
        <w:rPr>
          <w:sz w:val="20"/>
          <w:szCs w:val="20"/>
          <w:color w:val="auto"/>
        </w:rPr>
      </w:pPr>
    </w:p>
    <w:p>
      <w:pPr>
        <w:ind w:firstLine="1735"/>
        <w:spacing w:after="0" w:line="260" w:lineRule="auto"/>
        <w:tabs>
          <w:tab w:leader="none" w:pos="2595" w:val="left"/>
        </w:tabs>
        <w:numPr>
          <w:ilvl w:val="0"/>
          <w:numId w:val="77"/>
        </w:numPr>
        <w:rPr>
          <w:rFonts w:ascii="Arial" w:cs="Arial" w:eastAsia="Arial" w:hAnsi="Arial"/>
          <w:sz w:val="20"/>
          <w:szCs w:val="20"/>
          <w:color w:val="auto"/>
        </w:rPr>
      </w:pPr>
      <w:r>
        <w:rPr>
          <w:rFonts w:ascii="Arial" w:cs="Arial" w:eastAsia="Arial" w:hAnsi="Arial"/>
          <w:sz w:val="20"/>
          <w:szCs w:val="20"/>
          <w:color w:val="auto"/>
        </w:rPr>
        <w:t>as soon as available, but no later than thirty (30) days after the last day of each month, a bank statement of each Borrower certified by a Responsible Officer and in a form reasonably acceptable to the Agent;</w:t>
      </w:r>
    </w:p>
    <w:p>
      <w:pPr>
        <w:spacing w:after="0" w:line="176" w:lineRule="exact"/>
        <w:rPr>
          <w:rFonts w:ascii="Arial" w:cs="Arial" w:eastAsia="Arial" w:hAnsi="Arial"/>
          <w:sz w:val="20"/>
          <w:szCs w:val="20"/>
          <w:color w:val="auto"/>
        </w:rPr>
      </w:pPr>
    </w:p>
    <w:p>
      <w:pPr>
        <w:jc w:val="both"/>
        <w:ind w:firstLine="1735"/>
        <w:spacing w:after="0" w:line="246" w:lineRule="auto"/>
        <w:tabs>
          <w:tab w:leader="none" w:pos="2606" w:val="left"/>
        </w:tabs>
        <w:numPr>
          <w:ilvl w:val="0"/>
          <w:numId w:val="77"/>
        </w:numPr>
        <w:rPr>
          <w:rFonts w:ascii="Arial" w:cs="Arial" w:eastAsia="Arial" w:hAnsi="Arial"/>
          <w:sz w:val="20"/>
          <w:szCs w:val="20"/>
          <w:color w:val="auto"/>
        </w:rPr>
      </w:pPr>
      <w:r>
        <w:rPr>
          <w:rFonts w:ascii="Arial" w:cs="Arial" w:eastAsia="Arial" w:hAnsi="Arial"/>
          <w:sz w:val="20"/>
          <w:szCs w:val="20"/>
          <w:color w:val="auto"/>
        </w:rPr>
        <w:t>as soon as available, but no later than forty-five (45) days after the last day of each fiscal quarter, a company prepared consolidated balance sheet, cash flow and income statement covering Borrowers’ and their Consolidated Subsidiaries’ consolidated operations during the period, prepared under GAAP, consistently applied, certified by a Responsible Officer and in a form reasonably acceptable to Agent;</w:t>
      </w:r>
    </w:p>
    <w:p>
      <w:pPr>
        <w:spacing w:after="0" w:line="191" w:lineRule="exact"/>
        <w:rPr>
          <w:rFonts w:ascii="Arial" w:cs="Arial" w:eastAsia="Arial" w:hAnsi="Arial"/>
          <w:sz w:val="20"/>
          <w:szCs w:val="20"/>
          <w:color w:val="auto"/>
        </w:rPr>
      </w:pPr>
    </w:p>
    <w:p>
      <w:pPr>
        <w:jc w:val="both"/>
        <w:ind w:firstLine="1735"/>
        <w:spacing w:after="0" w:line="244" w:lineRule="auto"/>
        <w:tabs>
          <w:tab w:leader="none" w:pos="2595" w:val="left"/>
        </w:tabs>
        <w:numPr>
          <w:ilvl w:val="0"/>
          <w:numId w:val="77"/>
        </w:numPr>
        <w:rPr>
          <w:rFonts w:ascii="Arial" w:cs="Arial" w:eastAsia="Arial" w:hAnsi="Arial"/>
          <w:sz w:val="20"/>
          <w:szCs w:val="20"/>
          <w:color w:val="auto"/>
        </w:rPr>
      </w:pPr>
      <w:r>
        <w:rPr>
          <w:rFonts w:ascii="Arial" w:cs="Arial" w:eastAsia="Arial" w:hAnsi="Arial"/>
          <w:sz w:val="20"/>
          <w:szCs w:val="20"/>
          <w:color w:val="auto"/>
        </w:rPr>
        <w:t>as soon as available, but no later than one hundred twenty (120) days after the last day of Borrower’s fiscal year, audited consolidated financial statements prepared under GAAP, consistently applied, together with an unqualified opinion (other than any going concern qualification with respect to, or resulting from an upcoming maturity date of any Debt occurring within one year from the time such opinion is delivered) on the financial statements from Ernst &amp; Young or another independent certified public accounting firm acceptable to Agent in its reasonable discretion;</w:t>
      </w:r>
    </w:p>
    <w:p>
      <w:pPr>
        <w:spacing w:after="0" w:line="194" w:lineRule="exact"/>
        <w:rPr>
          <w:rFonts w:ascii="Arial" w:cs="Arial" w:eastAsia="Arial" w:hAnsi="Arial"/>
          <w:sz w:val="20"/>
          <w:szCs w:val="20"/>
          <w:color w:val="auto"/>
        </w:rPr>
      </w:pPr>
    </w:p>
    <w:p>
      <w:pPr>
        <w:jc w:val="both"/>
        <w:ind w:firstLine="1735"/>
        <w:spacing w:after="0" w:line="269" w:lineRule="auto"/>
        <w:tabs>
          <w:tab w:leader="none" w:pos="2606" w:val="left"/>
        </w:tabs>
        <w:numPr>
          <w:ilvl w:val="0"/>
          <w:numId w:val="77"/>
        </w:numPr>
        <w:rPr>
          <w:rFonts w:ascii="Arial" w:cs="Arial" w:eastAsia="Arial" w:hAnsi="Arial"/>
          <w:sz w:val="19"/>
          <w:szCs w:val="19"/>
          <w:color w:val="auto"/>
        </w:rPr>
      </w:pPr>
      <w:r>
        <w:rPr>
          <w:rFonts w:ascii="Arial" w:cs="Arial" w:eastAsia="Arial" w:hAnsi="Arial"/>
          <w:sz w:val="19"/>
          <w:szCs w:val="19"/>
          <w:color w:val="auto"/>
        </w:rPr>
        <w:t>within five (5) Business Days of delivery or filing thereof, copies of all material statements, reports and notices made available to Borrowers’ security holders or to any holders of any Subordinated Debt and copies of all reports and other filings made by any Borrower with any stock exchange on which any securities of any Borrower are traded and/or the SEC;</w:t>
      </w:r>
    </w:p>
    <w:p>
      <w:pPr>
        <w:spacing w:after="0" w:line="169" w:lineRule="exact"/>
        <w:rPr>
          <w:rFonts w:ascii="Arial" w:cs="Arial" w:eastAsia="Arial" w:hAnsi="Arial"/>
          <w:sz w:val="19"/>
          <w:szCs w:val="19"/>
          <w:color w:val="auto"/>
        </w:rPr>
      </w:pPr>
    </w:p>
    <w:p>
      <w:pPr>
        <w:jc w:val="both"/>
        <w:ind w:firstLine="1735"/>
        <w:spacing w:after="0" w:line="250" w:lineRule="auto"/>
        <w:tabs>
          <w:tab w:leader="none" w:pos="2595" w:val="left"/>
        </w:tabs>
        <w:numPr>
          <w:ilvl w:val="0"/>
          <w:numId w:val="77"/>
        </w:numPr>
        <w:rPr>
          <w:rFonts w:ascii="Arial" w:cs="Arial" w:eastAsia="Arial" w:hAnsi="Arial"/>
          <w:sz w:val="20"/>
          <w:szCs w:val="20"/>
          <w:color w:val="auto"/>
        </w:rPr>
      </w:pPr>
      <w:r>
        <w:rPr>
          <w:rFonts w:ascii="Arial" w:cs="Arial" w:eastAsia="Arial" w:hAnsi="Arial"/>
          <w:sz w:val="20"/>
          <w:szCs w:val="20"/>
          <w:color w:val="auto"/>
        </w:rPr>
        <w:t>a prompt written report of any legal actions pending or threatened in writing against any Borrower or any of its Subsidiaries that would reasonably be expected to result in damages or costs to any Borrower or any of its Subsidiaries of Five Hundred Thousand Dollars ($500,000) or more;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04" w:name="page105"/>
    <w:bookmarkEnd w:id="104"/>
    <w:p>
      <w:pPr>
        <w:ind w:left="2580" w:hanging="845"/>
        <w:spacing w:after="0"/>
        <w:tabs>
          <w:tab w:leader="none" w:pos="25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prompt written notice of an event that materially and adversely affects the value of any Intellectual Property;</w:t>
      </w:r>
    </w:p>
    <w:p>
      <w:pPr>
        <w:spacing w:after="0" w:line="238" w:lineRule="exact"/>
        <w:rPr>
          <w:rFonts w:ascii="Arial" w:cs="Arial" w:eastAsia="Arial" w:hAnsi="Arial"/>
          <w:sz w:val="18"/>
          <w:szCs w:val="18"/>
          <w:color w:val="auto"/>
        </w:rPr>
      </w:pPr>
    </w:p>
    <w:p>
      <w:pPr>
        <w:ind w:firstLine="1735"/>
        <w:spacing w:after="0" w:line="260" w:lineRule="auto"/>
        <w:tabs>
          <w:tab w:leader="none" w:pos="2606" w:val="left"/>
        </w:tabs>
        <w:numPr>
          <w:ilvl w:val="0"/>
          <w:numId w:val="78"/>
        </w:numPr>
        <w:rPr>
          <w:rFonts w:ascii="Arial" w:cs="Arial" w:eastAsia="Arial" w:hAnsi="Arial"/>
          <w:sz w:val="20"/>
          <w:szCs w:val="20"/>
          <w:color w:val="auto"/>
        </w:rPr>
      </w:pPr>
      <w:r>
        <w:rPr>
          <w:rFonts w:ascii="Arial" w:cs="Arial" w:eastAsia="Arial" w:hAnsi="Arial"/>
          <w:sz w:val="20"/>
          <w:szCs w:val="20"/>
          <w:color w:val="auto"/>
        </w:rPr>
        <w:t>within sixty (60) days after the start of each fiscal year, projections for the forthcoming two fiscal years, on a quarterly basis for the current year and on an annual basis for the subsequent year;</w:t>
      </w:r>
    </w:p>
    <w:p>
      <w:pPr>
        <w:spacing w:after="0" w:line="176" w:lineRule="exact"/>
        <w:rPr>
          <w:rFonts w:ascii="Arial" w:cs="Arial" w:eastAsia="Arial" w:hAnsi="Arial"/>
          <w:sz w:val="20"/>
          <w:szCs w:val="20"/>
          <w:color w:val="auto"/>
        </w:rPr>
      </w:pPr>
    </w:p>
    <w:p>
      <w:pPr>
        <w:jc w:val="both"/>
        <w:ind w:firstLine="1735"/>
        <w:spacing w:after="0" w:line="263" w:lineRule="auto"/>
        <w:tabs>
          <w:tab w:leader="none" w:pos="2606"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promptly (and in any event within ten (10) days of any request therefor) such readily available other budgets, sales projections, operating plans and other financial information and information, reports or statements regarding the Borrowers, their business and the Collateral as Agent may from time to time reasonably request;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reporting related to Regulatory Required Permits and/or Regulatory Reporting Events shall be governed by Section 4.17;</w:t>
      </w:r>
    </w:p>
    <w:p>
      <w:pPr>
        <w:spacing w:after="0" w:line="176" w:lineRule="exact"/>
        <w:rPr>
          <w:rFonts w:ascii="Arial" w:cs="Arial" w:eastAsia="Arial" w:hAnsi="Arial"/>
          <w:sz w:val="19"/>
          <w:szCs w:val="19"/>
          <w:color w:val="auto"/>
        </w:rPr>
      </w:pPr>
    </w:p>
    <w:p>
      <w:pPr>
        <w:jc w:val="both"/>
        <w:ind w:firstLine="1735"/>
        <w:spacing w:after="0" w:line="250" w:lineRule="auto"/>
        <w:tabs>
          <w:tab w:leader="none" w:pos="2562" w:val="left"/>
        </w:tabs>
        <w:numPr>
          <w:ilvl w:val="0"/>
          <w:numId w:val="78"/>
        </w:numPr>
        <w:rPr>
          <w:rFonts w:ascii="Arial" w:cs="Arial" w:eastAsia="Arial" w:hAnsi="Arial"/>
          <w:sz w:val="20"/>
          <w:szCs w:val="20"/>
          <w:color w:val="auto"/>
        </w:rPr>
      </w:pPr>
      <w:r>
        <w:rPr>
          <w:rFonts w:ascii="Arial" w:cs="Arial" w:eastAsia="Arial" w:hAnsi="Arial"/>
          <w:sz w:val="20"/>
          <w:szCs w:val="20"/>
          <w:color w:val="auto"/>
        </w:rPr>
        <w:t>within thirty (30) days after the last day of each month (or forty-five (45) days if such month is the last month of a fiscal quarter), deliver to Agent with the financial statements described in clause (a) or (b) above (as applicable), a duly completed Compliance Certificate; and</w:t>
      </w:r>
    </w:p>
    <w:p>
      <w:pPr>
        <w:spacing w:after="0" w:line="185" w:lineRule="exact"/>
        <w:rPr>
          <w:rFonts w:ascii="Arial" w:cs="Arial" w:eastAsia="Arial" w:hAnsi="Arial"/>
          <w:sz w:val="20"/>
          <w:szCs w:val="20"/>
          <w:color w:val="auto"/>
        </w:rPr>
      </w:pPr>
    </w:p>
    <w:p>
      <w:pPr>
        <w:jc w:val="both"/>
        <w:ind w:firstLine="1735"/>
        <w:spacing w:after="0" w:line="269" w:lineRule="auto"/>
        <w:tabs>
          <w:tab w:leader="none" w:pos="2562" w:val="left"/>
        </w:tabs>
        <w:numPr>
          <w:ilvl w:val="0"/>
          <w:numId w:val="78"/>
        </w:numPr>
        <w:rPr>
          <w:rFonts w:ascii="Arial" w:cs="Arial" w:eastAsia="Arial" w:hAnsi="Arial"/>
          <w:sz w:val="19"/>
          <w:szCs w:val="19"/>
          <w:color w:val="auto"/>
        </w:rPr>
      </w:pPr>
      <w:r>
        <w:rPr>
          <w:rFonts w:ascii="Arial" w:cs="Arial" w:eastAsia="Arial" w:hAnsi="Arial"/>
          <w:sz w:val="19"/>
          <w:szCs w:val="19"/>
          <w:color w:val="auto"/>
        </w:rPr>
        <w:t>together with each quarterly Compliance Certificate required to be delivered pursuant to Section 4.1(i), a report of the amount of all Royalties received by or on behalf of Borrowers and their Subsidiaries during such calendar quarter, the dates of payment of such Royalties, the payor(s) of such Royalties and the net sales upon which such Royalties were calculated.</w:t>
      </w:r>
    </w:p>
    <w:p>
      <w:pPr>
        <w:spacing w:after="0" w:line="164"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9"/>
          <w:szCs w:val="19"/>
          <w:b w:val="1"/>
          <w:bCs w:val="1"/>
          <w:color w:val="auto"/>
        </w:rPr>
        <w:t xml:space="preserve">Section 4.2 </w:t>
      </w:r>
      <w:r>
        <w:rPr>
          <w:rFonts w:ascii="Arial" w:cs="Arial" w:eastAsia="Arial" w:hAnsi="Arial"/>
          <w:sz w:val="19"/>
          <w:szCs w:val="19"/>
          <w:u w:val="single" w:color="auto"/>
          <w:color w:val="auto"/>
        </w:rPr>
        <w:t>Payment and Performance of Obligations</w:t>
      </w:r>
      <w:r>
        <w:rPr>
          <w:rFonts w:ascii="Arial" w:cs="Arial" w:eastAsia="Arial" w:hAnsi="Arial"/>
          <w:sz w:val="19"/>
          <w:szCs w:val="19"/>
          <w:color w:val="auto"/>
        </w:rPr>
        <w:t>. Each Borrower (a) will pay and discharge, and cause each</w:t>
      </w:r>
      <w:r>
        <w:rPr>
          <w:rFonts w:ascii="Arial" w:cs="Arial" w:eastAsia="Arial" w:hAnsi="Arial"/>
          <w:sz w:val="19"/>
          <w:szCs w:val="19"/>
          <w:b w:val="1"/>
          <w:bCs w:val="1"/>
          <w:color w:val="auto"/>
        </w:rPr>
        <w:t xml:space="preserve"> </w:t>
      </w:r>
      <w:r>
        <w:rPr>
          <w:rFonts w:ascii="Arial" w:cs="Arial" w:eastAsia="Arial" w:hAnsi="Arial"/>
          <w:sz w:val="19"/>
          <w:szCs w:val="19"/>
          <w:color w:val="auto"/>
        </w:rPr>
        <w:t>Subsidiary to pay and discharge, on a timely basis as and when due, all of their respective obligations and liabilities, except for such obligations and/or liabilities (i) that may be the subject of a Permitted Contest, and (ii) the nonpayment or nondischarge of which would not reasonably be expected to have a Material Adverse Effect or result in a Lien against any Collateral, except for Permitted Liens, (b) without limiting anything contained in the foregoing clause (a), and except to the extent subject to a Permitted Contest, pay all amounts due and owing in respect of taxes (including without limitation, payroll and withholding tax liabilities) on a timely basis as and when due, and in any case prior to the date on which any fine, penalty, interest, late charge or loss may be added thereto for nonpayment thereof, (c) will maintain, and cause each Subsidiary to maintain, in accordance with GAAP, reserves in respect of their respective obligations and liabilities as such obligations and liabilities are reasonably expected to become due and payable, and (d) will not breach or permit any Subsidiary to breach, or permit to exist any default under, the terms of any lease, commitment, contract, instrument or obligation to which it is a party, or by which its properties or assets are bound, except for such breaches or defaults which would not reasonably be expected to have a Material Adverse Effect.</w:t>
      </w:r>
    </w:p>
    <w:p>
      <w:pPr>
        <w:spacing w:after="0" w:line="184"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b w:val="1"/>
          <w:bCs w:val="1"/>
          <w:color w:val="auto"/>
        </w:rPr>
        <w:t xml:space="preserve">Section 4.3 </w:t>
      </w:r>
      <w:r>
        <w:rPr>
          <w:rFonts w:ascii="Arial" w:cs="Arial" w:eastAsia="Arial" w:hAnsi="Arial"/>
          <w:sz w:val="20"/>
          <w:szCs w:val="20"/>
          <w:u w:val="single" w:color="auto"/>
          <w:color w:val="auto"/>
        </w:rPr>
        <w:t>Maintenance of Existence</w:t>
      </w:r>
      <w:r>
        <w:rPr>
          <w:rFonts w:ascii="Arial" w:cs="Arial" w:eastAsia="Arial" w:hAnsi="Arial"/>
          <w:sz w:val="20"/>
          <w:szCs w:val="20"/>
          <w:color w:val="auto"/>
        </w:rPr>
        <w:t>. Each Borrower will preserve, renew and keep in full force and effect and in good</w:t>
      </w:r>
      <w:r>
        <w:rPr>
          <w:rFonts w:ascii="Arial" w:cs="Arial" w:eastAsia="Arial" w:hAnsi="Arial"/>
          <w:sz w:val="20"/>
          <w:szCs w:val="20"/>
          <w:b w:val="1"/>
          <w:bCs w:val="1"/>
          <w:color w:val="auto"/>
        </w:rPr>
        <w:t xml:space="preserve"> </w:t>
      </w:r>
      <w:r>
        <w:rPr>
          <w:rFonts w:ascii="Arial" w:cs="Arial" w:eastAsia="Arial" w:hAnsi="Arial"/>
          <w:sz w:val="20"/>
          <w:szCs w:val="20"/>
          <w:color w:val="auto"/>
        </w:rPr>
        <w:t>standing, and will cause each Subsidiary to preserve, renew and keep in full force and effect and in good standing, (a) their respective existence (except as resulting from transactions permitted by Section 5.6) and (b) their respective rights, privileges and franchises necessary or desirable in the normal conduct of business except, in case of this clause (b) where a failure to do so would not reasonably be expected to result in a Material Adverse Effect.</w:t>
      </w:r>
    </w:p>
    <w:p>
      <w:pPr>
        <w:spacing w:after="0" w:line="186" w:lineRule="exact"/>
        <w:rPr>
          <w:sz w:val="20"/>
          <w:szCs w:val="20"/>
          <w:color w:val="auto"/>
        </w:rPr>
      </w:pPr>
    </w:p>
    <w:p>
      <w:pPr>
        <w:ind w:left="880"/>
        <w:spacing w:after="0"/>
        <w:tabs>
          <w:tab w:leader="none" w:pos="2420" w:val="left"/>
        </w:tabs>
        <w:rPr>
          <w:sz w:val="20"/>
          <w:szCs w:val="20"/>
          <w:color w:val="auto"/>
        </w:rPr>
      </w:pPr>
      <w:r>
        <w:rPr>
          <w:rFonts w:ascii="Arial" w:cs="Arial" w:eastAsia="Arial" w:hAnsi="Arial"/>
          <w:sz w:val="20"/>
          <w:szCs w:val="20"/>
          <w:b w:val="1"/>
          <w:bCs w:val="1"/>
          <w:color w:val="auto"/>
        </w:rPr>
        <w:t>Section 4.4</w:t>
      </w:r>
      <w:r>
        <w:rPr>
          <w:sz w:val="20"/>
          <w:szCs w:val="20"/>
          <w:color w:val="auto"/>
        </w:rPr>
        <w:tab/>
      </w:r>
      <w:r>
        <w:rPr>
          <w:rFonts w:ascii="Arial" w:cs="Arial" w:eastAsia="Arial" w:hAnsi="Arial"/>
          <w:sz w:val="17"/>
          <w:szCs w:val="17"/>
          <w:u w:val="single" w:color="auto"/>
          <w:color w:val="auto"/>
        </w:rPr>
        <w:t>Maintenance of Property; Insurance</w:t>
      </w:r>
      <w:r>
        <w:rPr>
          <w:rFonts w:ascii="Arial" w:cs="Arial" w:eastAsia="Arial" w:hAnsi="Arial"/>
          <w:sz w:val="18"/>
          <w:szCs w:val="18"/>
          <w:color w:val="auto"/>
        </w:rPr>
        <w:t>.</w:t>
      </w:r>
    </w:p>
    <w:p>
      <w:pPr>
        <w:spacing w:after="0" w:line="234" w:lineRule="exact"/>
        <w:rPr>
          <w:sz w:val="20"/>
          <w:szCs w:val="20"/>
          <w:color w:val="auto"/>
        </w:rPr>
      </w:pPr>
    </w:p>
    <w:p>
      <w:pPr>
        <w:jc w:val="both"/>
        <w:ind w:firstLine="1735"/>
        <w:spacing w:after="0" w:line="250" w:lineRule="auto"/>
        <w:tabs>
          <w:tab w:leader="none" w:pos="2595" w:val="left"/>
        </w:tabs>
        <w:numPr>
          <w:ilvl w:val="0"/>
          <w:numId w:val="79"/>
        </w:numPr>
        <w:rPr>
          <w:rFonts w:ascii="Arial" w:cs="Arial" w:eastAsia="Arial" w:hAnsi="Arial"/>
          <w:sz w:val="20"/>
          <w:szCs w:val="20"/>
          <w:color w:val="auto"/>
        </w:rPr>
      </w:pPr>
      <w:r>
        <w:rPr>
          <w:rFonts w:ascii="Arial" w:cs="Arial" w:eastAsia="Arial" w:hAnsi="Arial"/>
          <w:sz w:val="20"/>
          <w:szCs w:val="20"/>
          <w:color w:val="auto"/>
        </w:rPr>
        <w:t>Each Borrower will keep, and will cause each Subsidiary to keep, all property useful and necessary in its business in good working order and condition, ordinary wear and tear excepted. If all or any part of the Collateral necessary in its business becomes damaged or destroyed, each Borrower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05" w:name="page106"/>
    <w:bookmarkEnd w:id="105"/>
    <w:p>
      <w:pPr>
        <w:spacing w:after="0" w:line="260" w:lineRule="auto"/>
        <w:rPr>
          <w:sz w:val="20"/>
          <w:szCs w:val="20"/>
          <w:color w:val="auto"/>
        </w:rPr>
      </w:pPr>
      <w:r>
        <w:rPr>
          <w:rFonts w:ascii="Arial" w:cs="Arial" w:eastAsia="Arial" w:hAnsi="Arial"/>
          <w:sz w:val="20"/>
          <w:szCs w:val="20"/>
          <w:color w:val="auto"/>
        </w:rPr>
        <w:t>will, and will cause each Subsidiary to, promptly and completely repair and/or restore the affected Collateral in a good and workmanlike manner.</w:t>
      </w:r>
    </w:p>
    <w:p>
      <w:pPr>
        <w:spacing w:after="0" w:line="177" w:lineRule="exact"/>
        <w:rPr>
          <w:sz w:val="20"/>
          <w:szCs w:val="20"/>
          <w:color w:val="auto"/>
        </w:rPr>
      </w:pPr>
    </w:p>
    <w:p>
      <w:pPr>
        <w:ind w:firstLine="1735"/>
        <w:spacing w:after="0" w:line="316" w:lineRule="auto"/>
        <w:tabs>
          <w:tab w:leader="none" w:pos="2606" w:val="left"/>
        </w:tabs>
        <w:numPr>
          <w:ilvl w:val="1"/>
          <w:numId w:val="80"/>
        </w:numPr>
        <w:rPr>
          <w:rFonts w:ascii="Arial" w:cs="Arial" w:eastAsia="Arial" w:hAnsi="Arial"/>
          <w:sz w:val="18"/>
          <w:szCs w:val="18"/>
          <w:color w:val="auto"/>
        </w:rPr>
      </w:pPr>
      <w:r>
        <w:rPr>
          <w:rFonts w:ascii="Arial" w:cs="Arial" w:eastAsia="Arial" w:hAnsi="Arial"/>
          <w:sz w:val="18"/>
          <w:szCs w:val="18"/>
          <w:color w:val="auto"/>
        </w:rPr>
        <w:t>Upon completion of any Permitted Contest, Borrowers shall, and will cause each Subsidiary to, promptly pay the amount due, if any, and deliver to Agent proof of the completion of the contest and payment of the amount due, if any.</w:t>
      </w:r>
    </w:p>
    <w:p>
      <w:pPr>
        <w:spacing w:after="0" w:line="129" w:lineRule="exact"/>
        <w:rPr>
          <w:rFonts w:ascii="Arial" w:cs="Arial" w:eastAsia="Arial" w:hAnsi="Arial"/>
          <w:sz w:val="18"/>
          <w:szCs w:val="18"/>
          <w:color w:val="auto"/>
        </w:rPr>
      </w:pPr>
    </w:p>
    <w:p>
      <w:pPr>
        <w:jc w:val="both"/>
        <w:ind w:firstLine="1735"/>
        <w:spacing w:after="0" w:line="272" w:lineRule="auto"/>
        <w:tabs>
          <w:tab w:leader="none" w:pos="2595" w:val="left"/>
        </w:tabs>
        <w:numPr>
          <w:ilvl w:val="1"/>
          <w:numId w:val="80"/>
        </w:numPr>
        <w:rPr>
          <w:rFonts w:ascii="Arial" w:cs="Arial" w:eastAsia="Arial" w:hAnsi="Arial"/>
          <w:sz w:val="18"/>
          <w:szCs w:val="18"/>
          <w:color w:val="auto"/>
        </w:rPr>
      </w:pPr>
      <w:r>
        <w:rPr>
          <w:rFonts w:ascii="Arial" w:cs="Arial" w:eastAsia="Arial" w:hAnsi="Arial"/>
          <w:sz w:val="18"/>
          <w:szCs w:val="18"/>
          <w:color w:val="auto"/>
        </w:rPr>
        <w:t xml:space="preserve">Each Borrower will maintain (i) property and casualty insurance on all real and personal property on an all risks basis (including the perils of flood, windstorm and quake, if applicable), covering the repair and replacement cost of all such property and coverage, business interruption and rent loss coverages with extended period of indemnity (for the period required by Agent from time to time) and indemnity for extra expense, in each case without application of coinsurance and with agreed amount endorsements, (ii) general and professional liability insurance (including products/completed operations liability coverage), and (iii) such other insurance coverage, in each case against loss or damage of the kinds customarily insured against by Persons engaged in the same or similar business, of such types and in such amounts as are customarily carried under similar circumstances by such other Persons;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no event shall such insurance be in amounts or with coverage less than, or with carriers with credit ratings materially inferior to, any of the insurance or carriers in existence as of the Closing Date (or required to be in existence after the Closing Date under a Financing Document).</w:t>
      </w:r>
    </w:p>
    <w:p>
      <w:pPr>
        <w:spacing w:after="0" w:line="170" w:lineRule="exact"/>
        <w:rPr>
          <w:rFonts w:ascii="Arial" w:cs="Arial" w:eastAsia="Arial" w:hAnsi="Arial"/>
          <w:sz w:val="18"/>
          <w:szCs w:val="18"/>
          <w:color w:val="auto"/>
        </w:rPr>
      </w:pPr>
    </w:p>
    <w:p>
      <w:pPr>
        <w:jc w:val="both"/>
        <w:ind w:firstLine="1735"/>
        <w:spacing w:after="0" w:line="267" w:lineRule="auto"/>
        <w:tabs>
          <w:tab w:leader="none" w:pos="2606" w:val="left"/>
        </w:tabs>
        <w:numPr>
          <w:ilvl w:val="1"/>
          <w:numId w:val="80"/>
        </w:numPr>
        <w:rPr>
          <w:rFonts w:ascii="Arial" w:cs="Arial" w:eastAsia="Arial" w:hAnsi="Arial"/>
          <w:sz w:val="18"/>
          <w:szCs w:val="18"/>
          <w:color w:val="auto"/>
        </w:rPr>
      </w:pPr>
      <w:r>
        <w:rPr>
          <w:rFonts w:ascii="Arial" w:cs="Arial" w:eastAsia="Arial" w:hAnsi="Arial"/>
          <w:sz w:val="18"/>
          <w:szCs w:val="18"/>
          <w:color w:val="auto"/>
        </w:rPr>
        <w:t>On or prior to the Closing Date, and at all times thereafter, each Borrower will cause Agent to be named as an additional insured, assignee and lender loss payee (which shall include, as applicable, identification as mortgagee), as applicable, on each policy of property, casualty or liability insurance required to be maintained pursuant to this Section 4.4 pursuant to endorsements in form and substance reasonably acceptable to Agent. Borrowers shall deliver to Agent and Lenders (i) on the Closing Date, a certificate from Borrowers’ insurance broker dated such date showing the amount of coverage as of such date, and that such policies will include effective waivers (whether under the terms of any such policy or otherwise) by the insurer of all claims for insurance premiums against all loss payees and additional insureds (other than Credit Parties) and all rights of subrogation against all loss payees and additional insureds (other than Credit Parties), and that if all or any part of such policy is canceled, terminated or expires, the insurer will forthwith give notice thereof to each additional insured or loss payee and that no cancellation, reduction in amount or material change in coverage thereof shall be effective until at least thirty (30) days after receipt by each additional insured, assignee and loss payee of written notice thereof (ten (10) days in the case of non-payment of premium), (ii) on an annual basis, and upon the request of any Lender through Agent from time to time all information as to the insurance carried reasonably requested by Agent, (iii) within five (5) Business Days of receipt of notice from any insurer, a copy of any notice of cancellation, nonrenewal or material change in coverage from that existing on the date of this Agreement,</w:t>
      </w:r>
    </w:p>
    <w:p>
      <w:pPr>
        <w:spacing w:after="0" w:line="5" w:lineRule="exact"/>
        <w:rPr>
          <w:rFonts w:ascii="Arial" w:cs="Arial" w:eastAsia="Arial" w:hAnsi="Arial"/>
          <w:sz w:val="18"/>
          <w:szCs w:val="18"/>
          <w:color w:val="auto"/>
        </w:rPr>
      </w:pPr>
    </w:p>
    <w:p>
      <w:pPr>
        <w:ind w:firstLine="8"/>
        <w:spacing w:after="0" w:line="269" w:lineRule="auto"/>
        <w:tabs>
          <w:tab w:leader="none" w:pos="353" w:val="left"/>
        </w:tabs>
        <w:numPr>
          <w:ilvl w:val="0"/>
          <w:numId w:val="81"/>
        </w:numPr>
        <w:rPr>
          <w:rFonts w:ascii="Arial" w:cs="Arial" w:eastAsia="Arial" w:hAnsi="Arial"/>
          <w:sz w:val="19"/>
          <w:szCs w:val="19"/>
          <w:color w:val="auto"/>
        </w:rPr>
      </w:pPr>
      <w:r>
        <w:rPr>
          <w:rFonts w:ascii="Arial" w:cs="Arial" w:eastAsia="Arial" w:hAnsi="Arial"/>
          <w:sz w:val="19"/>
          <w:szCs w:val="19"/>
          <w:color w:val="auto"/>
        </w:rPr>
        <w:t>forthwith, notice of any cancellation or nonrenewal of coverage by any Borrower, and (v) at least twenty (20) Business Days prior to expiration of any policy of insurance, evidence of renewal of such insurance upon the terms and conditions herein required.</w:t>
      </w:r>
    </w:p>
    <w:p>
      <w:pPr>
        <w:spacing w:after="0" w:line="169" w:lineRule="exact"/>
        <w:rPr>
          <w:rFonts w:ascii="Arial" w:cs="Arial" w:eastAsia="Arial" w:hAnsi="Arial"/>
          <w:sz w:val="19"/>
          <w:szCs w:val="19"/>
          <w:color w:val="auto"/>
        </w:rPr>
      </w:pPr>
    </w:p>
    <w:p>
      <w:pPr>
        <w:jc w:val="both"/>
        <w:ind w:firstLine="1735"/>
        <w:spacing w:after="0" w:line="257" w:lineRule="auto"/>
        <w:tabs>
          <w:tab w:leader="none" w:pos="2595" w:val="left"/>
        </w:tabs>
        <w:numPr>
          <w:ilvl w:val="1"/>
          <w:numId w:val="81"/>
        </w:numPr>
        <w:rPr>
          <w:rFonts w:ascii="Arial" w:cs="Arial" w:eastAsia="Arial" w:hAnsi="Arial"/>
          <w:sz w:val="19"/>
          <w:szCs w:val="19"/>
          <w:color w:val="auto"/>
        </w:rPr>
      </w:pPr>
      <w:r>
        <w:rPr>
          <w:rFonts w:ascii="Arial" w:cs="Arial" w:eastAsia="Arial" w:hAnsi="Arial"/>
          <w:sz w:val="19"/>
          <w:szCs w:val="19"/>
          <w:color w:val="auto"/>
        </w:rPr>
        <w:t>In the event any Borrower fails to provide Agent with evidence of the insurance coverage required by this Agreement promptly following request, Agent may purchase insurance at Borrowers’ expense to protect Agent’s interests in the Collateral. This insurance may, but need not, protect such Borrower’s interests. The coverage purchased by Agent may not pay any claim made by such Borrower or any claim that is made against such Borrower in connection with the Collateral. Such Borrower may later cancel any insurance purchased by Agent, but only after providing Agent with evidence that such Borrower has obtained insurance as required by this Agreement. If Agent purchases insurance for the Collateral, Borrowers will be responsible for the costs of that insurance to the fullest extent provided by law, including interest and other charges imposed by Agent in connection with the placement of the insurance, until the effective date of the cancellation or expiration of the insurance. The costs of the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06" w:name="page107"/>
    <w:bookmarkEnd w:id="106"/>
    <w:p>
      <w:pPr>
        <w:jc w:val="both"/>
        <w:ind w:right="20"/>
        <w:spacing w:after="0" w:line="260" w:lineRule="auto"/>
        <w:rPr>
          <w:sz w:val="20"/>
          <w:szCs w:val="20"/>
          <w:color w:val="auto"/>
        </w:rPr>
      </w:pPr>
      <w:r>
        <w:rPr>
          <w:rFonts w:ascii="Arial" w:cs="Arial" w:eastAsia="Arial" w:hAnsi="Arial"/>
          <w:sz w:val="20"/>
          <w:szCs w:val="20"/>
          <w:color w:val="auto"/>
        </w:rPr>
        <w:t>insurance may be added to the Obligations. The costs of the insurance may be more than the cost of insurance such Borrower is able to obtain on its own.</w:t>
      </w:r>
    </w:p>
    <w:p>
      <w:pPr>
        <w:spacing w:after="0" w:line="171"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b w:val="1"/>
          <w:bCs w:val="1"/>
          <w:color w:val="auto"/>
        </w:rPr>
        <w:t xml:space="preserve">Section 4.5 </w:t>
      </w:r>
      <w:r>
        <w:rPr>
          <w:rFonts w:ascii="Arial" w:cs="Arial" w:eastAsia="Arial" w:hAnsi="Arial"/>
          <w:sz w:val="20"/>
          <w:szCs w:val="20"/>
          <w:u w:val="single" w:color="auto"/>
          <w:color w:val="auto"/>
        </w:rPr>
        <w:t>Compliance with Laws and Material Contracts</w:t>
      </w:r>
      <w:r>
        <w:rPr>
          <w:rFonts w:ascii="Arial" w:cs="Arial" w:eastAsia="Arial" w:hAnsi="Arial"/>
          <w:sz w:val="20"/>
          <w:szCs w:val="20"/>
          <w:color w:val="auto"/>
        </w:rPr>
        <w:t>. Each Borrower will comply, and cause each Subsidiary to</w:t>
      </w:r>
      <w:r>
        <w:rPr>
          <w:rFonts w:ascii="Arial" w:cs="Arial" w:eastAsia="Arial" w:hAnsi="Arial"/>
          <w:sz w:val="20"/>
          <w:szCs w:val="20"/>
          <w:b w:val="1"/>
          <w:bCs w:val="1"/>
          <w:color w:val="auto"/>
        </w:rPr>
        <w:t xml:space="preserve"> </w:t>
      </w:r>
      <w:r>
        <w:rPr>
          <w:rFonts w:ascii="Arial" w:cs="Arial" w:eastAsia="Arial" w:hAnsi="Arial"/>
          <w:sz w:val="20"/>
          <w:szCs w:val="20"/>
          <w:color w:val="auto"/>
        </w:rPr>
        <w:t>comply, with the requirements of all applicable Laws and Material Contracts, except to the extent that failure to so comply would not reasonably be expected to (a) have a Material Adverse Effect, or (b) result in any Lien upon a material portion of the assets of any such Person in favor of any Governmental Authority.</w:t>
      </w:r>
    </w:p>
    <w:p>
      <w:pPr>
        <w:spacing w:after="0" w:line="183"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9"/>
          <w:szCs w:val="19"/>
          <w:b w:val="1"/>
          <w:bCs w:val="1"/>
          <w:color w:val="auto"/>
        </w:rPr>
        <w:t xml:space="preserve">Section 4.6 </w:t>
      </w:r>
      <w:r>
        <w:rPr>
          <w:rFonts w:ascii="Arial" w:cs="Arial" w:eastAsia="Arial" w:hAnsi="Arial"/>
          <w:sz w:val="19"/>
          <w:szCs w:val="19"/>
          <w:u w:val="single" w:color="auto"/>
          <w:color w:val="auto"/>
        </w:rPr>
        <w:t>Inspection of Property, Books and Records</w:t>
      </w:r>
      <w:r>
        <w:rPr>
          <w:rFonts w:ascii="Arial" w:cs="Arial" w:eastAsia="Arial" w:hAnsi="Arial"/>
          <w:sz w:val="19"/>
          <w:szCs w:val="19"/>
          <w:color w:val="auto"/>
        </w:rPr>
        <w:t>. Each Borrower will keep, and will cause each Subsidiary to keep,</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proper books of record substantially in accordance with GAAP in which full, true and correct entries shall be made of all dealings and transactions in relation to its business and activities; and will permit, and will cause each Subsidiary to permit, at the sole cost of the applicable Borrower or any applicable Subsidiary, representatives of Agent and of any Lender (if accompanied by Agent) to visit and inspect any of their respective properties, to examine and make abstracts or copies from any of their respective books and records, to conduct a collateral audit and analysis of their respective operations and the Collateral, to verify the amount and age of the Accounts, the identity and credit of the respective Account Debtors, to review the billing practices of Borrowers and to discuss their respective affairs, finances and accounts with their respective officers, employees and independent public accountants as often as may reasonably be desired;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absence of a Default or an Event of Default, such rights pursuant to this Section 4.6 may be exercised (a) during reasonable business hours, (b) on at least two (2) Business Days advance written notice and (c) not more than twice per calendar year at the Borrowers’ expense; provided further that the restrictions set forth in clause (a) through (c) shall not apply during the existence and continuance of any Event of Default.</w:t>
      </w:r>
    </w:p>
    <w:p>
      <w:pPr>
        <w:spacing w:after="0" w:line="184"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 xml:space="preserve">Section 4.7 </w:t>
      </w:r>
      <w:r>
        <w:rPr>
          <w:rFonts w:ascii="Arial" w:cs="Arial" w:eastAsia="Arial" w:hAnsi="Arial"/>
          <w:sz w:val="20"/>
          <w:szCs w:val="20"/>
          <w:u w:val="single" w:color="auto"/>
          <w:color w:val="auto"/>
        </w:rPr>
        <w:t>Use of Proceeds</w:t>
      </w:r>
      <w:r>
        <w:rPr>
          <w:rFonts w:ascii="Arial" w:cs="Arial" w:eastAsia="Arial" w:hAnsi="Arial"/>
          <w:sz w:val="20"/>
          <w:szCs w:val="20"/>
          <w:color w:val="auto"/>
        </w:rPr>
        <w:t>. Borrowers shall use the proceeds of the Loans solely for (a) transaction fees incurred in</w:t>
      </w:r>
      <w:r>
        <w:rPr>
          <w:rFonts w:ascii="Arial" w:cs="Arial" w:eastAsia="Arial" w:hAnsi="Arial"/>
          <w:sz w:val="20"/>
          <w:szCs w:val="20"/>
          <w:b w:val="1"/>
          <w:bCs w:val="1"/>
          <w:color w:val="auto"/>
        </w:rPr>
        <w:t xml:space="preserve"> </w:t>
      </w:r>
      <w:r>
        <w:rPr>
          <w:rFonts w:ascii="Arial" w:cs="Arial" w:eastAsia="Arial" w:hAnsi="Arial"/>
          <w:sz w:val="20"/>
          <w:szCs w:val="20"/>
          <w:color w:val="auto"/>
        </w:rPr>
        <w:t>connection with the Financing Documents, and (b) for working capital needs of Borrowers and their Subsidiaries. No portion of the proceeds of the Loans will be used for family, personal, agricultural or household use.</w:t>
      </w:r>
    </w:p>
    <w:p>
      <w:pPr>
        <w:spacing w:after="0" w:line="177"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8"/>
          <w:szCs w:val="18"/>
          <w:b w:val="1"/>
          <w:bCs w:val="1"/>
          <w:color w:val="auto"/>
        </w:rPr>
        <w:t xml:space="preserve">Section 4.8 </w:t>
      </w:r>
      <w:r>
        <w:rPr>
          <w:rFonts w:ascii="Arial" w:cs="Arial" w:eastAsia="Arial" w:hAnsi="Arial"/>
          <w:sz w:val="18"/>
          <w:szCs w:val="18"/>
          <w:u w:val="single" w:color="auto"/>
          <w:color w:val="auto"/>
        </w:rPr>
        <w:t>Estoppel Certificates</w:t>
      </w:r>
      <w:r>
        <w:rPr>
          <w:rFonts w:ascii="Arial" w:cs="Arial" w:eastAsia="Arial" w:hAnsi="Arial"/>
          <w:sz w:val="18"/>
          <w:szCs w:val="18"/>
          <w:color w:val="auto"/>
        </w:rPr>
        <w:t>. After written request by Agent which, so long as no Event of Default has occurred and</w:t>
      </w:r>
      <w:r>
        <w:rPr>
          <w:rFonts w:ascii="Arial" w:cs="Arial" w:eastAsia="Arial" w:hAnsi="Arial"/>
          <w:sz w:val="18"/>
          <w:szCs w:val="18"/>
          <w:b w:val="1"/>
          <w:bCs w:val="1"/>
          <w:color w:val="auto"/>
        </w:rPr>
        <w:t xml:space="preserve"> </w:t>
      </w:r>
      <w:r>
        <w:rPr>
          <w:rFonts w:ascii="Arial" w:cs="Arial" w:eastAsia="Arial" w:hAnsi="Arial"/>
          <w:sz w:val="18"/>
          <w:szCs w:val="18"/>
          <w:color w:val="auto"/>
        </w:rPr>
        <w:t>is continuing, shall be limited to one (1) such request per fiscal year of Borrowers, Borrowers, within fifteen (15) days and at their expense, will furnish Agent with a statement, duly acknowledged and certified, setting forth (a) the amount of the original principal amount of the Notes, and the unpaid principal amount of the Notes, (b) the rate of interest of the Notes, (c) the date payments of interest and/or principal were last paid, (d) any offsets or defenses to the payment of the Obligations, and if any are alleged, the nature thereof, (e) that the Notes and this Agreement have not been modified or if modified, giving particulars of such modification, and (f) that there has occurred and is then continuing no Default or if such Default exists, the nature thereof, the period of time it has existed, and the action being taken to remedy such Default. After written request by Agent, which, so long as no Event of Default has occurred and is continuing, shall be limited to one (1) such request per fiscal year of Borrowers, Borrowers, within fifteen (15) days and at their expense, will furnish Agent with a certificate, signed by a Responsible Officer of Borrowers, updating all of the representations and warranties contained in this Agreement and the other Financing Documents and making any required disclosures required to make such representations and warranties to be true, accurate and complete (after taking into such disclosures as if such representations and warranties provided for disclosure schedules) and certifying that all of the representations and warranties contained in this Agreement and the other Financing Documents, as updated pursuant to such certificate and such required disclosures, are true, accurate and complete in all material respects as of the date of such certificate.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07" w:name="page108"/>
    <w:bookmarkEnd w:id="107"/>
    <w:p>
      <w:pPr>
        <w:ind w:left="880"/>
        <w:spacing w:after="0"/>
        <w:tabs>
          <w:tab w:leader="none" w:pos="2420" w:val="left"/>
        </w:tabs>
        <w:rPr>
          <w:sz w:val="20"/>
          <w:szCs w:val="20"/>
          <w:color w:val="auto"/>
        </w:rPr>
      </w:pPr>
      <w:r>
        <w:rPr>
          <w:rFonts w:ascii="Arial" w:cs="Arial" w:eastAsia="Arial" w:hAnsi="Arial"/>
          <w:sz w:val="20"/>
          <w:szCs w:val="20"/>
          <w:b w:val="1"/>
          <w:bCs w:val="1"/>
          <w:color w:val="auto"/>
        </w:rPr>
        <w:t>Section 4.9</w:t>
      </w:r>
      <w:r>
        <w:rPr>
          <w:sz w:val="20"/>
          <w:szCs w:val="20"/>
          <w:color w:val="auto"/>
        </w:rPr>
        <w:tab/>
      </w:r>
      <w:r>
        <w:rPr>
          <w:rFonts w:ascii="Arial" w:cs="Arial" w:eastAsia="Arial" w:hAnsi="Arial"/>
          <w:sz w:val="18"/>
          <w:szCs w:val="18"/>
          <w:u w:val="single" w:color="auto"/>
          <w:color w:val="auto"/>
        </w:rPr>
        <w:t>Notices of Material Contracts, Litigation and Defaults</w:t>
      </w:r>
      <w:r>
        <w:rPr>
          <w:rFonts w:ascii="Arial" w:cs="Arial" w:eastAsia="Arial" w:hAnsi="Arial"/>
          <w:sz w:val="18"/>
          <w:szCs w:val="18"/>
          <w:color w:val="auto"/>
        </w:rPr>
        <w:t>.</w:t>
      </w:r>
    </w:p>
    <w:p>
      <w:pPr>
        <w:spacing w:after="0" w:line="222" w:lineRule="exact"/>
        <w:rPr>
          <w:sz w:val="20"/>
          <w:szCs w:val="20"/>
          <w:color w:val="auto"/>
        </w:rPr>
      </w:pPr>
    </w:p>
    <w:p>
      <w:pPr>
        <w:jc w:val="both"/>
        <w:ind w:firstLine="1735"/>
        <w:spacing w:after="0" w:line="242" w:lineRule="auto"/>
        <w:tabs>
          <w:tab w:leader="none" w:pos="2595" w:val="left"/>
        </w:tabs>
        <w:numPr>
          <w:ilvl w:val="1"/>
          <w:numId w:val="82"/>
        </w:numPr>
        <w:rPr>
          <w:rFonts w:ascii="Arial" w:cs="Arial" w:eastAsia="Arial" w:hAnsi="Arial"/>
          <w:sz w:val="20"/>
          <w:szCs w:val="20"/>
          <w:color w:val="auto"/>
        </w:rPr>
      </w:pPr>
      <w:r>
        <w:rPr>
          <w:rFonts w:ascii="Arial" w:cs="Arial" w:eastAsia="Arial" w:hAnsi="Arial"/>
          <w:sz w:val="20"/>
          <w:szCs w:val="20"/>
          <w:color w:val="auto"/>
        </w:rPr>
        <w:t xml:space="preserve">Borrower shall provide three (3) Business Days (i) written notice to Agent of Borrower (1) executing and delivering any amendment, consent, waiver or other modification to any Material Contract which is material and adverse to such Material Contract or which would reasonably be expected to have a Material Adverse Effect, (2) receiving or delivering any notice of termination or default or similar notice in connection with any Material Contract, or (3) with respect to any Royalty Agreement, receiving any notice decreasing or ceasing the payment of any Royalties thereunder; </w:t>
      </w:r>
      <w:r>
        <w:rPr>
          <w:rFonts w:ascii="Arial" w:cs="Arial" w:eastAsia="Arial" w:hAnsi="Arial"/>
          <w:sz w:val="20"/>
          <w:szCs w:val="20"/>
          <w:i w:val="1"/>
          <w:iCs w:val="1"/>
          <w:color w:val="auto"/>
        </w:rPr>
        <w:t>provided</w:t>
      </w:r>
      <w:r>
        <w:rPr>
          <w:rFonts w:ascii="Arial" w:cs="Arial" w:eastAsia="Arial" w:hAnsi="Arial"/>
          <w:sz w:val="20"/>
          <w:szCs w:val="20"/>
          <w:color w:val="auto"/>
        </w:rPr>
        <w:t>, that this clause (3) shall not require Borrower to breach the terms and conditions of any confidentiality agreement in connection a Royalty Agreement and existing prior to the Closing Date, and (ii) together with delivery of the Compliance Certificate due after such date (included as an update to any such schedule delivered therewith) the execution of any new Material Contract and/or any new material amendment, consent, waiver or other modification to any Material Contract not previously disclosed.</w:t>
      </w:r>
    </w:p>
    <w:p>
      <w:pPr>
        <w:spacing w:after="0" w:line="194" w:lineRule="exact"/>
        <w:rPr>
          <w:rFonts w:ascii="Arial" w:cs="Arial" w:eastAsia="Arial" w:hAnsi="Arial"/>
          <w:sz w:val="20"/>
          <w:szCs w:val="20"/>
          <w:color w:val="auto"/>
        </w:rPr>
      </w:pPr>
    </w:p>
    <w:p>
      <w:pPr>
        <w:jc w:val="both"/>
        <w:ind w:firstLine="1735"/>
        <w:spacing w:after="0" w:line="255" w:lineRule="auto"/>
        <w:tabs>
          <w:tab w:leader="none" w:pos="2606" w:val="left"/>
        </w:tabs>
        <w:numPr>
          <w:ilvl w:val="1"/>
          <w:numId w:val="82"/>
        </w:numPr>
        <w:rPr>
          <w:rFonts w:ascii="Arial" w:cs="Arial" w:eastAsia="Arial" w:hAnsi="Arial"/>
          <w:sz w:val="19"/>
          <w:szCs w:val="19"/>
          <w:color w:val="auto"/>
        </w:rPr>
      </w:pPr>
      <w:r>
        <w:rPr>
          <w:rFonts w:ascii="Arial" w:cs="Arial" w:eastAsia="Arial" w:hAnsi="Arial"/>
          <w:sz w:val="19"/>
          <w:szCs w:val="19"/>
          <w:color w:val="auto"/>
        </w:rPr>
        <w:t xml:space="preserve">Borrowers will give prompt written notice to Agent (but in any event within five (5) Business Days) (i) of any litigation or governmental proceedings pending or threatened (in writing) against Borrowers or other Credit Party which would reasonably be expected to have a Material Adverse Effect with respect to Borrowers or any other Credit Party or which in any manner calls into question the validity or enforceability of any Financing Document, (ii) upon any Borrower becoming aware of the existence of any Default or Event of Default, (iii) of any strikes or other labor disputes pending or, to any Borrower’s knowledge, threatened in writing against any Credit Party, which would reasonably be expected to have a Material Adverse Effect (iv) if there is any infringement or written claim of infringement by any other Person with respect to any Intellectual Property rights of any Credit Party that would reasonably be expected to have a Material Adverse Effect, or if there is any written claim by any other Person that any Credit Party in the conduct of its business is infringing on the Intellectual Property rights of others and an adverse resolution of such claim would reasonably be expected to have a Material Adverse Effect, and (v) of all returns, recoveries, disputes and claims that involve more than $250,000. Borrowers represent and warrant that </w:t>
      </w:r>
      <w:r>
        <w:rPr>
          <w:rFonts w:ascii="Arial" w:cs="Arial" w:eastAsia="Arial" w:hAnsi="Arial"/>
          <w:sz w:val="19"/>
          <w:szCs w:val="19"/>
          <w:u w:val="single" w:color="auto"/>
          <w:color w:val="auto"/>
        </w:rPr>
        <w:t>Schedule 4.9</w:t>
      </w:r>
      <w:r>
        <w:rPr>
          <w:rFonts w:ascii="Arial" w:cs="Arial" w:eastAsia="Arial" w:hAnsi="Arial"/>
          <w:sz w:val="19"/>
          <w:szCs w:val="19"/>
          <w:color w:val="auto"/>
        </w:rPr>
        <w:t xml:space="preserve"> sets forth a complete list of all matters existing as of the Closing Date for which notice could be required under this Section and all litigation or governmental proceedings pending or threatened (in writing) against Borrowers or other Credit Party as of the Closing Date.</w:t>
      </w:r>
    </w:p>
    <w:p>
      <w:pPr>
        <w:spacing w:after="0" w:line="181" w:lineRule="exact"/>
        <w:rPr>
          <w:rFonts w:ascii="Arial" w:cs="Arial" w:eastAsia="Arial" w:hAnsi="Arial"/>
          <w:sz w:val="19"/>
          <w:szCs w:val="19"/>
          <w:color w:val="auto"/>
        </w:rPr>
      </w:pPr>
    </w:p>
    <w:p>
      <w:pPr>
        <w:jc w:val="both"/>
        <w:ind w:right="20" w:firstLine="1735"/>
        <w:spacing w:after="0" w:line="309" w:lineRule="auto"/>
        <w:tabs>
          <w:tab w:leader="none" w:pos="2595" w:val="left"/>
        </w:tabs>
        <w:numPr>
          <w:ilvl w:val="1"/>
          <w:numId w:val="82"/>
        </w:numPr>
        <w:rPr>
          <w:rFonts w:ascii="Arial" w:cs="Arial" w:eastAsia="Arial" w:hAnsi="Arial"/>
          <w:sz w:val="16"/>
          <w:szCs w:val="16"/>
          <w:color w:val="auto"/>
        </w:rPr>
      </w:pPr>
      <w:r>
        <w:rPr>
          <w:rFonts w:ascii="Arial" w:cs="Arial" w:eastAsia="Arial" w:hAnsi="Arial"/>
          <w:sz w:val="16"/>
          <w:szCs w:val="16"/>
          <w:color w:val="auto"/>
        </w:rPr>
        <w:t>Borrower shall, and shall cause each Credit Party, to provide such further information (including copies of such documentation) as Agent or any Lender shall reasonably request with respect to any of the events or notices described in clauses (a) and</w:t>
      </w:r>
    </w:p>
    <w:p>
      <w:pPr>
        <w:spacing w:after="0" w:line="1" w:lineRule="exact"/>
        <w:rPr>
          <w:rFonts w:ascii="Arial" w:cs="Arial" w:eastAsia="Arial" w:hAnsi="Arial"/>
          <w:sz w:val="16"/>
          <w:szCs w:val="16"/>
          <w:color w:val="auto"/>
        </w:rPr>
      </w:pPr>
    </w:p>
    <w:p>
      <w:pPr>
        <w:jc w:val="both"/>
        <w:ind w:firstLine="8"/>
        <w:spacing w:after="0" w:line="276" w:lineRule="auto"/>
        <w:tabs>
          <w:tab w:leader="none" w:pos="282" w:val="left"/>
        </w:tabs>
        <w:numPr>
          <w:ilvl w:val="0"/>
          <w:numId w:val="83"/>
        </w:numPr>
        <w:rPr>
          <w:rFonts w:ascii="Arial" w:cs="Arial" w:eastAsia="Arial" w:hAnsi="Arial"/>
          <w:sz w:val="18"/>
          <w:szCs w:val="18"/>
          <w:color w:val="auto"/>
        </w:rPr>
      </w:pPr>
      <w:r>
        <w:rPr>
          <w:rFonts w:ascii="Arial" w:cs="Arial" w:eastAsia="Arial" w:hAnsi="Arial"/>
          <w:sz w:val="18"/>
          <w:szCs w:val="18"/>
          <w:color w:val="auto"/>
        </w:rPr>
        <w:t>above. From the date hereof and continuing through the termination of this Agreement, Borrower shall, and shall cause each Credit Party to, make reasonably available to Agent and each Lender, without expense to Agent or any Lender, each Credit Party’s officers, employees and agents and books, to the extent that Agent or any Lender may deem them reasonably necessary to prosecute or defend any third-party suit or proceeding instituted by or against Agent or any Lender with respect to any Collateral or relating to a Credit Party.</w:t>
      </w:r>
    </w:p>
    <w:p>
      <w:pPr>
        <w:spacing w:after="0" w:line="165" w:lineRule="exact"/>
        <w:rPr>
          <w:rFonts w:ascii="Arial" w:cs="Arial" w:eastAsia="Arial" w:hAnsi="Arial"/>
          <w:sz w:val="18"/>
          <w:szCs w:val="18"/>
          <w:color w:val="auto"/>
        </w:rPr>
      </w:pPr>
    </w:p>
    <w:p>
      <w:pPr>
        <w:jc w:val="both"/>
        <w:ind w:firstLine="1735"/>
        <w:spacing w:after="0" w:line="291" w:lineRule="auto"/>
        <w:tabs>
          <w:tab w:leader="none" w:pos="2606" w:val="left"/>
        </w:tabs>
        <w:numPr>
          <w:ilvl w:val="1"/>
          <w:numId w:val="83"/>
        </w:numPr>
        <w:rPr>
          <w:rFonts w:ascii="Arial" w:cs="Arial" w:eastAsia="Arial" w:hAnsi="Arial"/>
          <w:sz w:val="18"/>
          <w:szCs w:val="18"/>
          <w:color w:val="auto"/>
        </w:rPr>
      </w:pPr>
      <w:r>
        <w:rPr>
          <w:rFonts w:ascii="Arial" w:cs="Arial" w:eastAsia="Arial" w:hAnsi="Arial"/>
          <w:sz w:val="18"/>
          <w:szCs w:val="18"/>
          <w:color w:val="auto"/>
        </w:rPr>
        <w:t>Borrower shall, and shall cause each Credit Party to, promptly (but in any event within five (5) Business Days of any request therefor) deliver to Agent information and documentation reasonably requested by Agent or any Lender for purposes of compliance with applicable “know your customer” requirements under the PATRIOT Act or other applicable anti-money laundering laws.</w:t>
      </w:r>
    </w:p>
    <w:p>
      <w:pPr>
        <w:spacing w:after="0" w:line="14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b w:val="1"/>
          <w:bCs w:val="1"/>
          <w:color w:val="auto"/>
        </w:rPr>
        <w:t xml:space="preserve">Section 4.10 </w:t>
      </w:r>
      <w:r>
        <w:rPr>
          <w:rFonts w:ascii="Arial" w:cs="Arial" w:eastAsia="Arial" w:hAnsi="Arial"/>
          <w:sz w:val="20"/>
          <w:szCs w:val="20"/>
          <w:u w:val="single" w:color="auto"/>
          <w:color w:val="auto"/>
        </w:rPr>
        <w:t>Hazardous Materials; Remediation</w:t>
      </w:r>
      <w:r>
        <w:rPr>
          <w:rFonts w:ascii="Arial" w:cs="Arial" w:eastAsia="Arial" w:hAnsi="Arial"/>
          <w:sz w:val="20"/>
          <w:szCs w:val="20"/>
          <w:color w:val="auto"/>
        </w:rPr>
        <w:t>. If any release or disposal of Hazardous Materials shall occur or shall</w:t>
      </w:r>
      <w:r>
        <w:rPr>
          <w:rFonts w:ascii="Arial" w:cs="Arial" w:eastAsia="Arial" w:hAnsi="Arial"/>
          <w:sz w:val="20"/>
          <w:szCs w:val="20"/>
          <w:b w:val="1"/>
          <w:bCs w:val="1"/>
          <w:color w:val="auto"/>
        </w:rPr>
        <w:t xml:space="preserve"> </w:t>
      </w:r>
      <w:r>
        <w:rPr>
          <w:rFonts w:ascii="Arial" w:cs="Arial" w:eastAsia="Arial" w:hAnsi="Arial"/>
          <w:sz w:val="20"/>
          <w:szCs w:val="20"/>
          <w:color w:val="auto"/>
        </w:rPr>
        <w:t>have occurred on any real property owned or leased by a Credit Party or any other assets of any Borrower or any other Credit Party, such Borrower will cause, or direct the applicable Credit Party to cause, the prompt containment and removal of such Hazardous Materials and the remediation of such real property or other assets to the extent required to comply with all applicable Environmental Laws and to preserve the value of such real property or other assets except as would not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8" w:name="page109"/>
    <w:bookmarkEnd w:id="108"/>
    <w:p>
      <w:pPr>
        <w:jc w:val="both"/>
        <w:spacing w:after="0" w:line="246" w:lineRule="auto"/>
        <w:rPr>
          <w:sz w:val="20"/>
          <w:szCs w:val="20"/>
          <w:color w:val="auto"/>
        </w:rPr>
      </w:pPr>
      <w:r>
        <w:rPr>
          <w:rFonts w:ascii="Arial" w:cs="Arial" w:eastAsia="Arial" w:hAnsi="Arial"/>
          <w:sz w:val="20"/>
          <w:szCs w:val="20"/>
          <w:color w:val="auto"/>
        </w:rPr>
        <w:t>reasonably be expected to result in a Material Adverse Effect. Without limiting the generality of the foregoing, each Borrower shall, and shall cause each other Credit Party to, comply with each Environmental Law requiring the performance at any real property by any Credit Party of activities in response to the release or threatened release of a Hazardous Material except as would not reasonably be expected to have a Material Adverse Effect.</w:t>
      </w:r>
    </w:p>
    <w:p>
      <w:pPr>
        <w:spacing w:after="0" w:line="185"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0"/>
          <w:szCs w:val="20"/>
          <w:b w:val="1"/>
          <w:bCs w:val="1"/>
          <w:color w:val="auto"/>
        </w:rPr>
        <w:t>Section 4.11</w:t>
      </w:r>
      <w:r>
        <w:rPr>
          <w:sz w:val="20"/>
          <w:szCs w:val="20"/>
          <w:color w:val="auto"/>
        </w:rPr>
        <w:tab/>
      </w:r>
      <w:r>
        <w:rPr>
          <w:rFonts w:ascii="Arial" w:cs="Arial" w:eastAsia="Arial" w:hAnsi="Arial"/>
          <w:sz w:val="16"/>
          <w:szCs w:val="16"/>
          <w:u w:val="single" w:color="auto"/>
          <w:color w:val="auto"/>
        </w:rPr>
        <w:t>Further Assurances</w:t>
      </w:r>
      <w:r>
        <w:rPr>
          <w:rFonts w:ascii="Arial" w:cs="Arial" w:eastAsia="Arial" w:hAnsi="Arial"/>
          <w:sz w:val="16"/>
          <w:szCs w:val="16"/>
          <w:color w:val="auto"/>
        </w:rPr>
        <w:t>.</w:t>
      </w:r>
    </w:p>
    <w:p>
      <w:pPr>
        <w:spacing w:after="0" w:line="222" w:lineRule="exact"/>
        <w:rPr>
          <w:sz w:val="20"/>
          <w:szCs w:val="20"/>
          <w:color w:val="auto"/>
        </w:rPr>
      </w:pPr>
    </w:p>
    <w:p>
      <w:pPr>
        <w:jc w:val="both"/>
        <w:ind w:firstLine="1735"/>
        <w:spacing w:after="0" w:line="257" w:lineRule="auto"/>
        <w:tabs>
          <w:tab w:leader="none" w:pos="2595" w:val="left"/>
        </w:tabs>
        <w:numPr>
          <w:ilvl w:val="0"/>
          <w:numId w:val="84"/>
        </w:numPr>
        <w:rPr>
          <w:rFonts w:ascii="Arial" w:cs="Arial" w:eastAsia="Arial" w:hAnsi="Arial"/>
          <w:sz w:val="19"/>
          <w:szCs w:val="19"/>
          <w:color w:val="auto"/>
        </w:rPr>
      </w:pPr>
      <w:r>
        <w:rPr>
          <w:rFonts w:ascii="Arial" w:cs="Arial" w:eastAsia="Arial" w:hAnsi="Arial"/>
          <w:sz w:val="19"/>
          <w:szCs w:val="19"/>
          <w:color w:val="auto"/>
        </w:rPr>
        <w:t>Each Borrower will, and will cause each Subsidiary to, at its own cost and expense, promptly and duly take, execute, acknowledge and deliver all such further acts, documents and assurances as may from time to time be necessary or as Agent or the Required Lenders may from time to time reasonably request in order to carry out the intent and purposes of the Financing Documents and the transactions contemplated thereby, including all such actions to (i) establish, create, preserve, protect and perfect a first priority Lien (subject only to Permitted Liens) in favor of Agent for itself and for the benefit of Lenders on the Collateral (including Collateral acquired after the Closing Date), (ii) unless Agent shall agree otherwise in writing, cause all Subsidiaries of Borrowers (other than Excluded Foreign Subsidiaries) to be jointly and severally obligated with the other Borrowers under all covenants and obligations under this Agreement, including the obligation to repay the Obligations.</w:t>
      </w:r>
    </w:p>
    <w:p>
      <w:pPr>
        <w:spacing w:after="0" w:line="180" w:lineRule="exact"/>
        <w:rPr>
          <w:rFonts w:ascii="Arial" w:cs="Arial" w:eastAsia="Arial" w:hAnsi="Arial"/>
          <w:sz w:val="19"/>
          <w:szCs w:val="19"/>
          <w:color w:val="auto"/>
        </w:rPr>
      </w:pPr>
    </w:p>
    <w:p>
      <w:pPr>
        <w:jc w:val="both"/>
        <w:ind w:firstLine="1735"/>
        <w:spacing w:after="0" w:line="244" w:lineRule="auto"/>
        <w:tabs>
          <w:tab w:leader="none" w:pos="2606" w:val="left"/>
        </w:tabs>
        <w:numPr>
          <w:ilvl w:val="0"/>
          <w:numId w:val="84"/>
        </w:numPr>
        <w:rPr>
          <w:rFonts w:ascii="Arial" w:cs="Arial" w:eastAsia="Arial" w:hAnsi="Arial"/>
          <w:sz w:val="20"/>
          <w:szCs w:val="20"/>
          <w:color w:val="auto"/>
        </w:rPr>
      </w:pPr>
      <w:r>
        <w:rPr>
          <w:rFonts w:ascii="Arial" w:cs="Arial" w:eastAsia="Arial" w:hAnsi="Arial"/>
          <w:sz w:val="20"/>
          <w:szCs w:val="20"/>
          <w:color w:val="auto"/>
        </w:rPr>
        <w:t>Upon receipt of an affidavit of an authorized representative of Agent or a Lender as to the loss, theft, destruction or mutilation of any Note or any other Financing Document which is not of public record, and, in the case of any such mutilation, upon surrender and cancellation of such Note or other applicable Financing Document, Borrowers will issue, in lieu thereof, a replacement Note or other applicable Financing Document, dated the date of such lost, stolen, destroyed or mutilated Note or other Financing Document in the same principal amount thereof and otherwise of like tenor.</w:t>
      </w:r>
    </w:p>
    <w:p>
      <w:pPr>
        <w:spacing w:after="0" w:line="194" w:lineRule="exact"/>
        <w:rPr>
          <w:rFonts w:ascii="Arial" w:cs="Arial" w:eastAsia="Arial" w:hAnsi="Arial"/>
          <w:sz w:val="20"/>
          <w:szCs w:val="20"/>
          <w:color w:val="auto"/>
        </w:rPr>
      </w:pPr>
    </w:p>
    <w:p>
      <w:pPr>
        <w:jc w:val="both"/>
        <w:ind w:firstLine="1735"/>
        <w:spacing w:after="0" w:line="257" w:lineRule="auto"/>
        <w:tabs>
          <w:tab w:leader="none" w:pos="2595" w:val="left"/>
        </w:tabs>
        <w:numPr>
          <w:ilvl w:val="0"/>
          <w:numId w:val="84"/>
        </w:numPr>
        <w:rPr>
          <w:rFonts w:ascii="Arial" w:cs="Arial" w:eastAsia="Arial" w:hAnsi="Arial"/>
          <w:sz w:val="19"/>
          <w:szCs w:val="19"/>
          <w:color w:val="auto"/>
        </w:rPr>
      </w:pPr>
      <w:r>
        <w:rPr>
          <w:rFonts w:ascii="Arial" w:cs="Arial" w:eastAsia="Arial" w:hAnsi="Arial"/>
          <w:sz w:val="19"/>
          <w:szCs w:val="19"/>
          <w:color w:val="auto"/>
        </w:rPr>
        <w:t>Upon the request of Agent, Borrowers shall obtain a landlord’s agreement or mortgagee agreement, as applicable, from the lessor of each leased property or mortgagee of owned property with respect to any business location where any material portion of the Collateral included or the records relating to such Collateral and/or software and equipment relating to such records or Collateral, is stored or located (unless such books and records are also located at another business location that is subject to landlord’s or mortgagee agreement in favor of Agent), which agreement or letter shall be reasonably satisfactory in form and substance to Agent. Borrowers shall timely and fully pay and perform its obligations under all leases and other agreements with respect to each leased location where any Collateral, or any records related thereto, is or may be located.</w:t>
      </w:r>
    </w:p>
    <w:p>
      <w:pPr>
        <w:spacing w:after="0" w:line="184" w:lineRule="exact"/>
        <w:rPr>
          <w:rFonts w:ascii="Arial" w:cs="Arial" w:eastAsia="Arial" w:hAnsi="Arial"/>
          <w:sz w:val="19"/>
          <w:szCs w:val="19"/>
          <w:color w:val="auto"/>
        </w:rPr>
      </w:pPr>
    </w:p>
    <w:p>
      <w:pPr>
        <w:jc w:val="both"/>
        <w:ind w:firstLine="1735"/>
        <w:spacing w:after="0" w:line="270" w:lineRule="auto"/>
        <w:tabs>
          <w:tab w:leader="none" w:pos="2606" w:val="left"/>
        </w:tabs>
        <w:numPr>
          <w:ilvl w:val="0"/>
          <w:numId w:val="84"/>
        </w:numPr>
        <w:rPr>
          <w:rFonts w:ascii="Arial" w:cs="Arial" w:eastAsia="Arial" w:hAnsi="Arial"/>
          <w:sz w:val="18"/>
          <w:szCs w:val="18"/>
          <w:color w:val="auto"/>
        </w:rPr>
      </w:pPr>
      <w:r>
        <w:rPr>
          <w:rFonts w:ascii="Arial" w:cs="Arial" w:eastAsia="Arial" w:hAnsi="Arial"/>
          <w:sz w:val="18"/>
          <w:szCs w:val="18"/>
          <w:color w:val="auto"/>
        </w:rPr>
        <w:t>Borrower shall provide Agent with at least thirty (30) days (or such shorter period as Agent may accept in its sole discretion) prior written notice of its intention to create (or to the extent permitted under this Agreement, acquire) a new Subsidiary. Upon the formation (or to the extent permitted under this Agreement, acquisition) of a new Subsidiary, Borrowers shall within thirty (30) days thereof (i) pledge, have pledged or cause or have caused to be pledged to Agent pursuant to a pledge agreement in form and substance satisfactory to Agent, all of the outstanding shares of equity interests or other equity interests of such new Subsidiary owned directly or indirectly by any Borrower (unless such shares constitute Excluded Property or are held by an Excluded Foreign Subsidiary or an Excluded Domestic Holdco), along with undated stock or equivalent powers for such certificates, executed in blank; (ii) unless Agent shall agree otherwise in writing, cause such new Subsidiary (other than an Excluded Foreign Subsidiary or an Excluded Domestic Holdco) to take such other actions (including entering into or joining any Security Documents) as are necessary or advisable in the reasonable opinion of Agent in order to grant Agent, acting on behalf of the Lenders, a first priority Lien (subject to Permitted Liens) on all real and personal property of such Subsidiary in existence as of such date and in all after acquired property, which first priority Liens are required to be granted pursuant to this Agreement; (iii) unless Agent shall agree otherwise in writing,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09" w:name="page110"/>
    <w:bookmarkEnd w:id="109"/>
    <w:p>
      <w:pPr>
        <w:jc w:val="both"/>
        <w:spacing w:after="0" w:line="255" w:lineRule="auto"/>
        <w:rPr>
          <w:sz w:val="20"/>
          <w:szCs w:val="20"/>
          <w:color w:val="auto"/>
        </w:rPr>
      </w:pPr>
      <w:r>
        <w:rPr>
          <w:rFonts w:ascii="Arial" w:cs="Arial" w:eastAsia="Arial" w:hAnsi="Arial"/>
          <w:sz w:val="19"/>
          <w:szCs w:val="19"/>
          <w:color w:val="auto"/>
        </w:rPr>
        <w:t>cause such new Subsidiary (other than an Excluded Foreign Subsidiary or an Excluded Domestic Holdco) to either (at the election of Agent) become a Borrower hereunder with joint and several liability for all obligations of Borrowers hereunder and under the other Financing Documents pursuant to a joinder agreement or other similar agreement in form and substance reasonably satisfactory to Agent or to become a Guarantor of the obligations of Borrowers hereunder and under the other Financing Documents pursuant to a guaranty and suretyship agreement in form and substance satisfactory to Agent; and (iv) cause such new Subsidiary (other than an Excluded Foreign Subsidiary or an Excluded Domestic Holdco) to deliver certified copies of such Subsidiary’s certificate or articles of incorporation, together with good standing certificates, by-laws (or other operating agreement or governing documents), resolutions of the Board of Directors or other governing body, approving and authorize the execution and delivery of the Security Documents, incumbency certificates and to execute and/or deliver such other documents and legal opinions or to take such other actions as may be reasonably requested by Agent, in each case, in form and substance reasonably satisfactory to Agent.</w:t>
      </w:r>
    </w:p>
    <w:p>
      <w:pPr>
        <w:spacing w:after="0" w:line="190" w:lineRule="exact"/>
        <w:rPr>
          <w:sz w:val="20"/>
          <w:szCs w:val="20"/>
          <w:color w:val="auto"/>
        </w:rPr>
      </w:pPr>
    </w:p>
    <w:p>
      <w:pPr>
        <w:ind w:firstLine="1735"/>
        <w:spacing w:after="0" w:line="260" w:lineRule="auto"/>
        <w:tabs>
          <w:tab w:leader="none" w:pos="2595" w:val="left"/>
        </w:tabs>
        <w:numPr>
          <w:ilvl w:val="0"/>
          <w:numId w:val="85"/>
        </w:numPr>
        <w:rPr>
          <w:rFonts w:ascii="Arial" w:cs="Arial" w:eastAsia="Arial" w:hAnsi="Arial"/>
          <w:sz w:val="20"/>
          <w:szCs w:val="20"/>
          <w:color w:val="auto"/>
        </w:rPr>
      </w:pPr>
      <w:r>
        <w:rPr>
          <w:rFonts w:ascii="Arial" w:cs="Arial" w:eastAsia="Arial" w:hAnsi="Arial"/>
          <w:sz w:val="20"/>
          <w:szCs w:val="20"/>
          <w:color w:val="auto"/>
        </w:rPr>
        <w:t>Borrower further agrees to comply, and cause its respective Subsidiaries to comply with the following requirements with respect to the Excluded Foreign Subsidiaries and the Excluded Domestic Holdcos:</w:t>
      </w:r>
    </w:p>
    <w:p>
      <w:pPr>
        <w:spacing w:after="0" w:line="176" w:lineRule="exact"/>
        <w:rPr>
          <w:rFonts w:ascii="Arial" w:cs="Arial" w:eastAsia="Arial" w:hAnsi="Arial"/>
          <w:sz w:val="20"/>
          <w:szCs w:val="20"/>
          <w:color w:val="auto"/>
        </w:rPr>
      </w:pPr>
    </w:p>
    <w:p>
      <w:pPr>
        <w:jc w:val="both"/>
        <w:ind w:left="880" w:firstLine="1586"/>
        <w:spacing w:after="0" w:line="260" w:lineRule="auto"/>
        <w:tabs>
          <w:tab w:leader="none" w:pos="3309" w:val="left"/>
        </w:tabs>
        <w:numPr>
          <w:ilvl w:val="2"/>
          <w:numId w:val="85"/>
        </w:numPr>
        <w:rPr>
          <w:rFonts w:ascii="Arial" w:cs="Arial" w:eastAsia="Arial" w:hAnsi="Arial"/>
          <w:sz w:val="19"/>
          <w:szCs w:val="19"/>
          <w:color w:val="auto"/>
        </w:rPr>
      </w:pPr>
      <w:r>
        <w:rPr>
          <w:rFonts w:ascii="Arial" w:cs="Arial" w:eastAsia="Arial" w:hAnsi="Arial"/>
          <w:sz w:val="19"/>
          <w:szCs w:val="19"/>
          <w:color w:val="auto"/>
        </w:rPr>
        <w:t>the total amount of cash and cash equivalents held by the Excluded Foreign Subsidiaries and the Excluded Domestic Holdcos (collectively) shall not at any time exceed the lesser of (x) $100,000 in the aggregate; and (y) the aggregate amount necessary to fund the current and projected operating expenses of each Excluded Foreign Subsidiary (after taking into account its revenue from other sources, in each case) as determined based on projections prepared by Borrower and approved by Agent (such approval not to be unreasonably withheld or delayed); and</w:t>
      </w:r>
    </w:p>
    <w:p>
      <w:pPr>
        <w:spacing w:after="0" w:line="180" w:lineRule="exact"/>
        <w:rPr>
          <w:rFonts w:ascii="Arial" w:cs="Arial" w:eastAsia="Arial" w:hAnsi="Arial"/>
          <w:sz w:val="19"/>
          <w:szCs w:val="19"/>
          <w:color w:val="auto"/>
        </w:rPr>
      </w:pPr>
    </w:p>
    <w:p>
      <w:pPr>
        <w:jc w:val="both"/>
        <w:ind w:left="880" w:firstLine="1586"/>
        <w:spacing w:after="0" w:line="260" w:lineRule="auto"/>
        <w:tabs>
          <w:tab w:leader="none" w:pos="3364" w:val="left"/>
        </w:tabs>
        <w:numPr>
          <w:ilvl w:val="2"/>
          <w:numId w:val="85"/>
        </w:numPr>
        <w:rPr>
          <w:rFonts w:ascii="Arial" w:cs="Arial" w:eastAsia="Arial" w:hAnsi="Arial"/>
          <w:sz w:val="19"/>
          <w:szCs w:val="19"/>
          <w:color w:val="auto"/>
        </w:rPr>
      </w:pPr>
      <w:r>
        <w:rPr>
          <w:rFonts w:ascii="Arial" w:cs="Arial" w:eastAsia="Arial" w:hAnsi="Arial"/>
          <w:sz w:val="19"/>
          <w:szCs w:val="19"/>
          <w:color w:val="auto"/>
        </w:rPr>
        <w:t>No Credit Party shall (i) transfer any asset (including any Intellectual Property) to any Excluded Foreign Subsidiary or any Excluded Domestic Holdco, (ii) make any payment in respect of intercompany Debt to any Excluded Foreign Subsidiary or any Excluded Domestic Holdco, or (iii) make any Investment in any Excluded Foreign Subsidiary or any Excluded Domestic Holdco following the Closing Date other than, in each case, Investments of cash and cash equivalents permitted to be made pursuant to clauses (j) of the definition of Permitted Investments.</w:t>
      </w:r>
    </w:p>
    <w:p>
      <w:pPr>
        <w:spacing w:after="0" w:line="180" w:lineRule="exact"/>
        <w:rPr>
          <w:rFonts w:ascii="Arial" w:cs="Arial" w:eastAsia="Arial" w:hAnsi="Arial"/>
          <w:sz w:val="19"/>
          <w:szCs w:val="19"/>
          <w:color w:val="auto"/>
        </w:rPr>
      </w:pPr>
    </w:p>
    <w:p>
      <w:pPr>
        <w:jc w:val="both"/>
        <w:ind w:left="120" w:firstLine="1706"/>
        <w:spacing w:after="0" w:line="243" w:lineRule="auto"/>
        <w:tabs>
          <w:tab w:leader="none" w:pos="2676" w:val="left"/>
        </w:tabs>
        <w:numPr>
          <w:ilvl w:val="1"/>
          <w:numId w:val="85"/>
        </w:numPr>
        <w:rPr>
          <w:rFonts w:ascii="Arial" w:cs="Arial" w:eastAsia="Arial" w:hAnsi="Arial"/>
          <w:sz w:val="20"/>
          <w:szCs w:val="20"/>
          <w:color w:val="auto"/>
        </w:rPr>
      </w:pPr>
      <w:r>
        <w:rPr>
          <w:rFonts w:ascii="Arial" w:cs="Arial" w:eastAsia="Arial" w:hAnsi="Arial"/>
          <w:sz w:val="20"/>
          <w:szCs w:val="20"/>
          <w:color w:val="auto"/>
        </w:rPr>
        <w:t xml:space="preserve">Following (a) the occurrence and continuation of an Event of Default and (b) the exercise by Agent of any right, option or remedy provided for hereunder, under any Financing Document or at law or in equity, Credit Parties shall cause each Excluded Foreign Subsidiary to declare and pay to the applicable Credit Party the maximum amount of dividends and other distributions in respect of its capital stock or other equity interest legally permitted to be paid by each such Excluded Foreign Subsidiary;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Excluded Foreign Subsidiary shall be able to retain for working capital purposes such other amounts used by such Excluded Foreign Subsidiaries in the Ordinary Course of Business and as are reasonable necessary for its operations based on its current projections, as provided to the Agent pursuant to Section 4.1.</w:t>
      </w:r>
    </w:p>
    <w:p>
      <w:pPr>
        <w:spacing w:after="0" w:line="170" w:lineRule="exact"/>
        <w:rPr>
          <w:sz w:val="20"/>
          <w:szCs w:val="20"/>
          <w:color w:val="auto"/>
        </w:rPr>
      </w:pPr>
    </w:p>
    <w:tbl>
      <w:tblPr>
        <w:tblLayout w:type="fixed"/>
        <w:tblInd w:w="880" w:type="dxa"/>
        <w:tblCellMar>
          <w:top w:w="0" w:type="dxa"/>
          <w:left w:w="0" w:type="dxa"/>
          <w:bottom w:w="0" w:type="dxa"/>
          <w:right w:w="0" w:type="dxa"/>
        </w:tblCellMar>
      </w:tblPr>
      <w:tr>
        <w:trPr>
          <w:trHeight w:val="241"/>
        </w:trPr>
        <w:tc>
          <w:tcPr>
            <w:tcW w:w="1660" w:type="dxa"/>
            <w:vAlign w:val="bottom"/>
          </w:tcPr>
          <w:p>
            <w:pPr>
              <w:spacing w:after="0"/>
              <w:rPr>
                <w:sz w:val="20"/>
                <w:szCs w:val="20"/>
                <w:color w:val="auto"/>
              </w:rPr>
            </w:pPr>
            <w:r>
              <w:rPr>
                <w:rFonts w:ascii="Arial" w:cs="Arial" w:eastAsia="Arial" w:hAnsi="Arial"/>
                <w:sz w:val="20"/>
                <w:szCs w:val="20"/>
                <w:b w:val="1"/>
                <w:bCs w:val="1"/>
                <w:color w:val="auto"/>
              </w:rPr>
              <w:t>Section 4.12</w:t>
            </w:r>
          </w:p>
        </w:tc>
        <w:tc>
          <w:tcPr>
            <w:tcW w:w="8700" w:type="dxa"/>
            <w:vAlign w:val="bottom"/>
            <w:gridSpan w:val="3"/>
          </w:tcPr>
          <w:p>
            <w:pPr>
              <w:spacing w:after="0"/>
              <w:rPr>
                <w:sz w:val="20"/>
                <w:szCs w:val="20"/>
                <w:color w:val="auto"/>
              </w:rPr>
            </w:pPr>
            <w:r>
              <w:rPr>
                <w:rFonts w:ascii="Arial" w:cs="Arial" w:eastAsia="Arial" w:hAnsi="Arial"/>
                <w:sz w:val="20"/>
                <w:szCs w:val="20"/>
                <w:color w:val="auto"/>
              </w:rPr>
              <w:t>Reserved</w:t>
            </w: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0"/>
        </w:trPr>
        <w:tc>
          <w:tcPr>
            <w:tcW w:w="1660" w:type="dxa"/>
            <w:vAlign w:val="bottom"/>
            <w:vMerge w:val="restart"/>
          </w:tcPr>
          <w:p>
            <w:pPr>
              <w:spacing w:after="0"/>
              <w:rPr>
                <w:sz w:val="20"/>
                <w:szCs w:val="20"/>
                <w:color w:val="auto"/>
              </w:rPr>
            </w:pPr>
            <w:r>
              <w:rPr>
                <w:rFonts w:ascii="Arial" w:cs="Arial" w:eastAsia="Arial" w:hAnsi="Arial"/>
                <w:sz w:val="20"/>
                <w:szCs w:val="20"/>
                <w:b w:val="1"/>
                <w:bCs w:val="1"/>
                <w:color w:val="auto"/>
              </w:rPr>
              <w:t>Section 4.13</w:t>
            </w:r>
          </w:p>
        </w:tc>
        <w:tc>
          <w:tcPr>
            <w:tcW w:w="7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660" w:type="dxa"/>
            <w:vAlign w:val="bottom"/>
            <w:vMerge w:val="continue"/>
          </w:tcPr>
          <w:p>
            <w:pPr>
              <w:spacing w:after="0"/>
              <w:rPr>
                <w:sz w:val="24"/>
                <w:szCs w:val="24"/>
                <w:color w:val="auto"/>
              </w:rPr>
            </w:pPr>
          </w:p>
        </w:tc>
        <w:tc>
          <w:tcPr>
            <w:tcW w:w="8700" w:type="dxa"/>
            <w:vAlign w:val="bottom"/>
            <w:gridSpan w:val="3"/>
          </w:tcPr>
          <w:p>
            <w:pPr>
              <w:spacing w:after="0"/>
              <w:rPr>
                <w:sz w:val="20"/>
                <w:szCs w:val="20"/>
                <w:color w:val="auto"/>
              </w:rPr>
            </w:pPr>
            <w:r>
              <w:rPr>
                <w:rFonts w:ascii="Arial" w:cs="Arial" w:eastAsia="Arial" w:hAnsi="Arial"/>
                <w:sz w:val="20"/>
                <w:szCs w:val="20"/>
                <w:color w:val="auto"/>
                <w:w w:val="91"/>
              </w:rPr>
              <w:t>Power of Attorney. Each of the authorized representatives of Agent is hereby irrevocably made, constituted</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and appointed the true and lawful attorney for Borrowers (without requiring any of them to act as such) with full power of substitution to do the following: (a) endorse the name of Borrowers upon any and all checks, drafts, money orders, and other instruments for the payment of money that are payable to Borrowers and constitute collections on Borrowers’ Accounts; (b) so long as Agent has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10" w:name="page111"/>
    <w:bookmarkEnd w:id="110"/>
    <w:p>
      <w:pPr>
        <w:jc w:val="both"/>
        <w:spacing w:after="0" w:line="257" w:lineRule="auto"/>
        <w:rPr>
          <w:sz w:val="20"/>
          <w:szCs w:val="20"/>
          <w:color w:val="auto"/>
        </w:rPr>
      </w:pPr>
      <w:r>
        <w:rPr>
          <w:rFonts w:ascii="Arial" w:cs="Arial" w:eastAsia="Arial" w:hAnsi="Arial"/>
          <w:sz w:val="19"/>
          <w:szCs w:val="19"/>
          <w:color w:val="auto"/>
        </w:rPr>
        <w:t>provided not less than five (5) Business Days’ prior written notice to Borrower to perform the same and Borrower has failed to take such action, execute in the name of Borrowers any schedules, assignments, instruments, documents, and statements that Borrowers are obligated to give Agent under this Agreement; (c) after the occurrence and during the continuance of an Event of Default, take any action Borrowers are required to take under this Agreement; (d) so long as Agent has provided not less than five (5) Business Days’ prior written notice to Borrower to perform the same and Borrower has failed to take such action, do such other and further acts and deeds in the name of Borrowers that Agent may deem necessary or desirable to enforce any Account or other Collateral or perfect Agent’s security interest or Lien in any Collateral; and (e) after the occurrence and during the continuance of an Event of Default, do such other and further acts and deeds in the name of Borrowers that Agent may deem necessary or desirable to enforce its rights with regard to any Account or other Collateral. This power of attorney shall be irrevocable and coupled with an interest</w:t>
      </w:r>
      <w:r>
        <w:rPr>
          <w:rFonts w:ascii="Arial" w:cs="Arial" w:eastAsia="Arial" w:hAnsi="Arial"/>
          <w:sz w:val="20"/>
          <w:szCs w:val="20"/>
          <w:color w:val="auto"/>
        </w:rPr>
        <w:t>.</w:t>
      </w:r>
    </w:p>
    <w:p>
      <w:pPr>
        <w:spacing w:after="0" w:line="172"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0"/>
          <w:szCs w:val="20"/>
          <w:b w:val="1"/>
          <w:bCs w:val="1"/>
          <w:color w:val="auto"/>
        </w:rPr>
        <w:t>Section 4.14</w:t>
      </w:r>
      <w:r>
        <w:rPr>
          <w:sz w:val="20"/>
          <w:szCs w:val="20"/>
          <w:color w:val="auto"/>
        </w:rPr>
        <w:tab/>
      </w:r>
      <w:r>
        <w:rPr>
          <w:rFonts w:ascii="Arial" w:cs="Arial" w:eastAsia="Arial" w:hAnsi="Arial"/>
          <w:sz w:val="17"/>
          <w:szCs w:val="17"/>
          <w:u w:val="single" w:color="auto"/>
          <w:color w:val="auto"/>
        </w:rPr>
        <w:t>Reserved</w:t>
      </w:r>
      <w:r>
        <w:rPr>
          <w:rFonts w:ascii="Arial" w:cs="Arial" w:eastAsia="Arial" w:hAnsi="Arial"/>
          <w:sz w:val="18"/>
          <w:szCs w:val="18"/>
          <w:color w:val="auto"/>
        </w:rPr>
        <w:t>.</w:t>
      </w:r>
    </w:p>
    <w:p>
      <w:pPr>
        <w:spacing w:after="0" w:line="228"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b w:val="1"/>
          <w:bCs w:val="1"/>
          <w:color w:val="auto"/>
        </w:rPr>
        <w:t xml:space="preserve">Section 4.15 </w:t>
      </w:r>
      <w:r>
        <w:rPr>
          <w:rFonts w:ascii="Arial" w:cs="Arial" w:eastAsia="Arial" w:hAnsi="Arial"/>
          <w:sz w:val="20"/>
          <w:szCs w:val="20"/>
          <w:u w:val="single" w:color="auto"/>
          <w:color w:val="auto"/>
        </w:rPr>
        <w:t>Schedule Updates</w:t>
      </w:r>
      <w:r>
        <w:rPr>
          <w:rFonts w:ascii="Arial" w:cs="Arial" w:eastAsia="Arial" w:hAnsi="Arial"/>
          <w:sz w:val="20"/>
          <w:szCs w:val="20"/>
          <w:color w:val="auto"/>
        </w:rPr>
        <w:t>. Borrower shall, in the event of any information in the Schedules becoming outdated,</w:t>
      </w:r>
      <w:r>
        <w:rPr>
          <w:rFonts w:ascii="Arial" w:cs="Arial" w:eastAsia="Arial" w:hAnsi="Arial"/>
          <w:sz w:val="20"/>
          <w:szCs w:val="20"/>
          <w:b w:val="1"/>
          <w:bCs w:val="1"/>
          <w:color w:val="auto"/>
        </w:rPr>
        <w:t xml:space="preserve"> </w:t>
      </w:r>
      <w:r>
        <w:rPr>
          <w:rFonts w:ascii="Arial" w:cs="Arial" w:eastAsia="Arial" w:hAnsi="Arial"/>
          <w:sz w:val="20"/>
          <w:szCs w:val="20"/>
          <w:color w:val="auto"/>
        </w:rPr>
        <w:t>inaccurate, incomplete or misleading, deliver to Agent, together with the next quarterly Compliance Certificate required to be delivered under this Agreement after such event a proposed update to such Schedule correcting all outdated, inaccurate, incomplete or misleading information; provided, however, with respect to any proposed updates to the Schedules involving Permitted Liens, Permitted Debt or Permitted Investments, Agent will replace the respective Schedule attached hereto with such proposed update only if such updated information is consistent with the definitions of and limitations herein pertaining to Permitted Liens, Permitted Debt or Permitted Investments.</w:t>
      </w:r>
    </w:p>
    <w:p>
      <w:pPr>
        <w:spacing w:after="0" w:line="187"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0"/>
          <w:szCs w:val="20"/>
          <w:b w:val="1"/>
          <w:bCs w:val="1"/>
          <w:color w:val="auto"/>
        </w:rPr>
        <w:t>Section 4.16</w:t>
      </w:r>
      <w:r>
        <w:rPr>
          <w:sz w:val="20"/>
          <w:szCs w:val="20"/>
          <w:color w:val="auto"/>
        </w:rPr>
        <w:tab/>
      </w:r>
      <w:r>
        <w:rPr>
          <w:rFonts w:ascii="Arial" w:cs="Arial" w:eastAsia="Arial" w:hAnsi="Arial"/>
          <w:sz w:val="18"/>
          <w:szCs w:val="18"/>
          <w:u w:val="single" w:color="auto"/>
          <w:color w:val="auto"/>
        </w:rPr>
        <w:t>Intellectual Property and Licensing</w:t>
      </w:r>
      <w:r>
        <w:rPr>
          <w:rFonts w:ascii="Arial" w:cs="Arial" w:eastAsia="Arial" w:hAnsi="Arial"/>
          <w:sz w:val="19"/>
          <w:szCs w:val="19"/>
          <w:color w:val="auto"/>
        </w:rPr>
        <w:t>.</w:t>
      </w:r>
    </w:p>
    <w:p>
      <w:pPr>
        <w:spacing w:after="0" w:line="234" w:lineRule="exact"/>
        <w:rPr>
          <w:sz w:val="20"/>
          <w:szCs w:val="20"/>
          <w:color w:val="auto"/>
        </w:rPr>
      </w:pPr>
    </w:p>
    <w:p>
      <w:pPr>
        <w:jc w:val="both"/>
        <w:ind w:firstLine="1735"/>
        <w:spacing w:after="0" w:line="255" w:lineRule="auto"/>
        <w:tabs>
          <w:tab w:leader="none" w:pos="2595"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Together with each quarterly Compliance Certificate required to be delivered pursuant to Section 4.1 to the extent (A) Borrower acquires and/or develops any new Registered Intellectual Property registered in the United States or any new material foreign Registered Intellectual Property, in each case, for which it is the registered owner, or (B) Borrower enters into or becomes bound by any additional in-bound license or sublicense agreement, any additional exclusive out-bound license or sublicense agreement with respect to rights in Intellectual Property (other than (i) over-the-counter software that is commercially available to the public and (ii) in-bound license or sublicense agreements that are not material to Borrower’s business), or (C) there occurs any other material change in Borrower’s Registered Intellectual Property, in-bound licenses or sublicenses or exclusive out-bound licenses or sublicenses from that listed on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3.19</w:t>
      </w:r>
      <w:r>
        <w:rPr>
          <w:rFonts w:ascii="Arial" w:cs="Arial" w:eastAsia="Arial" w:hAnsi="Arial"/>
          <w:sz w:val="19"/>
          <w:szCs w:val="19"/>
          <w:color w:val="auto"/>
        </w:rPr>
        <w:t xml:space="preserve"> together with such Compliance Certificate, deliver to Agent an updated </w:t>
      </w:r>
      <w:r>
        <w:rPr>
          <w:rFonts w:ascii="Arial" w:cs="Arial" w:eastAsia="Arial" w:hAnsi="Arial"/>
          <w:sz w:val="19"/>
          <w:szCs w:val="19"/>
          <w:u w:val="single" w:color="auto"/>
          <w:color w:val="auto"/>
        </w:rPr>
        <w:t>Schedule 3.19</w:t>
      </w:r>
      <w:r>
        <w:rPr>
          <w:rFonts w:ascii="Arial" w:cs="Arial" w:eastAsia="Arial" w:hAnsi="Arial"/>
          <w:sz w:val="19"/>
          <w:szCs w:val="19"/>
          <w:color w:val="auto"/>
        </w:rPr>
        <w:t xml:space="preserve"> reflecting such updated information. With respect to any updates to </w:t>
      </w:r>
      <w:r>
        <w:rPr>
          <w:rFonts w:ascii="Arial" w:cs="Arial" w:eastAsia="Arial" w:hAnsi="Arial"/>
          <w:sz w:val="19"/>
          <w:szCs w:val="19"/>
          <w:u w:val="single" w:color="auto"/>
          <w:color w:val="auto"/>
        </w:rPr>
        <w:t>Schedule 3.19</w:t>
      </w:r>
      <w:r>
        <w:rPr>
          <w:rFonts w:ascii="Arial" w:cs="Arial" w:eastAsia="Arial" w:hAnsi="Arial"/>
          <w:sz w:val="19"/>
          <w:szCs w:val="19"/>
          <w:color w:val="auto"/>
        </w:rPr>
        <w:t xml:space="preserve"> involving exclusive out-bound licenses or sublicenses, such licenses shall be consistent with the definitions of and limitations herein pertaining to Permitted Licenses.</w:t>
      </w:r>
    </w:p>
    <w:p>
      <w:pPr>
        <w:spacing w:after="0" w:line="189" w:lineRule="exact"/>
        <w:rPr>
          <w:rFonts w:ascii="Arial" w:cs="Arial" w:eastAsia="Arial" w:hAnsi="Arial"/>
          <w:sz w:val="19"/>
          <w:szCs w:val="19"/>
          <w:color w:val="auto"/>
        </w:rPr>
      </w:pPr>
    </w:p>
    <w:p>
      <w:pPr>
        <w:ind w:right="100" w:firstLine="1735"/>
        <w:spacing w:after="0" w:line="256" w:lineRule="auto"/>
        <w:tabs>
          <w:tab w:leader="none" w:pos="2606" w:val="left"/>
        </w:tabs>
        <w:numPr>
          <w:ilvl w:val="0"/>
          <w:numId w:val="86"/>
        </w:numPr>
        <w:rPr>
          <w:rFonts w:ascii="Arial" w:cs="Arial" w:eastAsia="Arial" w:hAnsi="Arial"/>
          <w:sz w:val="19"/>
          <w:szCs w:val="19"/>
          <w:color w:val="auto"/>
        </w:rPr>
      </w:pPr>
      <w:r>
        <w:rPr>
          <w:rFonts w:ascii="Arial" w:cs="Arial" w:eastAsia="Arial" w:hAnsi="Arial"/>
          <w:sz w:val="19"/>
          <w:szCs w:val="19"/>
          <w:color w:val="auto"/>
        </w:rPr>
        <w:t>If Borrower obtains any Registered Intellectual Property registered in the United States or any material foreign Registered Intellectual Property, in each case, for which it is the registered owner, other than copyrights, mask works and related applications, which are addressed below, Borrower shall notify Agent on a quarterly basis and execute such documents and provide such other information (including, without limitation, copies of applications) and take such other actions as Agent shall request in its good faith business judgment to perfect and maintain a first priority perfected security interest (subject to Permitted Liens) in favor of Agent, for the ratable benefit of Lenders, the Registered Intellectual Property (other than Excluded Property and any security interest that is not required to be perfected under the terms of this Agreement). Borrower shall take such actions as Agent shall request in its good faith business judgment to perfect and maintain a first priority perfected security interest (subject to Permitted Liens) in favor of Agent, for the ratable benefit of Lenders, in the Registered Intellectual Property (other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11" w:name="page112"/>
    <w:bookmarkEnd w:id="111"/>
    <w:p>
      <w:pPr>
        <w:spacing w:after="0"/>
        <w:rPr>
          <w:sz w:val="20"/>
          <w:szCs w:val="20"/>
          <w:color w:val="auto"/>
        </w:rPr>
      </w:pPr>
      <w:r>
        <w:rPr>
          <w:rFonts w:ascii="Arial" w:cs="Arial" w:eastAsia="Arial" w:hAnsi="Arial"/>
          <w:sz w:val="20"/>
          <w:szCs w:val="20"/>
          <w:color w:val="auto"/>
        </w:rPr>
        <w:t>than Excluded Property and any security interest that is not required to be perfected under the terms of this Agreement).</w:t>
      </w:r>
    </w:p>
    <w:p>
      <w:pPr>
        <w:spacing w:after="0" w:line="216" w:lineRule="exact"/>
        <w:rPr>
          <w:sz w:val="20"/>
          <w:szCs w:val="20"/>
          <w:color w:val="auto"/>
        </w:rPr>
      </w:pPr>
    </w:p>
    <w:p>
      <w:pPr>
        <w:ind w:right="40" w:firstLine="1735"/>
        <w:spacing w:after="0" w:line="243" w:lineRule="auto"/>
        <w:tabs>
          <w:tab w:leader="none" w:pos="2595" w:val="left"/>
        </w:tabs>
        <w:numPr>
          <w:ilvl w:val="0"/>
          <w:numId w:val="87"/>
        </w:numPr>
        <w:rPr>
          <w:rFonts w:ascii="Arial" w:cs="Arial" w:eastAsia="Arial" w:hAnsi="Arial"/>
          <w:sz w:val="20"/>
          <w:szCs w:val="20"/>
          <w:color w:val="auto"/>
        </w:rPr>
      </w:pPr>
      <w:r>
        <w:rPr>
          <w:rFonts w:ascii="Arial" w:cs="Arial" w:eastAsia="Arial" w:hAnsi="Arial"/>
          <w:sz w:val="20"/>
          <w:szCs w:val="20"/>
          <w:color w:val="auto"/>
        </w:rPr>
        <w:t>Borrower shall, if requested by Agent, take commercially reasonable steps (not involving the payment of money) to obtain the consent of, or waiver by, any person whose consent or waiver is necessary for (x) all licenses or agreements to be deemed “Collateral” and for Agent to have a security interest in it that might otherwise be restricted or prohibited by Law or by the terms of any such license or agreement, whether now existing or entered into in the future, and (y) Agent to have the ability in the event of a liquidation of any Collateral to dispose of such Collateral in accordance with Agent’s rights and remedies under this Agreement and the other Financing Documents.</w:t>
      </w:r>
    </w:p>
    <w:p>
      <w:pPr>
        <w:spacing w:after="0" w:line="195" w:lineRule="exact"/>
        <w:rPr>
          <w:rFonts w:ascii="Arial" w:cs="Arial" w:eastAsia="Arial" w:hAnsi="Arial"/>
          <w:sz w:val="20"/>
          <w:szCs w:val="20"/>
          <w:color w:val="auto"/>
        </w:rPr>
      </w:pPr>
    </w:p>
    <w:p>
      <w:pPr>
        <w:ind w:left="2620" w:hanging="885"/>
        <w:spacing w:after="0"/>
        <w:tabs>
          <w:tab w:leader="none" w:pos="2620" w:val="left"/>
        </w:tabs>
        <w:numPr>
          <w:ilvl w:val="0"/>
          <w:numId w:val="87"/>
        </w:numPr>
        <w:rPr>
          <w:rFonts w:ascii="Arial" w:cs="Arial" w:eastAsia="Arial" w:hAnsi="Arial"/>
          <w:sz w:val="19"/>
          <w:szCs w:val="19"/>
          <w:color w:val="auto"/>
        </w:rPr>
      </w:pPr>
      <w:r>
        <w:rPr>
          <w:rFonts w:ascii="Arial" w:cs="Arial" w:eastAsia="Arial" w:hAnsi="Arial"/>
          <w:sz w:val="19"/>
          <w:szCs w:val="19"/>
          <w:color w:val="auto"/>
        </w:rPr>
        <w:t>Borrower shall own, or be licensed to use or otherwise have the right to use, all Material Intangible</w:t>
      </w:r>
    </w:p>
    <w:p>
      <w:pPr>
        <w:spacing w:after="0" w:line="27" w:lineRule="exact"/>
        <w:rPr>
          <w:sz w:val="20"/>
          <w:szCs w:val="20"/>
          <w:color w:val="auto"/>
        </w:rPr>
      </w:pPr>
    </w:p>
    <w:p>
      <w:pPr>
        <w:ind w:right="80"/>
        <w:spacing w:after="0" w:line="254" w:lineRule="auto"/>
        <w:rPr>
          <w:sz w:val="20"/>
          <w:szCs w:val="20"/>
          <w:color w:val="auto"/>
        </w:rPr>
      </w:pPr>
      <w:r>
        <w:rPr>
          <w:rFonts w:ascii="Arial" w:cs="Arial" w:eastAsia="Arial" w:hAnsi="Arial"/>
          <w:sz w:val="19"/>
          <w:szCs w:val="19"/>
          <w:color w:val="auto"/>
        </w:rPr>
        <w:t>Assets. Borrower shall cause all Registered Intellectual Property to be duly and properly registered, filed or issued in the appropriate office and jurisdictions for such registrations, filings or issuances, except where the failure to do so would not reasonably be expected to result in a Material Adverse Effect. Borrower shall at all times conduct its business without material infringement of any Intellectual Property rights of others. Borrower shall (i) protect, defend and maintain the validity and enforceability of its Material Intangible Assets (ii) promptly advise Agent in writing of material infringements of its Material Intangible Assets, or of a material claim of infringement by Borrower on the Intellectual Property rights of others; and (iii) not allow any of Borrower’s Material Intangible Assets to be abandoned, invalidated, forfeited or dedicated to the public or to become unenforceable.</w:t>
      </w:r>
    </w:p>
    <w:p>
      <w:pPr>
        <w:spacing w:after="0" w:line="188" w:lineRule="exact"/>
        <w:rPr>
          <w:sz w:val="20"/>
          <w:szCs w:val="20"/>
          <w:color w:val="auto"/>
        </w:rPr>
      </w:pPr>
    </w:p>
    <w:p>
      <w:pPr>
        <w:ind w:right="200" w:firstLine="1735"/>
        <w:spacing w:after="0" w:line="244" w:lineRule="auto"/>
        <w:tabs>
          <w:tab w:leader="none" w:pos="2595" w:val="left"/>
        </w:tabs>
        <w:numPr>
          <w:ilvl w:val="0"/>
          <w:numId w:val="88"/>
        </w:numPr>
        <w:rPr>
          <w:rFonts w:ascii="Arial" w:cs="Arial" w:eastAsia="Arial" w:hAnsi="Arial"/>
          <w:sz w:val="20"/>
          <w:szCs w:val="20"/>
          <w:color w:val="auto"/>
        </w:rPr>
      </w:pPr>
      <w:r>
        <w:rPr>
          <w:rFonts w:ascii="Arial" w:cs="Arial" w:eastAsia="Arial" w:hAnsi="Arial"/>
          <w:sz w:val="20"/>
          <w:szCs w:val="20"/>
          <w:color w:val="auto"/>
        </w:rPr>
        <w:t xml:space="preserve">Borrower shall not become a party to, nor become bound by, any new material license or other agreement after the Closing Date with respect to which Borrower is the licensee that prohibits or otherwise restricts Borrower from granting a security interest in Borrower’s interest in such license or agreement or other property;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this clause (e) shall not prohibit the inclusion of customary anti-assignment provisions in such licenses or other agreements so long as the effect of such provisions would not cause such license or other agreement to be Excluded Property.</w:t>
      </w:r>
    </w:p>
    <w:p>
      <w:pPr>
        <w:spacing w:after="0" w:line="188"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0"/>
          <w:szCs w:val="20"/>
          <w:b w:val="1"/>
          <w:bCs w:val="1"/>
          <w:color w:val="auto"/>
        </w:rPr>
        <w:t>Section 4.17</w:t>
      </w:r>
      <w:r>
        <w:rPr>
          <w:sz w:val="20"/>
          <w:szCs w:val="20"/>
          <w:color w:val="auto"/>
        </w:rPr>
        <w:tab/>
      </w:r>
      <w:r>
        <w:rPr>
          <w:rFonts w:ascii="Arial" w:cs="Arial" w:eastAsia="Arial" w:hAnsi="Arial"/>
          <w:sz w:val="16"/>
          <w:szCs w:val="16"/>
          <w:u w:val="single" w:color="auto"/>
          <w:color w:val="auto"/>
        </w:rPr>
        <w:t>Regulatory Reporting and Covenants</w:t>
      </w:r>
      <w:r>
        <w:rPr>
          <w:rFonts w:ascii="Arial" w:cs="Arial" w:eastAsia="Arial" w:hAnsi="Arial"/>
          <w:sz w:val="16"/>
          <w:szCs w:val="16"/>
          <w:color w:val="auto"/>
        </w:rPr>
        <w:t>.</w:t>
      </w:r>
    </w:p>
    <w:p>
      <w:pPr>
        <w:spacing w:after="0" w:line="222" w:lineRule="exact"/>
        <w:rPr>
          <w:sz w:val="20"/>
          <w:szCs w:val="20"/>
          <w:color w:val="auto"/>
        </w:rPr>
      </w:pPr>
    </w:p>
    <w:p>
      <w:pPr>
        <w:jc w:val="both"/>
        <w:ind w:firstLine="1735"/>
        <w:spacing w:after="0" w:line="254" w:lineRule="auto"/>
        <w:tabs>
          <w:tab w:leader="none" w:pos="2595" w:val="left"/>
        </w:tabs>
        <w:numPr>
          <w:ilvl w:val="0"/>
          <w:numId w:val="89"/>
        </w:numPr>
        <w:rPr>
          <w:rFonts w:ascii="Arial" w:cs="Arial" w:eastAsia="Arial" w:hAnsi="Arial"/>
          <w:sz w:val="19"/>
          <w:szCs w:val="19"/>
          <w:color w:val="auto"/>
        </w:rPr>
      </w:pPr>
      <w:r>
        <w:rPr>
          <w:rFonts w:ascii="Arial" w:cs="Arial" w:eastAsia="Arial" w:hAnsi="Arial"/>
          <w:sz w:val="19"/>
          <w:szCs w:val="19"/>
          <w:color w:val="auto"/>
        </w:rPr>
        <w:t>Borrower shall notify Agent and each Lender promptly, and in any event within 3 Business Days of receiving, becoming aware of or determining that, (each, a “Regulatory Reporting Event” and collectively, the “Regulatory Reporting Events”): (i) any Governmental Authority, specifically including the FDA is conducting or has conducted (A) if applicable, an inspection of any of Borrower’s or its Subsidiaries’ manufacturing facilities and processes for any Product which inspection has disclosed, and notification of which has been provided to Borrower in writing, of any material deficiencies or violations of Laws and/or the Regulatory Required Permits related to such thereto or (B) a material investigation or review of any Regulatory Required Permit (other than routine reviews in the Ordinary Course of Business associated with the renewal or maintenance of a Regulatory Required Permit which would not reasonably be expected to result in a Material Adverse Effect), (ii) development, testing, and/or manufacturing of any Product or provision of any service that is material to the business of Borrower or its Subsidiaries should cease, (iii) a Product that is material to the business of the Borrower or its Subsidiaries has been approved for marketing and sale, any marketing or sales of such Product should cease or such Product should be withdrawn from the marketplace, (iv) adverse clinical trial test results with respect to any Product which have or would reasonably be expected to result in a Material Adverse Effect, (v) any Product Recalls or voluntary Product withdrawals from any market which have or would reasonably be expected to result in a Material Adverse Effect or (vi) any significant failures in the manufacturing of any Product such that the amount of such Product successfully manufactured in accordance with all specifications thereof and any required payments to be made to Borrower therefor in any month shall decrease significantly with respect to the quantities of such Product and payments produced in the prior month, in each case, which would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12" w:name="page113"/>
    <w:bookmarkEnd w:id="112"/>
    <w:p>
      <w:pPr>
        <w:jc w:val="both"/>
        <w:spacing w:after="0" w:line="250" w:lineRule="auto"/>
        <w:rPr>
          <w:sz w:val="20"/>
          <w:szCs w:val="20"/>
          <w:color w:val="auto"/>
        </w:rPr>
      </w:pPr>
      <w:r>
        <w:rPr>
          <w:rFonts w:ascii="Arial" w:cs="Arial" w:eastAsia="Arial" w:hAnsi="Arial"/>
          <w:sz w:val="20"/>
          <w:szCs w:val="20"/>
          <w:color w:val="auto"/>
        </w:rPr>
        <w:t>reasonably be expected to result in a Material Adverse Effect. Borrower shall provide to Agent or any Lender such further information (including copies of such documentation) as Agent or any Lender shall reasonably request with respect to any such Regulatory Reporting Event.</w:t>
      </w:r>
    </w:p>
    <w:p>
      <w:pPr>
        <w:spacing w:after="0" w:line="186" w:lineRule="exact"/>
        <w:rPr>
          <w:sz w:val="20"/>
          <w:szCs w:val="20"/>
          <w:color w:val="auto"/>
        </w:rPr>
      </w:pPr>
    </w:p>
    <w:p>
      <w:pPr>
        <w:ind w:right="120" w:firstLine="1735"/>
        <w:spacing w:after="0" w:line="257" w:lineRule="auto"/>
        <w:tabs>
          <w:tab w:leader="none" w:pos="2606"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Borrower shall, and shall cause each Credit Party to, obtain all Regulatory Required Permits necessary for compliance in all material respects with Laws with respect to testing, manufacturing, developing, selling or marketing of Products and shall, and shall cause each Credit Party to, maintain and comply in all material respects with all such Regulatory Required Permits, the noncompliance with which would have a Material Adverse Effect. In the event Borrower or any Credit Party obtains any new material Regulatory Required Permit or any information on the </w:t>
      </w:r>
      <w:r>
        <w:rPr>
          <w:rFonts w:ascii="Arial" w:cs="Arial" w:eastAsia="Arial" w:hAnsi="Arial"/>
          <w:sz w:val="19"/>
          <w:szCs w:val="19"/>
          <w:u w:val="single" w:color="auto"/>
          <w:color w:val="auto"/>
        </w:rPr>
        <w:t>Schedule 8.2(a)</w:t>
      </w:r>
      <w:r>
        <w:rPr>
          <w:rFonts w:ascii="Arial" w:cs="Arial" w:eastAsia="Arial" w:hAnsi="Arial"/>
          <w:sz w:val="19"/>
          <w:szCs w:val="19"/>
          <w:color w:val="auto"/>
        </w:rPr>
        <w:t xml:space="preserve"> becomes outdated, inaccurate, incomplete or misleading, Borrower shall, together with the next Compliance Certificate required to be delivered under this Agreement after such event, provide Agent with an updated </w:t>
      </w:r>
      <w:r>
        <w:rPr>
          <w:rFonts w:ascii="Arial" w:cs="Arial" w:eastAsia="Arial" w:hAnsi="Arial"/>
          <w:sz w:val="19"/>
          <w:szCs w:val="19"/>
          <w:u w:val="single" w:color="auto"/>
          <w:color w:val="auto"/>
        </w:rPr>
        <w:t>Schedule 8.2(a)</w:t>
      </w:r>
      <w:r>
        <w:rPr>
          <w:rFonts w:ascii="Arial" w:cs="Arial" w:eastAsia="Arial" w:hAnsi="Arial"/>
          <w:sz w:val="19"/>
          <w:szCs w:val="19"/>
          <w:color w:val="auto"/>
        </w:rPr>
        <w:t xml:space="preserve"> including such updated information.</w:t>
      </w:r>
    </w:p>
    <w:p>
      <w:pPr>
        <w:spacing w:after="0" w:line="184" w:lineRule="exact"/>
        <w:rPr>
          <w:rFonts w:ascii="Arial" w:cs="Arial" w:eastAsia="Arial" w:hAnsi="Arial"/>
          <w:sz w:val="19"/>
          <w:szCs w:val="19"/>
          <w:color w:val="auto"/>
        </w:rPr>
      </w:pPr>
    </w:p>
    <w:p>
      <w:pPr>
        <w:ind w:right="140" w:firstLine="1735"/>
        <w:spacing w:after="0" w:line="263" w:lineRule="auto"/>
        <w:tabs>
          <w:tab w:leader="none" w:pos="2595"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If, after the Closing Date, (i) Borrower determines to manufacture, sell, develop, test or market any new Product, Borrower shall deliver prior written notice to Agent of such determination (which shall include a brief description of such Product) and, together with delivery of the next Compliance Certificate shall provide an updated </w:t>
      </w:r>
      <w:r>
        <w:rPr>
          <w:rFonts w:ascii="Arial" w:cs="Arial" w:eastAsia="Arial" w:hAnsi="Arial"/>
          <w:sz w:val="19"/>
          <w:szCs w:val="19"/>
          <w:u w:val="single" w:color="auto"/>
          <w:color w:val="auto"/>
        </w:rPr>
        <w:t>Schedule 3.19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Schedule 8.2(a)</w:t>
      </w:r>
      <w:r>
        <w:rPr>
          <w:rFonts w:ascii="Arial" w:cs="Arial" w:eastAsia="Arial" w:hAnsi="Arial"/>
          <w:sz w:val="19"/>
          <w:szCs w:val="19"/>
          <w:color w:val="auto"/>
        </w:rPr>
        <w:t xml:space="preserve"> (Licensing and Products) (and copies of such Permits as Agent may request) reflecting updates related to such determination</w:t>
      </w:r>
    </w:p>
    <w:p>
      <w:pPr>
        <w:spacing w:after="0" w:line="170" w:lineRule="exact"/>
        <w:rPr>
          <w:sz w:val="20"/>
          <w:szCs w:val="20"/>
          <w:color w:val="auto"/>
        </w:rPr>
      </w:pPr>
    </w:p>
    <w:p>
      <w:pPr>
        <w:ind w:left="3860"/>
        <w:spacing w:after="0"/>
        <w:rPr>
          <w:sz w:val="20"/>
          <w:szCs w:val="20"/>
          <w:color w:val="auto"/>
        </w:rPr>
      </w:pPr>
      <w:r>
        <w:rPr>
          <w:rFonts w:ascii="Arial" w:cs="Arial" w:eastAsia="Arial" w:hAnsi="Arial"/>
          <w:sz w:val="20"/>
          <w:szCs w:val="20"/>
          <w:b w:val="1"/>
          <w:bCs w:val="1"/>
          <w:color w:val="auto"/>
        </w:rPr>
        <w:t>ARTICLE 5 - NEGATIVE COVENANTS</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Each Borrower agrees that, so long as any Credit Exposure exists:</w:t>
      </w:r>
    </w:p>
    <w:p>
      <w:pPr>
        <w:spacing w:after="0" w:line="210"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b w:val="1"/>
          <w:bCs w:val="1"/>
          <w:color w:val="auto"/>
        </w:rPr>
        <w:t xml:space="preserve">Section 5.1 </w:t>
      </w:r>
      <w:r>
        <w:rPr>
          <w:rFonts w:ascii="Arial" w:cs="Arial" w:eastAsia="Arial" w:hAnsi="Arial"/>
          <w:sz w:val="20"/>
          <w:szCs w:val="20"/>
          <w:u w:val="single" w:color="auto"/>
          <w:color w:val="auto"/>
        </w:rPr>
        <w:t>Debt; Contingent Obligations</w:t>
      </w:r>
      <w:r>
        <w:rPr>
          <w:rFonts w:ascii="Arial" w:cs="Arial" w:eastAsia="Arial" w:hAnsi="Arial"/>
          <w:sz w:val="20"/>
          <w:szCs w:val="20"/>
          <w:color w:val="auto"/>
        </w:rPr>
        <w:t>. No Borrower will, or will permit any Subsidiary to, directly or indirectly,</w:t>
      </w:r>
      <w:r>
        <w:rPr>
          <w:rFonts w:ascii="Arial" w:cs="Arial" w:eastAsia="Arial" w:hAnsi="Arial"/>
          <w:sz w:val="20"/>
          <w:szCs w:val="20"/>
          <w:b w:val="1"/>
          <w:bCs w:val="1"/>
          <w:color w:val="auto"/>
        </w:rPr>
        <w:t xml:space="preserve"> </w:t>
      </w:r>
      <w:r>
        <w:rPr>
          <w:rFonts w:ascii="Arial" w:cs="Arial" w:eastAsia="Arial" w:hAnsi="Arial"/>
          <w:sz w:val="20"/>
          <w:szCs w:val="20"/>
          <w:color w:val="auto"/>
        </w:rPr>
        <w:t>create, incur, assume, guarantee or otherwise become or remain directly or indirectly liable with respect to, any Debt, except for Permitted Debt. No Borrower will, or will permit any Subsidiary to, directly or indirectly, create, assume, incur or suffer to exist any Contingent Obligations, except for Permitted Contingent Obligations.</w:t>
      </w:r>
    </w:p>
    <w:p>
      <w:pPr>
        <w:spacing w:after="0" w:line="183"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 xml:space="preserve">Section 5.2 </w:t>
      </w:r>
      <w:r>
        <w:rPr>
          <w:rFonts w:ascii="Arial" w:cs="Arial" w:eastAsia="Arial" w:hAnsi="Arial"/>
          <w:sz w:val="20"/>
          <w:szCs w:val="20"/>
          <w:u w:val="single" w:color="auto"/>
          <w:color w:val="auto"/>
        </w:rPr>
        <w:t>Liens</w:t>
      </w:r>
      <w:r>
        <w:rPr>
          <w:rFonts w:ascii="Arial" w:cs="Arial" w:eastAsia="Arial" w:hAnsi="Arial"/>
          <w:sz w:val="20"/>
          <w:szCs w:val="20"/>
          <w:color w:val="auto"/>
        </w:rPr>
        <w:t>. No Borrower will, or will permit any Subsidiary to, directly or indirectly, create, assume or suffer to</w:t>
      </w:r>
      <w:r>
        <w:rPr>
          <w:rFonts w:ascii="Arial" w:cs="Arial" w:eastAsia="Arial" w:hAnsi="Arial"/>
          <w:sz w:val="20"/>
          <w:szCs w:val="20"/>
          <w:b w:val="1"/>
          <w:bCs w:val="1"/>
          <w:color w:val="auto"/>
        </w:rPr>
        <w:t xml:space="preserve"> </w:t>
      </w:r>
      <w:r>
        <w:rPr>
          <w:rFonts w:ascii="Arial" w:cs="Arial" w:eastAsia="Arial" w:hAnsi="Arial"/>
          <w:sz w:val="20"/>
          <w:szCs w:val="20"/>
          <w:color w:val="auto"/>
        </w:rPr>
        <w:t>exist any Lien on any asset now owned or hereafter acquired by it, except for Permitted Liens.</w:t>
      </w:r>
    </w:p>
    <w:p>
      <w:pPr>
        <w:spacing w:after="0" w:line="163"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 xml:space="preserve">Section 5.3 </w:t>
      </w:r>
      <w:r>
        <w:rPr>
          <w:rFonts w:ascii="Arial" w:cs="Arial" w:eastAsia="Arial" w:hAnsi="Arial"/>
          <w:sz w:val="20"/>
          <w:szCs w:val="20"/>
          <w:u w:val="single" w:color="auto"/>
          <w:color w:val="auto"/>
        </w:rPr>
        <w:t>Distributions</w:t>
      </w:r>
      <w:r>
        <w:rPr>
          <w:rFonts w:ascii="Arial" w:cs="Arial" w:eastAsia="Arial" w:hAnsi="Arial"/>
          <w:sz w:val="20"/>
          <w:szCs w:val="20"/>
          <w:color w:val="auto"/>
        </w:rPr>
        <w:t>. No Borrower will, or will permit any Subsidiary to, directly or indirectly, declare, order, pay,</w:t>
      </w:r>
      <w:r>
        <w:rPr>
          <w:rFonts w:ascii="Arial" w:cs="Arial" w:eastAsia="Arial" w:hAnsi="Arial"/>
          <w:sz w:val="20"/>
          <w:szCs w:val="20"/>
          <w:b w:val="1"/>
          <w:bCs w:val="1"/>
          <w:color w:val="auto"/>
        </w:rPr>
        <w:t xml:space="preserve"> </w:t>
      </w:r>
      <w:r>
        <w:rPr>
          <w:rFonts w:ascii="Arial" w:cs="Arial" w:eastAsia="Arial" w:hAnsi="Arial"/>
          <w:sz w:val="20"/>
          <w:szCs w:val="20"/>
          <w:color w:val="auto"/>
        </w:rPr>
        <w:t>make or set apart any sum for any Distribution, except for Permitted Distributions.</w:t>
      </w:r>
    </w:p>
    <w:p>
      <w:pPr>
        <w:spacing w:after="0" w:line="163"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8"/>
          <w:szCs w:val="18"/>
          <w:b w:val="1"/>
          <w:bCs w:val="1"/>
          <w:color w:val="auto"/>
        </w:rPr>
        <w:t xml:space="preserve">Section 5.4 </w:t>
      </w:r>
      <w:r>
        <w:rPr>
          <w:rFonts w:ascii="Arial" w:cs="Arial" w:eastAsia="Arial" w:hAnsi="Arial"/>
          <w:sz w:val="18"/>
          <w:szCs w:val="18"/>
          <w:u w:val="single" w:color="auto"/>
          <w:color w:val="auto"/>
        </w:rPr>
        <w:t>Restrictive Agreements</w:t>
      </w:r>
      <w:r>
        <w:rPr>
          <w:rFonts w:ascii="Arial" w:cs="Arial" w:eastAsia="Arial" w:hAnsi="Arial"/>
          <w:sz w:val="18"/>
          <w:szCs w:val="18"/>
          <w:color w:val="auto"/>
        </w:rPr>
        <w:t>. No Borrower will, or will permit any Subsidiary to, directly or indirectly (a) enter</w:t>
      </w:r>
      <w:r>
        <w:rPr>
          <w:rFonts w:ascii="Arial" w:cs="Arial" w:eastAsia="Arial" w:hAnsi="Arial"/>
          <w:sz w:val="18"/>
          <w:szCs w:val="18"/>
          <w:b w:val="1"/>
          <w:bCs w:val="1"/>
          <w:color w:val="auto"/>
        </w:rPr>
        <w:t xml:space="preserve"> </w:t>
      </w:r>
      <w:r>
        <w:rPr>
          <w:rFonts w:ascii="Arial" w:cs="Arial" w:eastAsia="Arial" w:hAnsi="Arial"/>
          <w:sz w:val="18"/>
          <w:szCs w:val="18"/>
          <w:color w:val="auto"/>
        </w:rPr>
        <w:t>into or assume any agreement (other than the Financing Documents, any Subordinated Debt Documents, any agreements for purchase money debt permitted under clause (c) of the definition of Permitted Debt and any agreements related solely to IXINITY Royalty Excluded Deposit Account) prohibiting the creation or assumption of any Lien upon its properties or assets, whether now owned or hereafter acquired, or</w:t>
      </w:r>
    </w:p>
    <w:p>
      <w:pPr>
        <w:spacing w:after="0" w:line="2" w:lineRule="exact"/>
        <w:rPr>
          <w:sz w:val="20"/>
          <w:szCs w:val="20"/>
          <w:color w:val="auto"/>
        </w:rPr>
      </w:pPr>
    </w:p>
    <w:p>
      <w:pPr>
        <w:jc w:val="both"/>
        <w:ind w:firstLine="8"/>
        <w:spacing w:after="0" w:line="241" w:lineRule="auto"/>
        <w:tabs>
          <w:tab w:leader="none" w:pos="281" w:val="left"/>
        </w:tabs>
        <w:numPr>
          <w:ilvl w:val="0"/>
          <w:numId w:val="91"/>
        </w:numPr>
        <w:rPr>
          <w:rFonts w:ascii="Arial" w:cs="Arial" w:eastAsia="Arial" w:hAnsi="Arial"/>
          <w:sz w:val="20"/>
          <w:szCs w:val="20"/>
          <w:color w:val="auto"/>
        </w:rPr>
      </w:pPr>
      <w:r>
        <w:rPr>
          <w:rFonts w:ascii="Arial" w:cs="Arial" w:eastAsia="Arial" w:hAnsi="Arial"/>
          <w:sz w:val="20"/>
          <w:szCs w:val="20"/>
          <w:color w:val="auto"/>
        </w:rPr>
        <w:t>create or otherwise cause or suffer to exist or become effective any consensual encumbrance or restriction of any kind (except as provided by the Financing Documents) on the ability of any Subsidiary to: (i) pay or make Distributions to any Borrower or any Subsidiary; (ii) pay any Debt owed to any Borrower or any Subsidiary; (iii) make loans or advances to any Borrower or any Subsidiary; or (iv) transfer any of its property or assets to any Borrower or any Subsidiary.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13" w:name="page114"/>
    <w:bookmarkEnd w:id="113"/>
    <w:p>
      <w:pPr>
        <w:jc w:val="both"/>
        <w:ind w:firstLine="864"/>
        <w:spacing w:after="0" w:line="272" w:lineRule="auto"/>
        <w:rPr>
          <w:sz w:val="20"/>
          <w:szCs w:val="20"/>
          <w:color w:val="auto"/>
        </w:rPr>
      </w:pPr>
      <w:r>
        <w:rPr>
          <w:rFonts w:ascii="Arial" w:cs="Arial" w:eastAsia="Arial" w:hAnsi="Arial"/>
          <w:sz w:val="18"/>
          <w:szCs w:val="18"/>
          <w:b w:val="1"/>
          <w:bCs w:val="1"/>
          <w:color w:val="auto"/>
        </w:rPr>
        <w:t xml:space="preserve">Section 5.5 </w:t>
      </w:r>
      <w:r>
        <w:rPr>
          <w:rFonts w:ascii="Arial" w:cs="Arial" w:eastAsia="Arial" w:hAnsi="Arial"/>
          <w:sz w:val="18"/>
          <w:szCs w:val="18"/>
          <w:u w:val="single" w:color="auto"/>
          <w:color w:val="auto"/>
        </w:rPr>
        <w:t>Payments and Modifications of Subordinated Debt</w:t>
      </w:r>
      <w:r>
        <w:rPr>
          <w:rFonts w:ascii="Arial" w:cs="Arial" w:eastAsia="Arial" w:hAnsi="Arial"/>
          <w:sz w:val="18"/>
          <w:szCs w:val="18"/>
          <w:color w:val="auto"/>
        </w:rPr>
        <w:t>. No Borrower will, or will permit any Subsidiary to,</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or indirectly (a) declare, pay, make or set aside any amount for payment in respect of Subordinated Debt, except for payments made in full compliance with and expressly permitted under the Subordination Agreement, (b) amend or otherwise modify the terms of any Subordinated Debt, except for amendments or modifications made in full compliance with the Subordination Agreement relating thereto, or</w:t>
      </w:r>
    </w:p>
    <w:p>
      <w:pPr>
        <w:spacing w:after="0" w:line="2" w:lineRule="exact"/>
        <w:rPr>
          <w:sz w:val="20"/>
          <w:szCs w:val="20"/>
          <w:color w:val="auto"/>
        </w:rPr>
      </w:pPr>
    </w:p>
    <w:p>
      <w:pPr>
        <w:jc w:val="both"/>
        <w:ind w:firstLine="8"/>
        <w:spacing w:after="0" w:line="241" w:lineRule="auto"/>
        <w:tabs>
          <w:tab w:leader="none" w:pos="293" w:val="left"/>
        </w:tabs>
        <w:numPr>
          <w:ilvl w:val="0"/>
          <w:numId w:val="92"/>
        </w:numPr>
        <w:rPr>
          <w:rFonts w:ascii="Arial" w:cs="Arial" w:eastAsia="Arial" w:hAnsi="Arial"/>
          <w:sz w:val="20"/>
          <w:szCs w:val="20"/>
          <w:color w:val="auto"/>
        </w:rPr>
      </w:pPr>
      <w:r>
        <w:rPr>
          <w:rFonts w:ascii="Arial" w:cs="Arial" w:eastAsia="Arial" w:hAnsi="Arial"/>
          <w:sz w:val="20"/>
          <w:szCs w:val="20"/>
          <w:color w:val="auto"/>
        </w:rPr>
        <w:t>declare, pay, make or set aside any amount for payment in respect of any Debt hereinafter incurred that, by its terms, or by separate agreement, is subordinated to the Obligations, except for payments permitted under the subordination provisions applicable thereto. Borrowers shall, prior to entering into any such amendment or modification, deliver to Agent reasonably in advance of the execution thereof, any final or execution form copy thereof.</w:t>
      </w:r>
    </w:p>
    <w:p>
      <w:pPr>
        <w:spacing w:after="0" w:line="188" w:lineRule="exact"/>
        <w:rPr>
          <w:sz w:val="20"/>
          <w:szCs w:val="20"/>
          <w:color w:val="auto"/>
        </w:rPr>
      </w:pPr>
    </w:p>
    <w:p>
      <w:pPr>
        <w:ind w:left="880"/>
        <w:spacing w:after="0"/>
        <w:tabs>
          <w:tab w:leader="none" w:pos="2420" w:val="left"/>
        </w:tabs>
        <w:rPr>
          <w:sz w:val="20"/>
          <w:szCs w:val="20"/>
          <w:color w:val="auto"/>
        </w:rPr>
      </w:pPr>
      <w:r>
        <w:rPr>
          <w:rFonts w:ascii="Arial" w:cs="Arial" w:eastAsia="Arial" w:hAnsi="Arial"/>
          <w:sz w:val="20"/>
          <w:szCs w:val="20"/>
          <w:b w:val="1"/>
          <w:bCs w:val="1"/>
          <w:color w:val="auto"/>
        </w:rPr>
        <w:t>Section 5.6</w:t>
      </w:r>
      <w:r>
        <w:rPr>
          <w:sz w:val="20"/>
          <w:szCs w:val="20"/>
          <w:color w:val="auto"/>
        </w:rPr>
        <w:tab/>
      </w:r>
      <w:r>
        <w:rPr>
          <w:rFonts w:ascii="Arial" w:cs="Arial" w:eastAsia="Arial" w:hAnsi="Arial"/>
          <w:sz w:val="16"/>
          <w:szCs w:val="16"/>
          <w:u w:val="single" w:color="auto"/>
          <w:color w:val="auto"/>
        </w:rPr>
        <w:t>Consolidations, Mergers and Sales of Assets; Change in Control</w:t>
      </w:r>
      <w:r>
        <w:rPr>
          <w:rFonts w:ascii="Arial" w:cs="Arial" w:eastAsia="Arial" w:hAnsi="Arial"/>
          <w:sz w:val="16"/>
          <w:szCs w:val="16"/>
          <w:color w:val="auto"/>
        </w:rPr>
        <w:t>.</w:t>
      </w:r>
    </w:p>
    <w:p>
      <w:pPr>
        <w:spacing w:after="0" w:line="222" w:lineRule="exact"/>
        <w:rPr>
          <w:sz w:val="20"/>
          <w:szCs w:val="20"/>
          <w:color w:val="auto"/>
        </w:rPr>
      </w:pPr>
    </w:p>
    <w:p>
      <w:pPr>
        <w:jc w:val="both"/>
        <w:ind w:firstLine="1735"/>
        <w:spacing w:after="0" w:line="243" w:lineRule="auto"/>
        <w:tabs>
          <w:tab w:leader="none" w:pos="2595" w:val="left"/>
        </w:tabs>
        <w:numPr>
          <w:ilvl w:val="0"/>
          <w:numId w:val="93"/>
        </w:numPr>
        <w:rPr>
          <w:rFonts w:ascii="Arial" w:cs="Arial" w:eastAsia="Arial" w:hAnsi="Arial"/>
          <w:sz w:val="20"/>
          <w:szCs w:val="20"/>
          <w:color w:val="auto"/>
        </w:rPr>
      </w:pPr>
      <w:r>
        <w:rPr>
          <w:rFonts w:ascii="Arial" w:cs="Arial" w:eastAsia="Arial" w:hAnsi="Arial"/>
          <w:sz w:val="20"/>
          <w:szCs w:val="20"/>
          <w:color w:val="auto"/>
        </w:rPr>
        <w:t>No Borrower will, or will permit any Subsidiary to, directly or indirectly consolidate or merge or amalgamate with or into any other Person other than (a) consolidations or mergers among Borrowers where a Borrower is the surviving entity (provided that in the case of any consolidation or merger involving Aptevo Therapeutics, Aptevo Therapeutics shall be the surviving entity), (b) consolidations or mergers among a Guarantor and a Borrower so long as the Borrower is the surviving entity, (c) consolidations or mergers among Guarantors where the Guarantor is the surviving entity, (d) consolidations or mergers among Excluded Foreign Subsidiaries and (e) dissolutions or liquidations of Credit Parties (other than Aptevo Therapeutics) or their Subsidiaries so long as any assets of such dissolved or liquidated Person are transferred to a Borrower.</w:t>
      </w:r>
    </w:p>
    <w:p>
      <w:pPr>
        <w:spacing w:after="0" w:line="192" w:lineRule="exact"/>
        <w:rPr>
          <w:rFonts w:ascii="Arial" w:cs="Arial" w:eastAsia="Arial" w:hAnsi="Arial"/>
          <w:sz w:val="20"/>
          <w:szCs w:val="20"/>
          <w:color w:val="auto"/>
        </w:rPr>
      </w:pPr>
    </w:p>
    <w:p>
      <w:pPr>
        <w:ind w:firstLine="1735"/>
        <w:spacing w:after="0" w:line="260" w:lineRule="auto"/>
        <w:tabs>
          <w:tab w:leader="none" w:pos="2606" w:val="left"/>
        </w:tabs>
        <w:numPr>
          <w:ilvl w:val="0"/>
          <w:numId w:val="93"/>
        </w:numPr>
        <w:rPr>
          <w:rFonts w:ascii="Arial" w:cs="Arial" w:eastAsia="Arial" w:hAnsi="Arial"/>
          <w:sz w:val="20"/>
          <w:szCs w:val="20"/>
          <w:color w:val="auto"/>
        </w:rPr>
      </w:pPr>
      <w:r>
        <w:rPr>
          <w:rFonts w:ascii="Arial" w:cs="Arial" w:eastAsia="Arial" w:hAnsi="Arial"/>
          <w:sz w:val="20"/>
          <w:szCs w:val="20"/>
          <w:color w:val="auto"/>
        </w:rPr>
        <w:t>No Borrower will, or will permit any Subsidiary to, directly or indirectly consummate any Asset Dispositions other than Permitted Asset Dispositions.</w:t>
      </w:r>
    </w:p>
    <w:p>
      <w:pPr>
        <w:spacing w:after="0" w:line="176" w:lineRule="exact"/>
        <w:rPr>
          <w:rFonts w:ascii="Arial" w:cs="Arial" w:eastAsia="Arial" w:hAnsi="Arial"/>
          <w:sz w:val="20"/>
          <w:szCs w:val="20"/>
          <w:color w:val="auto"/>
        </w:rPr>
      </w:pPr>
    </w:p>
    <w:p>
      <w:pPr>
        <w:ind w:left="2600" w:hanging="865"/>
        <w:spacing w:after="0"/>
        <w:tabs>
          <w:tab w:leader="none" w:pos="2600" w:val="left"/>
        </w:tabs>
        <w:numPr>
          <w:ilvl w:val="0"/>
          <w:numId w:val="93"/>
        </w:numPr>
        <w:rPr>
          <w:rFonts w:ascii="Arial" w:cs="Arial" w:eastAsia="Arial" w:hAnsi="Arial"/>
          <w:sz w:val="20"/>
          <w:szCs w:val="20"/>
          <w:color w:val="auto"/>
        </w:rPr>
      </w:pPr>
      <w:r>
        <w:rPr>
          <w:rFonts w:ascii="Arial" w:cs="Arial" w:eastAsia="Arial" w:hAnsi="Arial"/>
          <w:sz w:val="20"/>
          <w:szCs w:val="20"/>
          <w:color w:val="auto"/>
        </w:rPr>
        <w:t>No Borrower will suffer or permit to occur any Change in Control.</w:t>
      </w:r>
    </w:p>
    <w:p>
      <w:pPr>
        <w:spacing w:after="0" w:line="210" w:lineRule="exact"/>
        <w:rPr>
          <w:sz w:val="20"/>
          <w:szCs w:val="20"/>
          <w:color w:val="auto"/>
        </w:rPr>
      </w:pPr>
    </w:p>
    <w:p>
      <w:pPr>
        <w:ind w:left="880"/>
        <w:spacing w:after="0"/>
        <w:tabs>
          <w:tab w:leader="none" w:pos="2420" w:val="left"/>
        </w:tabs>
        <w:rPr>
          <w:sz w:val="20"/>
          <w:szCs w:val="20"/>
          <w:color w:val="auto"/>
        </w:rPr>
      </w:pPr>
      <w:r>
        <w:rPr>
          <w:rFonts w:ascii="Arial" w:cs="Arial" w:eastAsia="Arial" w:hAnsi="Arial"/>
          <w:sz w:val="20"/>
          <w:szCs w:val="20"/>
          <w:b w:val="1"/>
          <w:bCs w:val="1"/>
          <w:color w:val="auto"/>
        </w:rPr>
        <w:t>Section 5.7</w:t>
      </w:r>
      <w:r>
        <w:rPr>
          <w:sz w:val="20"/>
          <w:szCs w:val="20"/>
          <w:color w:val="auto"/>
        </w:rPr>
        <w:tab/>
      </w:r>
      <w:r>
        <w:rPr>
          <w:rFonts w:ascii="Arial" w:cs="Arial" w:eastAsia="Arial" w:hAnsi="Arial"/>
          <w:sz w:val="19"/>
          <w:szCs w:val="19"/>
          <w:u w:val="single" w:color="auto"/>
          <w:color w:val="auto"/>
        </w:rPr>
        <w:t>Purchase of Assets, Investments</w:t>
      </w:r>
      <w:r>
        <w:rPr>
          <w:rFonts w:ascii="Arial" w:cs="Arial" w:eastAsia="Arial" w:hAnsi="Arial"/>
          <w:sz w:val="19"/>
          <w:szCs w:val="19"/>
          <w:color w:val="auto"/>
        </w:rPr>
        <w:t>.  No Borrower will, or will permit any Subsidiary to, directly or indirectly</w:t>
      </w:r>
    </w:p>
    <w:p>
      <w:pPr>
        <w:spacing w:after="0" w:line="22" w:lineRule="exact"/>
        <w:rPr>
          <w:sz w:val="20"/>
          <w:szCs w:val="20"/>
          <w:color w:val="auto"/>
        </w:rPr>
      </w:pPr>
    </w:p>
    <w:p>
      <w:pPr>
        <w:jc w:val="both"/>
        <w:ind w:firstLine="8"/>
        <w:spacing w:after="0"/>
        <w:tabs>
          <w:tab w:leader="none" w:pos="272" w:val="left"/>
        </w:tabs>
        <w:numPr>
          <w:ilvl w:val="0"/>
          <w:numId w:val="94"/>
        </w:numPr>
        <w:rPr>
          <w:rFonts w:ascii="Arial" w:cs="Arial" w:eastAsia="Arial" w:hAnsi="Arial"/>
          <w:sz w:val="20"/>
          <w:szCs w:val="20"/>
          <w:color w:val="auto"/>
        </w:rPr>
      </w:pPr>
      <w:r>
        <w:rPr>
          <w:rFonts w:ascii="Arial" w:cs="Arial" w:eastAsia="Arial" w:hAnsi="Arial"/>
          <w:sz w:val="20"/>
          <w:szCs w:val="20"/>
          <w:color w:val="auto"/>
        </w:rPr>
        <w:t>without limiting clause (c) below, acquire or enter into any agreement to acquire any assets other than in the Ordinary Course of Business or as permitted under the definition of Permitted Investments; (b) engage or enter into any agreement to engage in any joint venture or statutory or common law partnership with any other Person; or (c) acquire, own or make or enter into any agreement to acquire, own or make any Investment in any Person other than Permitted Investments. Without limiting the foregoing, no Credit Party shall, nor will any Credit Party permit any Subsidiary to, purchase or carry Margin Stock.</w:t>
      </w:r>
    </w:p>
    <w:p>
      <w:pPr>
        <w:spacing w:after="0" w:line="192" w:lineRule="exact"/>
        <w:rPr>
          <w:sz w:val="20"/>
          <w:szCs w:val="20"/>
          <w:color w:val="auto"/>
        </w:rPr>
      </w:pPr>
    </w:p>
    <w:p>
      <w:pPr>
        <w:jc w:val="both"/>
        <w:ind w:firstLine="864"/>
        <w:spacing w:after="0" w:line="262" w:lineRule="auto"/>
        <w:rPr>
          <w:sz w:val="20"/>
          <w:szCs w:val="20"/>
          <w:color w:val="auto"/>
        </w:rPr>
      </w:pPr>
      <w:r>
        <w:rPr>
          <w:rFonts w:ascii="Arial" w:cs="Arial" w:eastAsia="Arial" w:hAnsi="Arial"/>
          <w:sz w:val="19"/>
          <w:szCs w:val="19"/>
          <w:b w:val="1"/>
          <w:bCs w:val="1"/>
          <w:color w:val="auto"/>
        </w:rPr>
        <w:t xml:space="preserve">Section 5.8 </w:t>
      </w:r>
      <w:r>
        <w:rPr>
          <w:rFonts w:ascii="Arial" w:cs="Arial" w:eastAsia="Arial" w:hAnsi="Arial"/>
          <w:sz w:val="19"/>
          <w:szCs w:val="19"/>
          <w:u w:val="single" w:color="auto"/>
          <w:color w:val="auto"/>
        </w:rPr>
        <w:t>Transactions with Affiliates</w:t>
      </w:r>
      <w:r>
        <w:rPr>
          <w:rFonts w:ascii="Arial" w:cs="Arial" w:eastAsia="Arial" w:hAnsi="Arial"/>
          <w:sz w:val="19"/>
          <w:szCs w:val="19"/>
          <w:color w:val="auto"/>
        </w:rPr>
        <w:t>. Except as otherwise disclosed on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Schedule 5.8</w:t>
      </w:r>
      <w:r>
        <w:rPr>
          <w:rFonts w:ascii="Arial" w:cs="Arial" w:eastAsia="Arial" w:hAnsi="Arial"/>
          <w:sz w:val="19"/>
          <w:szCs w:val="19"/>
          <w:color w:val="auto"/>
        </w:rPr>
        <w:t>, transactions that are disclosed to</w:t>
      </w:r>
      <w:r>
        <w:rPr>
          <w:rFonts w:ascii="Arial" w:cs="Arial" w:eastAsia="Arial" w:hAnsi="Arial"/>
          <w:sz w:val="19"/>
          <w:szCs w:val="19"/>
          <w:b w:val="1"/>
          <w:bCs w:val="1"/>
          <w:color w:val="auto"/>
        </w:rPr>
        <w:t xml:space="preserve"> </w:t>
      </w:r>
      <w:r>
        <w:rPr>
          <w:rFonts w:ascii="Arial" w:cs="Arial" w:eastAsia="Arial" w:hAnsi="Arial"/>
          <w:sz w:val="19"/>
          <w:szCs w:val="19"/>
          <w:color w:val="auto"/>
        </w:rPr>
        <w:t>Agent in advance of being entered into and transactions which contain terms that are no less favorable to the applicable Borrower or any Subsidiary, as the case may be, than those which might be obtained from a third party not an Affiliate of any Credit Party, no Borrower will, or will permit any Subsidiary to, directly or indirectly, enter into or permit to exist any transaction (including the purchase, sale, lease or exchange of any property or the rendering of any service) with any Affiliate of any Borrower.</w:t>
      </w:r>
    </w:p>
    <w:p>
      <w:pPr>
        <w:spacing w:after="0" w:line="171" w:lineRule="exact"/>
        <w:rPr>
          <w:sz w:val="20"/>
          <w:szCs w:val="20"/>
          <w:color w:val="auto"/>
        </w:rPr>
      </w:pPr>
    </w:p>
    <w:p>
      <w:pPr>
        <w:jc w:val="both"/>
        <w:ind w:right="20" w:firstLine="864"/>
        <w:spacing w:after="0" w:line="267" w:lineRule="auto"/>
        <w:rPr>
          <w:sz w:val="20"/>
          <w:szCs w:val="20"/>
          <w:color w:val="auto"/>
        </w:rPr>
      </w:pPr>
      <w:r>
        <w:rPr>
          <w:rFonts w:ascii="Arial" w:cs="Arial" w:eastAsia="Arial" w:hAnsi="Arial"/>
          <w:sz w:val="20"/>
          <w:szCs w:val="20"/>
          <w:b w:val="1"/>
          <w:bCs w:val="1"/>
          <w:color w:val="auto"/>
        </w:rPr>
        <w:t xml:space="preserve">Section 5.9 </w:t>
      </w:r>
      <w:r>
        <w:rPr>
          <w:rFonts w:ascii="Arial" w:cs="Arial" w:eastAsia="Arial" w:hAnsi="Arial"/>
          <w:sz w:val="20"/>
          <w:szCs w:val="20"/>
          <w:u w:val="single" w:color="auto"/>
          <w:color w:val="auto"/>
        </w:rPr>
        <w:t>Modification of Organizational Documents</w:t>
      </w:r>
      <w:r>
        <w:rPr>
          <w:rFonts w:ascii="Arial" w:cs="Arial" w:eastAsia="Arial" w:hAnsi="Arial"/>
          <w:sz w:val="20"/>
          <w:szCs w:val="20"/>
          <w:color w:val="auto"/>
        </w:rPr>
        <w:t>. No Borrower will, or will permit any Subsidiary to, directly or</w:t>
      </w:r>
      <w:r>
        <w:rPr>
          <w:rFonts w:ascii="Arial" w:cs="Arial" w:eastAsia="Arial" w:hAnsi="Arial"/>
          <w:sz w:val="20"/>
          <w:szCs w:val="20"/>
          <w:b w:val="1"/>
          <w:bCs w:val="1"/>
          <w:color w:val="auto"/>
        </w:rPr>
        <w:t xml:space="preserve"> </w:t>
      </w:r>
      <w:r>
        <w:rPr>
          <w:rFonts w:ascii="Arial" w:cs="Arial" w:eastAsia="Arial" w:hAnsi="Arial"/>
          <w:sz w:val="20"/>
          <w:szCs w:val="20"/>
          <w:color w:val="auto"/>
        </w:rPr>
        <w:t>indirectly, amend or otherwise modify any Organizational Documents of such Person, except for Permitted Modifications.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4" w:name="page115"/>
    <w:bookmarkEnd w:id="114"/>
    <w:p>
      <w:pPr>
        <w:ind w:left="880"/>
        <w:spacing w:after="0"/>
        <w:tabs>
          <w:tab w:leader="none" w:pos="2520" w:val="left"/>
        </w:tabs>
        <w:rPr>
          <w:sz w:val="20"/>
          <w:szCs w:val="20"/>
          <w:color w:val="auto"/>
        </w:rPr>
      </w:pPr>
      <w:r>
        <w:rPr>
          <w:rFonts w:ascii="Arial" w:cs="Arial" w:eastAsia="Arial" w:hAnsi="Arial"/>
          <w:sz w:val="20"/>
          <w:szCs w:val="20"/>
          <w:b w:val="1"/>
          <w:bCs w:val="1"/>
          <w:color w:val="auto"/>
        </w:rPr>
        <w:t>Section 5.10</w:t>
      </w:r>
      <w:r>
        <w:rPr>
          <w:sz w:val="20"/>
          <w:szCs w:val="20"/>
          <w:color w:val="auto"/>
        </w:rPr>
        <w:tab/>
      </w:r>
      <w:r>
        <w:rPr>
          <w:rFonts w:ascii="Arial" w:cs="Arial" w:eastAsia="Arial" w:hAnsi="Arial"/>
          <w:sz w:val="18"/>
          <w:szCs w:val="18"/>
          <w:u w:val="single" w:color="auto"/>
          <w:color w:val="auto"/>
        </w:rPr>
        <w:t>Modification of Certain Agreements; Royalty Agreements</w:t>
      </w:r>
      <w:r>
        <w:rPr>
          <w:rFonts w:ascii="Arial" w:cs="Arial" w:eastAsia="Arial" w:hAnsi="Arial"/>
          <w:sz w:val="18"/>
          <w:szCs w:val="18"/>
          <w:color w:val="auto"/>
        </w:rPr>
        <w:t>.</w:t>
      </w:r>
    </w:p>
    <w:p>
      <w:pPr>
        <w:spacing w:after="0" w:line="222" w:lineRule="exact"/>
        <w:rPr>
          <w:sz w:val="20"/>
          <w:szCs w:val="20"/>
          <w:color w:val="auto"/>
        </w:rPr>
      </w:pPr>
    </w:p>
    <w:p>
      <w:pPr>
        <w:jc w:val="both"/>
        <w:ind w:firstLine="1735"/>
        <w:spacing w:after="0" w:line="242" w:lineRule="auto"/>
        <w:tabs>
          <w:tab w:leader="none" w:pos="2595" w:val="left"/>
        </w:tabs>
        <w:numPr>
          <w:ilvl w:val="0"/>
          <w:numId w:val="95"/>
        </w:numPr>
        <w:rPr>
          <w:rFonts w:ascii="Arial" w:cs="Arial" w:eastAsia="Arial" w:hAnsi="Arial"/>
          <w:sz w:val="20"/>
          <w:szCs w:val="20"/>
          <w:color w:val="auto"/>
        </w:rPr>
      </w:pPr>
      <w:r>
        <w:rPr>
          <w:rFonts w:ascii="Arial" w:cs="Arial" w:eastAsia="Arial" w:hAnsi="Arial"/>
          <w:sz w:val="20"/>
          <w:szCs w:val="20"/>
          <w:color w:val="auto"/>
        </w:rPr>
        <w:t>No Borrower will, or will permit any Subsidiary to, directly or indirectly, amend or otherwise modify any Material Contract, which amendment or modification in any case: (i) is contrary to the terms of this Agreement or any other Financing Document; (ii) would reasonably be expected to be materially adverse to the rights, interests or privileges of Agent or the Lenders or their ability to enforce the same; and (iii) would reasonably be expected to result in a Material Adverse Effect. Without limiting the foregoing, no Borrower will or will permit any Subsidiary to, directly or indirectly, amend or otherwise modify (or permit any amendment or modification to) the Ruxience Royalty Agreement or the IXINITY Royalty Agreement without the prior written consent of Agent (not to be unreasonably withheld). Each Borrower shall, prior to entering into any amendment or other modification of any of the foregoing documents, deliver to Agent reasonably in advance of the execution thereof, any final or execution form copy of amendments or other modifications to such documents.</w:t>
      </w:r>
    </w:p>
    <w:p>
      <w:pPr>
        <w:spacing w:after="0" w:line="194" w:lineRule="exact"/>
        <w:rPr>
          <w:rFonts w:ascii="Arial" w:cs="Arial" w:eastAsia="Arial" w:hAnsi="Arial"/>
          <w:sz w:val="20"/>
          <w:szCs w:val="20"/>
          <w:color w:val="auto"/>
        </w:rPr>
      </w:pPr>
    </w:p>
    <w:p>
      <w:pPr>
        <w:ind w:firstLine="1735"/>
        <w:spacing w:after="0" w:line="287" w:lineRule="auto"/>
        <w:tabs>
          <w:tab w:leader="none" w:pos="2606" w:val="left"/>
        </w:tabs>
        <w:numPr>
          <w:ilvl w:val="0"/>
          <w:numId w:val="95"/>
        </w:numPr>
        <w:rPr>
          <w:rFonts w:ascii="Arial" w:cs="Arial" w:eastAsia="Arial" w:hAnsi="Arial"/>
          <w:sz w:val="19"/>
          <w:szCs w:val="19"/>
          <w:color w:val="auto"/>
        </w:rPr>
      </w:pPr>
      <w:r>
        <w:rPr>
          <w:rFonts w:ascii="Arial" w:cs="Arial" w:eastAsia="Arial" w:hAnsi="Arial"/>
          <w:sz w:val="19"/>
          <w:szCs w:val="19"/>
          <w:color w:val="auto"/>
        </w:rPr>
        <w:t>Borrowers shall ensure that all amounts due in respect of Royalties (but excluding any Transferred IXINITY Royalty Payments) are paid into a Deposit Account of Borrower that is subject to a Deposit Account Control Agreement.</w:t>
      </w:r>
    </w:p>
    <w:p>
      <w:pPr>
        <w:spacing w:after="0" w:line="14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b w:val="1"/>
          <w:bCs w:val="1"/>
          <w:color w:val="auto"/>
        </w:rPr>
        <w:t xml:space="preserve">Section 5.11 </w:t>
      </w:r>
      <w:r>
        <w:rPr>
          <w:rFonts w:ascii="Arial" w:cs="Arial" w:eastAsia="Arial" w:hAnsi="Arial"/>
          <w:sz w:val="20"/>
          <w:szCs w:val="20"/>
          <w:u w:val="single" w:color="auto"/>
          <w:color w:val="auto"/>
        </w:rPr>
        <w:t>Conduct of Business</w:t>
      </w:r>
      <w:r>
        <w:rPr>
          <w:rFonts w:ascii="Arial" w:cs="Arial" w:eastAsia="Arial" w:hAnsi="Arial"/>
          <w:sz w:val="20"/>
          <w:szCs w:val="20"/>
          <w:color w:val="auto"/>
        </w:rPr>
        <w:t>. No Borrower will, or will permit any Subsidiary to, directly or indirectly, engage in</w:t>
      </w:r>
      <w:r>
        <w:rPr>
          <w:rFonts w:ascii="Arial" w:cs="Arial" w:eastAsia="Arial" w:hAnsi="Arial"/>
          <w:sz w:val="20"/>
          <w:szCs w:val="20"/>
          <w:b w:val="1"/>
          <w:bCs w:val="1"/>
          <w:color w:val="auto"/>
        </w:rPr>
        <w:t xml:space="preserve"> </w:t>
      </w:r>
      <w:r>
        <w:rPr>
          <w:rFonts w:ascii="Arial" w:cs="Arial" w:eastAsia="Arial" w:hAnsi="Arial"/>
          <w:sz w:val="20"/>
          <w:szCs w:val="20"/>
          <w:color w:val="auto"/>
        </w:rPr>
        <w:t>any line of business other than those businesses engaged in on the Closing Date and other businesses reasonably related thereto. No Borrower will, or will permit any Subsidiary to, other than in the Ordinary Course of Business, change its normal billing payment and reimbursement policies and procedures with respect to its Accounts (including, without limitation, the amount and timing of finance charges, fees and write-offs).</w:t>
      </w:r>
    </w:p>
    <w:p>
      <w:pPr>
        <w:spacing w:after="0" w:line="167"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1660" w:type="dxa"/>
            <w:vAlign w:val="bottom"/>
          </w:tcPr>
          <w:p>
            <w:pPr>
              <w:spacing w:after="0"/>
              <w:rPr>
                <w:sz w:val="20"/>
                <w:szCs w:val="20"/>
                <w:color w:val="auto"/>
              </w:rPr>
            </w:pPr>
            <w:r>
              <w:rPr>
                <w:rFonts w:ascii="Arial" w:cs="Arial" w:eastAsia="Arial" w:hAnsi="Arial"/>
                <w:sz w:val="20"/>
                <w:szCs w:val="20"/>
                <w:b w:val="1"/>
                <w:bCs w:val="1"/>
                <w:color w:val="auto"/>
              </w:rPr>
              <w:t>Section 5.12</w:t>
            </w:r>
          </w:p>
        </w:tc>
        <w:tc>
          <w:tcPr>
            <w:tcW w:w="8700" w:type="dxa"/>
            <w:vAlign w:val="bottom"/>
            <w:gridSpan w:val="3"/>
          </w:tcPr>
          <w:p>
            <w:pPr>
              <w:spacing w:after="0"/>
              <w:rPr>
                <w:sz w:val="20"/>
                <w:szCs w:val="20"/>
                <w:color w:val="auto"/>
              </w:rPr>
            </w:pPr>
            <w:r>
              <w:rPr>
                <w:rFonts w:ascii="Arial" w:cs="Arial" w:eastAsia="Arial" w:hAnsi="Arial"/>
                <w:sz w:val="20"/>
                <w:szCs w:val="20"/>
                <w:color w:val="auto"/>
              </w:rPr>
              <w:t>Reserved.</w:t>
            </w:r>
          </w:p>
        </w:tc>
        <w:tc>
          <w:tcPr>
            <w:tcW w:w="0" w:type="dxa"/>
            <w:vAlign w:val="bottom"/>
          </w:tcPr>
          <w:p>
            <w:pPr>
              <w:spacing w:after="0"/>
              <w:rPr>
                <w:sz w:val="1"/>
                <w:szCs w:val="1"/>
                <w:color w:val="auto"/>
              </w:rPr>
            </w:pPr>
          </w:p>
        </w:tc>
      </w:tr>
      <w:tr>
        <w:trPr>
          <w:trHeight w:val="20"/>
        </w:trPr>
        <w:tc>
          <w:tcPr>
            <w:tcW w:w="1660" w:type="dxa"/>
            <w:vAlign w:val="bottom"/>
            <w:vMerge w:val="restart"/>
          </w:tcPr>
          <w:p>
            <w:pPr>
              <w:spacing w:after="0"/>
              <w:rPr>
                <w:sz w:val="20"/>
                <w:szCs w:val="20"/>
                <w:color w:val="auto"/>
              </w:rPr>
            </w:pPr>
            <w:r>
              <w:rPr>
                <w:rFonts w:ascii="Arial" w:cs="Arial" w:eastAsia="Arial" w:hAnsi="Arial"/>
                <w:sz w:val="20"/>
                <w:szCs w:val="20"/>
                <w:b w:val="1"/>
                <w:bCs w:val="1"/>
                <w:color w:val="auto"/>
              </w:rPr>
              <w:t>Section 5.13</w:t>
            </w:r>
          </w:p>
        </w:tc>
        <w:tc>
          <w:tcPr>
            <w:tcW w:w="72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660" w:type="dxa"/>
            <w:vAlign w:val="bottom"/>
            <w:vMerge w:val="continue"/>
          </w:tcPr>
          <w:p>
            <w:pPr>
              <w:spacing w:after="0"/>
              <w:rPr>
                <w:sz w:val="24"/>
                <w:szCs w:val="24"/>
                <w:color w:val="auto"/>
              </w:rPr>
            </w:pPr>
          </w:p>
        </w:tc>
        <w:tc>
          <w:tcPr>
            <w:tcW w:w="8700" w:type="dxa"/>
            <w:vAlign w:val="bottom"/>
            <w:gridSpan w:val="3"/>
          </w:tcPr>
          <w:p>
            <w:pPr>
              <w:spacing w:after="0"/>
              <w:rPr>
                <w:sz w:val="20"/>
                <w:szCs w:val="20"/>
                <w:color w:val="auto"/>
              </w:rPr>
            </w:pPr>
            <w:r>
              <w:rPr>
                <w:rFonts w:ascii="Arial" w:cs="Arial" w:eastAsia="Arial" w:hAnsi="Arial"/>
                <w:sz w:val="20"/>
                <w:szCs w:val="20"/>
                <w:color w:val="auto"/>
                <w:w w:val="92"/>
              </w:rPr>
              <w:t>Limitation on Sale and Leaseback Transactions. No Borrower will, or will permit any Subsidiary to, directly</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or indirectly, enter into any arrangement with any Person whereby, in a substantially contemporaneous transaction, any Borrower or any Subsidiaries sells or transfers all or substantially all of its right, title and interest in an asset and, in connection therewith, acquires or leases back the right to use such asset.</w:t>
      </w:r>
    </w:p>
    <w:p>
      <w:pPr>
        <w:spacing w:after="0" w:line="180"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9"/>
          <w:szCs w:val="19"/>
          <w:b w:val="1"/>
          <w:bCs w:val="1"/>
          <w:color w:val="auto"/>
        </w:rPr>
        <w:t xml:space="preserve">Section 5.14 </w:t>
      </w:r>
      <w:r>
        <w:rPr>
          <w:rFonts w:ascii="Arial" w:cs="Arial" w:eastAsia="Arial" w:hAnsi="Arial"/>
          <w:sz w:val="19"/>
          <w:szCs w:val="19"/>
          <w:u w:val="single" w:color="auto"/>
          <w:color w:val="auto"/>
        </w:rPr>
        <w:t>Deposit Accounts and Securities Accounts; Payroll and Benefits Accounts</w:t>
      </w:r>
      <w:r>
        <w:rPr>
          <w:rFonts w:ascii="Arial" w:cs="Arial" w:eastAsia="Arial" w:hAnsi="Arial"/>
          <w:sz w:val="19"/>
          <w:szCs w:val="19"/>
          <w:color w:val="auto"/>
        </w:rPr>
        <w:t>. No Borrower will, or will permit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any Subsidiary (other than an Excluded Foreign Subsidiary or an Excluded Domestic Holdco) to, directly or indirectly, establish any new Deposit Account or Securities Account without prior written notice to Agent, and unless Agent, such Borrower or such Subsidiary and the bank, financial institution or securities intermediary at which the account is to be opened enter into a Deposit Account Control Agreement or Securities Account Control Agreement prior to or concurrently with the establishment of such Deposit Account or Securities Account. Borrowers represent and warrant that </w:t>
      </w:r>
      <w:r>
        <w:rPr>
          <w:rFonts w:ascii="Arial" w:cs="Arial" w:eastAsia="Arial" w:hAnsi="Arial"/>
          <w:sz w:val="19"/>
          <w:szCs w:val="19"/>
          <w:u w:val="single" w:color="auto"/>
          <w:color w:val="auto"/>
        </w:rPr>
        <w:t>Schedule 5.14</w:t>
      </w:r>
      <w:r>
        <w:rPr>
          <w:rFonts w:ascii="Arial" w:cs="Arial" w:eastAsia="Arial" w:hAnsi="Arial"/>
          <w:sz w:val="19"/>
          <w:szCs w:val="19"/>
          <w:color w:val="auto"/>
        </w:rPr>
        <w:t xml:space="preserve"> lists all of the Deposit Accounts and Securities Accounts of each Borrower. The provisions of this Section requiring Deposit Account Control Agreements shall not apply to (a) the Wells Fargo LC Cash Collateral Account during the Wells Fargo LC Period, (b) the Piper Sandler Securities Account, (c) Deposit Accounts exclusively used for payroll, payroll taxes and other employee wage and benefit payments to or for the benefit of Borrowers’ employees and identified to Agent by Borrowers as such, (d) segregated Deposit Accounts of Borrower established and maintained for the sole purpose of providing cash collateral in favor of for obligations of Borrower in respect of certain commercial credit credits provided to the extent permitted by clause (n) of the definition of permitted Debt;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aggregate amount on deposit in all such Deposit Accounts shall not at any time exceed $400,000 (the “</w:t>
      </w:r>
      <w:r>
        <w:rPr>
          <w:rFonts w:ascii="Arial" w:cs="Arial" w:eastAsia="Arial" w:hAnsi="Arial"/>
          <w:sz w:val="19"/>
          <w:szCs w:val="19"/>
          <w:b w:val="1"/>
          <w:bCs w:val="1"/>
          <w:color w:val="auto"/>
        </w:rPr>
        <w:t>Credit Card Cash Collateral Accounts</w:t>
      </w:r>
      <w:r>
        <w:rPr>
          <w:rFonts w:ascii="Arial" w:cs="Arial" w:eastAsia="Arial" w:hAnsi="Arial"/>
          <w:sz w:val="19"/>
          <w:szCs w:val="19"/>
          <w:color w:val="auto"/>
        </w:rPr>
        <w:t>”), and (e) any IXINITY Royalty Excluded Deposit Account (the Deposit Accounts and/or Securities Accounts in clauses (a) through (e), collectively, “</w:t>
      </w:r>
      <w:r>
        <w:rPr>
          <w:rFonts w:ascii="Arial" w:cs="Arial" w:eastAsia="Arial" w:hAnsi="Arial"/>
          <w:sz w:val="19"/>
          <w:szCs w:val="19"/>
          <w:b w:val="1"/>
          <w:bCs w:val="1"/>
          <w:color w:val="auto"/>
        </w:rPr>
        <w:t>Excluded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5" w:name="page116"/>
    <w:bookmarkEnd w:id="115"/>
    <w:p>
      <w:pPr>
        <w:jc w:val="both"/>
        <w:spacing w:after="0" w:line="256" w:lineRule="auto"/>
        <w:rPr>
          <w:sz w:val="20"/>
          <w:szCs w:val="20"/>
          <w:color w:val="auto"/>
        </w:rPr>
      </w:pPr>
      <w:r>
        <w:rPr>
          <w:rFonts w:ascii="Arial" w:cs="Arial" w:eastAsia="Arial" w:hAnsi="Arial"/>
          <w:sz w:val="19"/>
          <w:szCs w:val="19"/>
          <w:b w:val="1"/>
          <w:bCs w:val="1"/>
          <w:color w:val="auto"/>
        </w:rPr>
        <w:t>Accounts</w:t>
      </w:r>
      <w:r>
        <w:rPr>
          <w:rFonts w:ascii="Arial" w:cs="Arial" w:eastAsia="Arial" w:hAnsi="Arial"/>
          <w:sz w:val="19"/>
          <w:szCs w:val="19"/>
          <w:color w:val="auto"/>
        </w:rPr>
        <w:t>”). Except during the post-closing period provided in paragraph 3 of Schedule 7.4, at all times that any Obligations remain</w:t>
      </w:r>
      <w:r>
        <w:rPr>
          <w:rFonts w:ascii="Arial" w:cs="Arial" w:eastAsia="Arial" w:hAnsi="Arial"/>
          <w:sz w:val="19"/>
          <w:szCs w:val="19"/>
          <w:b w:val="1"/>
          <w:bCs w:val="1"/>
          <w:color w:val="auto"/>
        </w:rPr>
        <w:t xml:space="preserve"> </w:t>
      </w:r>
      <w:r>
        <w:rPr>
          <w:rFonts w:ascii="Arial" w:cs="Arial" w:eastAsia="Arial" w:hAnsi="Arial"/>
          <w:sz w:val="19"/>
          <w:szCs w:val="19"/>
          <w:color w:val="auto"/>
        </w:rPr>
        <w:t>outstanding, Borrower shall maintain one or more separate Deposit Accounts to hold any and all amounts to be used for payroll, payroll taxes and other employee wage and benefit payments, and shall not commingle any monies allocated for such purposes with funds in any other Deposit Account. With respect to accounts subject to a Deposit Account Control Agreement or Securities Account Control Agreement, Agent shall not deliver to the relevant depository, securities intermediary or commodities intermediary a notice or other instruction (i) directing disposition of funds in such account or (ii) which provides for exclusive control over such account by Agent, unless in either case an Event of Default has occurred and is continuing. Notwithstanding any other provision to the contrary contained herein, upon the expiration of the Wells Fargo LC Period, Borrowers shall promptly transfer all funds on deposit in the Wells Fargo LC Cash Collateral Account to a Deposit Account or Securities Account subject to a Deposit Account Control Agreement or a Securities Account Control Agreement in favor of Agent.</w:t>
      </w:r>
    </w:p>
    <w:p>
      <w:pPr>
        <w:spacing w:after="0" w:line="180"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8"/>
          <w:szCs w:val="18"/>
          <w:b w:val="1"/>
          <w:bCs w:val="1"/>
          <w:color w:val="auto"/>
        </w:rPr>
        <w:t xml:space="preserve">Section 5.15 </w:t>
      </w:r>
      <w:r>
        <w:rPr>
          <w:rFonts w:ascii="Arial" w:cs="Arial" w:eastAsia="Arial" w:hAnsi="Arial"/>
          <w:sz w:val="18"/>
          <w:szCs w:val="18"/>
          <w:u w:val="single" w:color="auto"/>
          <w:color w:val="auto"/>
        </w:rPr>
        <w:t>Compliance with Anti-Terrorism Laws</w:t>
      </w:r>
      <w:r>
        <w:rPr>
          <w:rFonts w:ascii="Arial" w:cs="Arial" w:eastAsia="Arial" w:hAnsi="Arial"/>
          <w:sz w:val="18"/>
          <w:szCs w:val="18"/>
          <w:color w:val="auto"/>
        </w:rPr>
        <w:t>. Agent hereby notifies Borrowers that pursuant to the requirements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Anti-Terrorism Laws, and Agent’s policies and practices, Agent is required to obtain, verify and record certain information and documentation that identifies Borrowers and their principals, which information includes the name and address of each Borrower and its principals and such other information that will allow Agent to identify such party in accordance with Anti-Terrorism Laws. No Borrower will, or will permit any Subsidiary to, directly or indirectly, knowingly enter into any Material Contracts with any Blocked Person or any Person listed on the OFAC Lists. Each Borrower shall immediately notify Agent if such Borrower has knowledge that any Borrower, any additional Credit Party or any of their respective Affiliates or agents acting or benefiting in any capacity in connection with the transactions contemplated by this Agreement is or becomes a Blocked Person or (a) is convicted on, (b) pleads nolo contendere to, (c) is indicted on, or</w:t>
      </w:r>
    </w:p>
    <w:p>
      <w:pPr>
        <w:spacing w:after="0" w:line="2" w:lineRule="exact"/>
        <w:rPr>
          <w:sz w:val="20"/>
          <w:szCs w:val="20"/>
          <w:color w:val="auto"/>
        </w:rPr>
      </w:pPr>
    </w:p>
    <w:p>
      <w:pPr>
        <w:jc w:val="both"/>
        <w:ind w:firstLine="8"/>
        <w:spacing w:after="0"/>
        <w:tabs>
          <w:tab w:leader="none" w:pos="292" w:val="left"/>
        </w:tabs>
        <w:numPr>
          <w:ilvl w:val="0"/>
          <w:numId w:val="96"/>
        </w:numPr>
        <w:rPr>
          <w:rFonts w:ascii="Arial" w:cs="Arial" w:eastAsia="Arial" w:hAnsi="Arial"/>
          <w:sz w:val="20"/>
          <w:szCs w:val="20"/>
          <w:color w:val="auto"/>
        </w:rPr>
      </w:pPr>
      <w:r>
        <w:rPr>
          <w:rFonts w:ascii="Arial" w:cs="Arial" w:eastAsia="Arial" w:hAnsi="Arial"/>
          <w:sz w:val="20"/>
          <w:szCs w:val="20"/>
          <w:color w:val="auto"/>
        </w:rPr>
        <w:t>is arraigned and held over on charges involving money laundering or predicate crimes to money laundering. No Borrower will, or will permit any Subsidiary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w:t>
      </w:r>
    </w:p>
    <w:p>
      <w:pPr>
        <w:spacing w:after="0" w:line="191"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0"/>
          <w:szCs w:val="20"/>
          <w:b w:val="1"/>
          <w:bCs w:val="1"/>
          <w:color w:val="auto"/>
        </w:rPr>
        <w:t>Section 5.16</w:t>
      </w:r>
      <w:r>
        <w:rPr>
          <w:sz w:val="20"/>
          <w:szCs w:val="20"/>
          <w:color w:val="auto"/>
        </w:rPr>
        <w:tab/>
      </w:r>
      <w:r>
        <w:rPr>
          <w:rFonts w:ascii="Arial" w:cs="Arial" w:eastAsia="Arial" w:hAnsi="Arial"/>
          <w:sz w:val="18"/>
          <w:szCs w:val="18"/>
          <w:u w:val="single" w:color="auto"/>
          <w:color w:val="auto"/>
        </w:rPr>
        <w:t>Change in Accounting</w:t>
      </w:r>
      <w:r>
        <w:rPr>
          <w:rFonts w:ascii="Arial" w:cs="Arial" w:eastAsia="Arial" w:hAnsi="Arial"/>
          <w:sz w:val="18"/>
          <w:szCs w:val="18"/>
          <w:color w:val="auto"/>
        </w:rPr>
        <w:t>. No Borrower shall, and no Borrower shall suffer or permit any of its Subsidiaries to,</w:t>
      </w:r>
    </w:p>
    <w:p>
      <w:pPr>
        <w:spacing w:after="0" w:line="22" w:lineRule="exact"/>
        <w:rPr>
          <w:sz w:val="20"/>
          <w:szCs w:val="20"/>
          <w:color w:val="auto"/>
        </w:rPr>
      </w:pPr>
    </w:p>
    <w:p>
      <w:pPr>
        <w:ind w:firstLine="8"/>
        <w:spacing w:after="0" w:line="244" w:lineRule="auto"/>
        <w:tabs>
          <w:tab w:leader="none" w:pos="246" w:val="left"/>
        </w:tabs>
        <w:numPr>
          <w:ilvl w:val="0"/>
          <w:numId w:val="97"/>
        </w:numPr>
        <w:rPr>
          <w:rFonts w:ascii="Arial" w:cs="Arial" w:eastAsia="Arial" w:hAnsi="Arial"/>
          <w:sz w:val="20"/>
          <w:szCs w:val="20"/>
          <w:color w:val="auto"/>
        </w:rPr>
      </w:pPr>
      <w:r>
        <w:rPr>
          <w:rFonts w:ascii="Arial" w:cs="Arial" w:eastAsia="Arial" w:hAnsi="Arial"/>
          <w:sz w:val="20"/>
          <w:szCs w:val="20"/>
          <w:color w:val="auto"/>
        </w:rPr>
        <w:t>make any significant change in accounting treatment or reporting practices, except as required by GAAP or (ii) change the fiscal year or method for determining fiscal quarters of any Credit Party or of any consolidated Subsidiary of any Credit Party.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6 - RESERVED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7 - CONDITIONS</w:t>
      </w:r>
    </w:p>
    <w:p>
      <w:pPr>
        <w:spacing w:after="0" w:line="216" w:lineRule="exact"/>
        <w:rPr>
          <w:sz w:val="20"/>
          <w:szCs w:val="20"/>
          <w:color w:val="auto"/>
        </w:rPr>
      </w:pPr>
    </w:p>
    <w:p>
      <w:pPr>
        <w:ind w:left="880"/>
        <w:spacing w:after="0"/>
        <w:tabs>
          <w:tab w:leader="none" w:pos="2420" w:val="left"/>
        </w:tabs>
        <w:rPr>
          <w:sz w:val="20"/>
          <w:szCs w:val="20"/>
          <w:color w:val="auto"/>
        </w:rPr>
      </w:pPr>
      <w:r>
        <w:rPr>
          <w:rFonts w:ascii="Arial" w:cs="Arial" w:eastAsia="Arial" w:hAnsi="Arial"/>
          <w:sz w:val="20"/>
          <w:szCs w:val="20"/>
          <w:b w:val="1"/>
          <w:bCs w:val="1"/>
          <w:color w:val="auto"/>
        </w:rPr>
        <w:t>Section 7.1</w:t>
      </w:r>
      <w:r>
        <w:rPr>
          <w:sz w:val="20"/>
          <w:szCs w:val="20"/>
          <w:color w:val="auto"/>
        </w:rPr>
        <w:tab/>
      </w:r>
      <w:r>
        <w:rPr>
          <w:rFonts w:ascii="Arial" w:cs="Arial" w:eastAsia="Arial" w:hAnsi="Arial"/>
          <w:sz w:val="18"/>
          <w:szCs w:val="18"/>
          <w:u w:val="single" w:color="auto"/>
          <w:color w:val="auto"/>
        </w:rPr>
        <w:t>Conditions to Closing</w:t>
      </w:r>
      <w:r>
        <w:rPr>
          <w:rFonts w:ascii="Arial" w:cs="Arial" w:eastAsia="Arial" w:hAnsi="Arial"/>
          <w:sz w:val="18"/>
          <w:szCs w:val="18"/>
          <w:color w:val="auto"/>
        </w:rPr>
        <w:t>. The obligation of each Lender to make the initial Loans on the Closing Date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-130810</wp:posOffset>
            </wp:positionV>
            <wp:extent cx="26035"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26035" cy="137160"/>
                    </a:xfrm>
                    <a:prstGeom prst="rect">
                      <a:avLst/>
                    </a:prstGeom>
                    <a:noFill/>
                  </pic:spPr>
                </pic:pic>
              </a:graphicData>
            </a:graphic>
          </wp:anchor>
        </w:drawing>
      </w:r>
    </w:p>
    <w:p>
      <w:pPr>
        <w:spacing w:after="0" w:line="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subject to the receipt by Agent of each agreement, document and instrument set forth on the closing checklist attached hereto as </w:t>
      </w:r>
      <w:r>
        <w:rPr>
          <w:rFonts w:ascii="Arial" w:cs="Arial" w:eastAsia="Arial" w:hAnsi="Arial"/>
          <w:sz w:val="20"/>
          <w:szCs w:val="20"/>
          <w:u w:val="single" w:color="auto"/>
          <w:color w:val="auto"/>
        </w:rPr>
        <w:t>Exhibit F</w:t>
      </w:r>
      <w:r>
        <w:rPr>
          <w:rFonts w:ascii="Arial" w:cs="Arial" w:eastAsia="Arial" w:hAnsi="Arial"/>
          <w:sz w:val="20"/>
          <w:szCs w:val="20"/>
          <w:color w:val="auto"/>
        </w:rPr>
        <w:t>, each in form and substance reasonably satisfactory to Agent, and to the satisfaction of the following conditions precedent, each to the reasonable satisfaction of Agent:</w:t>
      </w:r>
    </w:p>
    <w:p>
      <w:pPr>
        <w:spacing w:after="0" w:line="196" w:lineRule="exact"/>
        <w:rPr>
          <w:sz w:val="20"/>
          <w:szCs w:val="20"/>
          <w:color w:val="auto"/>
        </w:rPr>
      </w:pPr>
    </w:p>
    <w:p>
      <w:pPr>
        <w:ind w:firstLine="1735"/>
        <w:spacing w:after="0" w:line="260" w:lineRule="auto"/>
        <w:tabs>
          <w:tab w:leader="none" w:pos="2595"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receipt by Agent of executed counterparts of this Agreement and the other Financing Documents as set forth in the closing checklist provided by Agent to the Borrowers prior to the Closing Date;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6" w:name="page117"/>
    <w:bookmarkEnd w:id="116"/>
    <w:p>
      <w:pPr>
        <w:ind w:left="2620" w:hanging="885"/>
        <w:spacing w:after="0"/>
        <w:tabs>
          <w:tab w:leader="none" w:pos="2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payment of all fees, expenses and other amounts due and payable under each Financing Document;</w:t>
      </w:r>
    </w:p>
    <w:p>
      <w:pPr>
        <w:spacing w:after="0" w:line="238" w:lineRule="exact"/>
        <w:rPr>
          <w:rFonts w:ascii="Arial" w:cs="Arial" w:eastAsia="Arial" w:hAnsi="Arial"/>
          <w:sz w:val="18"/>
          <w:szCs w:val="18"/>
          <w:color w:val="auto"/>
        </w:rPr>
      </w:pPr>
    </w:p>
    <w:p>
      <w:pPr>
        <w:jc w:val="both"/>
        <w:ind w:firstLine="1735"/>
        <w:spacing w:after="0" w:line="250" w:lineRule="auto"/>
        <w:tabs>
          <w:tab w:leader="none" w:pos="2595" w:val="left"/>
        </w:tabs>
        <w:numPr>
          <w:ilvl w:val="0"/>
          <w:numId w:val="99"/>
        </w:numPr>
        <w:rPr>
          <w:rFonts w:ascii="Arial" w:cs="Arial" w:eastAsia="Arial" w:hAnsi="Arial"/>
          <w:sz w:val="20"/>
          <w:szCs w:val="20"/>
          <w:color w:val="auto"/>
        </w:rPr>
      </w:pPr>
      <w:r>
        <w:rPr>
          <w:rFonts w:ascii="Arial" w:cs="Arial" w:eastAsia="Arial" w:hAnsi="Arial"/>
          <w:sz w:val="20"/>
          <w:szCs w:val="20"/>
          <w:color w:val="auto"/>
        </w:rPr>
        <w:t>since December 31, 2019, the absence of any material adverse change in any aspect of the business, operations, properties, or financial condition of any Credit Party, or any event or condition which would reasonably be expected to result in such a material adverse change;</w:t>
      </w:r>
    </w:p>
    <w:p>
      <w:pPr>
        <w:spacing w:after="0" w:line="186"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9"/>
          <w:szCs w:val="19"/>
          <w:color w:val="auto"/>
        </w:rPr>
        <w:t>Each Lender, by delivering its signature page to this Agreement, shall be deemed to have acknowledged receipt of, and consented to and approved, each Financing Document, each additional Financing Document and each other document, agreement and/or instrument required to be approved by Agent, Required Lenders or Lenders, as applicable, on the Closing Date.</w:t>
      </w:r>
    </w:p>
    <w:p>
      <w:pPr>
        <w:spacing w:after="0" w:line="164"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 xml:space="preserve">Section 7.2 </w:t>
      </w:r>
      <w:r>
        <w:rPr>
          <w:rFonts w:ascii="Arial" w:cs="Arial" w:eastAsia="Arial" w:hAnsi="Arial"/>
          <w:sz w:val="20"/>
          <w:szCs w:val="20"/>
          <w:u w:val="single" w:color="auto"/>
          <w:color w:val="auto"/>
        </w:rPr>
        <w:t>Conditions to Each Loan</w:t>
      </w:r>
      <w:r>
        <w:rPr>
          <w:rFonts w:ascii="Arial" w:cs="Arial" w:eastAsia="Arial" w:hAnsi="Arial"/>
          <w:sz w:val="20"/>
          <w:szCs w:val="20"/>
          <w:color w:val="auto"/>
        </w:rPr>
        <w:t>. The obligation of the Lenders to make a Loan or an advance in respect of any Loan,</w:t>
      </w:r>
      <w:r>
        <w:rPr>
          <w:rFonts w:ascii="Arial" w:cs="Arial" w:eastAsia="Arial" w:hAnsi="Arial"/>
          <w:sz w:val="20"/>
          <w:szCs w:val="20"/>
          <w:b w:val="1"/>
          <w:bCs w:val="1"/>
          <w:color w:val="auto"/>
        </w:rPr>
        <w:t xml:space="preserve"> </w:t>
      </w:r>
      <w:r>
        <w:rPr>
          <w:rFonts w:ascii="Arial" w:cs="Arial" w:eastAsia="Arial" w:hAnsi="Arial"/>
          <w:sz w:val="20"/>
          <w:szCs w:val="20"/>
          <w:color w:val="auto"/>
        </w:rPr>
        <w:t>is subject to the satisfaction of the following additional conditions:</w:t>
      </w:r>
    </w:p>
    <w:p>
      <w:pPr>
        <w:spacing w:after="0" w:line="169" w:lineRule="exact"/>
        <w:rPr>
          <w:sz w:val="20"/>
          <w:szCs w:val="20"/>
          <w:color w:val="auto"/>
        </w:rPr>
      </w:pPr>
    </w:p>
    <w:p>
      <w:pPr>
        <w:ind w:left="2600" w:hanging="865"/>
        <w:spacing w:after="0"/>
        <w:tabs>
          <w:tab w:leader="none" w:pos="26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fact that, immediately before and after such advance, no Default or Event of Default shall have occurred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and be continuing;</w:t>
      </w:r>
    </w:p>
    <w:p>
      <w:pPr>
        <w:spacing w:after="0" w:line="200" w:lineRule="exact"/>
        <w:rPr>
          <w:sz w:val="20"/>
          <w:szCs w:val="20"/>
          <w:color w:val="auto"/>
        </w:rPr>
      </w:pPr>
    </w:p>
    <w:p>
      <w:pPr>
        <w:jc w:val="both"/>
        <w:ind w:firstLine="1735"/>
        <w:spacing w:after="0" w:line="291" w:lineRule="auto"/>
        <w:tabs>
          <w:tab w:leader="none" w:pos="260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fact that the representations and warranties of each Credit Party contained in the Financing Documents shall be true, correct and complete on and as of the Closing Date, except to the extent that any such representation or warranty relates to a specific date (in which case such representation or warranty shall be true and correct as of such earlier date); and</w:t>
      </w:r>
    </w:p>
    <w:p>
      <w:pPr>
        <w:spacing w:after="0" w:line="151" w:lineRule="exact"/>
        <w:rPr>
          <w:rFonts w:ascii="Arial" w:cs="Arial" w:eastAsia="Arial" w:hAnsi="Arial"/>
          <w:sz w:val="18"/>
          <w:szCs w:val="18"/>
          <w:color w:val="auto"/>
        </w:rPr>
      </w:pPr>
    </w:p>
    <w:p>
      <w:pPr>
        <w:ind w:left="2660" w:hanging="925"/>
        <w:spacing w:after="0"/>
        <w:tabs>
          <w:tab w:leader="none" w:pos="2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since the Closing Date, no event has occurred which would be reasonably likely to have a Material Adverse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Effect.</w:t>
      </w:r>
    </w:p>
    <w:p>
      <w:pPr>
        <w:spacing w:after="0" w:line="200"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Each giving of a Notice of Borrowing hereunder and each acceptance by any Borrower of the proceeds of any Loan made hereunder shall be deemed to be a representation and warranty by each Borrower on the date of such notice or acceptance as to the satisfaction of the conditions specified in this Section.</w:t>
      </w:r>
    </w:p>
    <w:p>
      <w:pPr>
        <w:spacing w:after="0" w:line="180"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8"/>
          <w:szCs w:val="18"/>
          <w:b w:val="1"/>
          <w:bCs w:val="1"/>
          <w:color w:val="auto"/>
        </w:rPr>
        <w:t xml:space="preserve">Section 7.3 </w:t>
      </w:r>
      <w:r>
        <w:rPr>
          <w:rFonts w:ascii="Arial" w:cs="Arial" w:eastAsia="Arial" w:hAnsi="Arial"/>
          <w:sz w:val="18"/>
          <w:szCs w:val="18"/>
          <w:u w:val="single" w:color="auto"/>
          <w:color w:val="auto"/>
        </w:rPr>
        <w:t>Searches</w:t>
      </w:r>
      <w:r>
        <w:rPr>
          <w:rFonts w:ascii="Arial" w:cs="Arial" w:eastAsia="Arial" w:hAnsi="Arial"/>
          <w:sz w:val="18"/>
          <w:szCs w:val="18"/>
          <w:color w:val="auto"/>
        </w:rPr>
        <w:t>. Before the Closing Date, and thereafter (as and when determined by Agent in its discretion), Agent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right to perform, all at Borrowers’ reasonable expense, the searches described in clauses (a), (b), and (c) below against Borrowers and any other Credit Party, the results of which are to be consistent with Borrowers’ representations and warranties under this Agreement and the satisfactory results of which shall be a condition precedent to all advances of Loan proceeds: (a) UCC searches with the Secretary of State of the jurisdiction in which the applicable Person is organized; (b) judgment, pending litigation, federal tax lien, personal property tax lien, and corporate and partnership tax lien searches, in each jurisdiction searched under clause (a) above; and (c) searches of applicable corporate, limited liability company, partnership and related records to confirm the continued existence, organization and good standing of the applicable Person and the exact legal name under which such Person is organized.</w:t>
      </w:r>
    </w:p>
    <w:p>
      <w:pPr>
        <w:spacing w:after="0" w:line="162"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b w:val="1"/>
          <w:bCs w:val="1"/>
          <w:color w:val="auto"/>
        </w:rPr>
        <w:t xml:space="preserve">Section 7.4 </w:t>
      </w:r>
      <w:r>
        <w:rPr>
          <w:rFonts w:ascii="Arial" w:cs="Arial" w:eastAsia="Arial" w:hAnsi="Arial"/>
          <w:sz w:val="20"/>
          <w:szCs w:val="20"/>
          <w:u w:val="single" w:color="auto"/>
          <w:color w:val="auto"/>
        </w:rPr>
        <w:t>Post Closing Requirements</w:t>
      </w:r>
      <w:r>
        <w:rPr>
          <w:rFonts w:ascii="Arial" w:cs="Arial" w:eastAsia="Arial" w:hAnsi="Arial"/>
          <w:sz w:val="20"/>
          <w:szCs w:val="20"/>
          <w:color w:val="auto"/>
        </w:rPr>
        <w:t>. Borrowers shall complete each of the post closing obligations and/or provide to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Agent each of the documents, instruments, agreements and information listed on </w:t>
      </w:r>
      <w:r>
        <w:rPr>
          <w:rFonts w:ascii="Arial" w:cs="Arial" w:eastAsia="Arial" w:hAnsi="Arial"/>
          <w:sz w:val="20"/>
          <w:szCs w:val="20"/>
          <w:u w:val="single" w:color="auto"/>
          <w:color w:val="auto"/>
        </w:rPr>
        <w:t>Schedule 7.4</w:t>
      </w:r>
      <w:r>
        <w:rPr>
          <w:rFonts w:ascii="Arial" w:cs="Arial" w:eastAsia="Arial" w:hAnsi="Arial"/>
          <w:sz w:val="20"/>
          <w:szCs w:val="20"/>
          <w:color w:val="auto"/>
        </w:rPr>
        <w:t xml:space="preserve"> attached hereto on or before the date set forth for each such item thereon (or such later date as Agent may agree in its sole discretion), each of which shall be completed or provided in form and substance reasonably satisfactory to Agent.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17" w:name="page118"/>
    <w:bookmarkEnd w:id="117"/>
    <w:tbl>
      <w:tblPr>
        <w:tblLayout w:type="fixed"/>
        <w:tblInd w:w="880" w:type="dxa"/>
        <w:tblCellMar>
          <w:top w:w="0" w:type="dxa"/>
          <w:left w:w="0" w:type="dxa"/>
          <w:bottom w:w="0" w:type="dxa"/>
          <w:right w:w="0" w:type="dxa"/>
        </w:tblCellMar>
      </w:tblPr>
      <w:tr>
        <w:trPr>
          <w:trHeight w:val="256"/>
        </w:trPr>
        <w:tc>
          <w:tcPr>
            <w:tcW w:w="1560" w:type="dxa"/>
            <w:vAlign w:val="bottom"/>
          </w:tcPr>
          <w:p>
            <w:pPr>
              <w:spacing w:after="0"/>
              <w:rPr>
                <w:sz w:val="22"/>
                <w:szCs w:val="22"/>
                <w:color w:val="auto"/>
              </w:rPr>
            </w:pPr>
          </w:p>
        </w:tc>
        <w:tc>
          <w:tcPr>
            <w:tcW w:w="8800" w:type="dxa"/>
            <w:vAlign w:val="bottom"/>
            <w:gridSpan w:val="2"/>
          </w:tcPr>
          <w:p>
            <w:pPr>
              <w:ind w:left="1360"/>
              <w:spacing w:after="0"/>
              <w:rPr>
                <w:sz w:val="20"/>
                <w:szCs w:val="20"/>
                <w:color w:val="auto"/>
              </w:rPr>
            </w:pPr>
            <w:r>
              <w:rPr>
                <w:rFonts w:ascii="Arial" w:cs="Arial" w:eastAsia="Arial" w:hAnsi="Arial"/>
                <w:sz w:val="20"/>
                <w:szCs w:val="20"/>
                <w:b w:val="1"/>
                <w:bCs w:val="1"/>
                <w:color w:val="auto"/>
              </w:rPr>
              <w:t>ARTICLE 8 – REGULATORY MATTERS</w:t>
            </w:r>
          </w:p>
        </w:tc>
      </w:tr>
      <w:tr>
        <w:trPr>
          <w:trHeight w:val="465"/>
        </w:trPr>
        <w:tc>
          <w:tcPr>
            <w:tcW w:w="1560" w:type="dxa"/>
            <w:vAlign w:val="bottom"/>
          </w:tcPr>
          <w:p>
            <w:pPr>
              <w:spacing w:after="0"/>
              <w:rPr>
                <w:sz w:val="20"/>
                <w:szCs w:val="20"/>
                <w:color w:val="auto"/>
              </w:rPr>
            </w:pPr>
            <w:r>
              <w:rPr>
                <w:rFonts w:ascii="Arial" w:cs="Arial" w:eastAsia="Arial" w:hAnsi="Arial"/>
                <w:sz w:val="20"/>
                <w:szCs w:val="20"/>
                <w:b w:val="1"/>
                <w:bCs w:val="1"/>
                <w:color w:val="auto"/>
              </w:rPr>
              <w:t>Section 8.1</w:t>
            </w:r>
          </w:p>
        </w:tc>
        <w:tc>
          <w:tcPr>
            <w:tcW w:w="8800" w:type="dxa"/>
            <w:vAlign w:val="bottom"/>
            <w:gridSpan w:val="2"/>
          </w:tcPr>
          <w:p>
            <w:pPr>
              <w:spacing w:after="0"/>
              <w:rPr>
                <w:sz w:val="20"/>
                <w:szCs w:val="20"/>
                <w:color w:val="auto"/>
              </w:rPr>
            </w:pPr>
            <w:r>
              <w:rPr>
                <w:rFonts w:ascii="Arial" w:cs="Arial" w:eastAsia="Arial" w:hAnsi="Arial"/>
                <w:sz w:val="20"/>
                <w:szCs w:val="20"/>
                <w:color w:val="auto"/>
              </w:rPr>
              <w:t>Reserved</w:t>
            </w:r>
            <w:r>
              <w:rPr>
                <w:rFonts w:ascii="Arial" w:cs="Arial" w:eastAsia="Arial" w:hAnsi="Arial"/>
                <w:sz w:val="21"/>
                <w:szCs w:val="21"/>
                <w:color w:val="auto"/>
              </w:rPr>
              <w:t>.</w:t>
            </w:r>
          </w:p>
        </w:tc>
      </w:tr>
      <w:tr>
        <w:trPr>
          <w:trHeight w:val="395"/>
        </w:trPr>
        <w:tc>
          <w:tcPr>
            <w:tcW w:w="1560" w:type="dxa"/>
            <w:vAlign w:val="bottom"/>
          </w:tcPr>
          <w:p>
            <w:pPr>
              <w:spacing w:after="0"/>
              <w:rPr>
                <w:sz w:val="20"/>
                <w:szCs w:val="20"/>
                <w:color w:val="auto"/>
              </w:rPr>
            </w:pPr>
            <w:r>
              <w:rPr>
                <w:rFonts w:ascii="Arial" w:cs="Arial" w:eastAsia="Arial" w:hAnsi="Arial"/>
                <w:sz w:val="20"/>
                <w:szCs w:val="20"/>
                <w:b w:val="1"/>
                <w:bCs w:val="1"/>
                <w:color w:val="auto"/>
              </w:rPr>
              <w:t>Section 8.2</w:t>
            </w:r>
          </w:p>
        </w:tc>
        <w:tc>
          <w:tcPr>
            <w:tcW w:w="8800" w:type="dxa"/>
            <w:vAlign w:val="bottom"/>
            <w:gridSpan w:val="2"/>
          </w:tcPr>
          <w:p>
            <w:pPr>
              <w:spacing w:after="0"/>
              <w:rPr>
                <w:sz w:val="20"/>
                <w:szCs w:val="20"/>
                <w:color w:val="auto"/>
              </w:rPr>
            </w:pPr>
            <w:r>
              <w:rPr>
                <w:rFonts w:ascii="Arial" w:cs="Arial" w:eastAsia="Arial" w:hAnsi="Arial"/>
                <w:sz w:val="20"/>
                <w:szCs w:val="20"/>
                <w:color w:val="auto"/>
                <w:w w:val="89"/>
              </w:rPr>
              <w:t>Representations and Warranties. To induce Agent and Lenders to enter into this Agreement and to make credit</w:t>
            </w:r>
          </w:p>
        </w:tc>
      </w:tr>
      <w:tr>
        <w:trPr>
          <w:trHeight w:val="20"/>
        </w:trPr>
        <w:tc>
          <w:tcPr>
            <w:tcW w:w="156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 xml:space="preserve">accommodations contemplated hereby, Borrowers hereby represent and warrant that all of the information regarding the Borrowers set forth in </w:t>
      </w:r>
      <w:r>
        <w:rPr>
          <w:rFonts w:ascii="Arial" w:cs="Arial" w:eastAsia="Arial" w:hAnsi="Arial"/>
          <w:sz w:val="19"/>
          <w:szCs w:val="19"/>
          <w:u w:val="single" w:color="auto"/>
          <w:color w:val="auto"/>
        </w:rPr>
        <w:t>Schedule 8.2(a)</w:t>
      </w:r>
      <w:r>
        <w:rPr>
          <w:rFonts w:ascii="Arial" w:cs="Arial" w:eastAsia="Arial" w:hAnsi="Arial"/>
          <w:sz w:val="19"/>
          <w:szCs w:val="19"/>
          <w:color w:val="auto"/>
        </w:rPr>
        <w:t xml:space="preserve"> is true, complete and correct, and that, except as disclosed in </w:t>
      </w:r>
      <w:r>
        <w:rPr>
          <w:rFonts w:ascii="Arial" w:cs="Arial" w:eastAsia="Arial" w:hAnsi="Arial"/>
          <w:sz w:val="19"/>
          <w:szCs w:val="19"/>
          <w:u w:val="single" w:color="auto"/>
          <w:color w:val="auto"/>
        </w:rPr>
        <w:t>Schedule 8.2(b)</w:t>
      </w:r>
      <w:r>
        <w:rPr>
          <w:rFonts w:ascii="Arial" w:cs="Arial" w:eastAsia="Arial" w:hAnsi="Arial"/>
          <w:sz w:val="19"/>
          <w:szCs w:val="19"/>
          <w:color w:val="auto"/>
        </w:rPr>
        <w:t>, the following statements are true, complete and correct as of the Closing Date, and Borrowers hereby covenant and agree to notify Agent within three (3) Business Days (but in any event prior to Borrowers submitting any requests for advances of reserves or escrows or fundings of credit facility proceeds under this Agreement) following the occurrence of any facts, events or circumstances known to a Borrower, whether threatened, existing or pending, that would make any of the following representations and warranties materially untrue, incomplete or incorrect (together with such supporting data and information as shall be necessary to fully explain to Agent the scope and nature of the fact, event or circumstance), and shall provide to Agent within two (2) Business Days of Agent’s request, such additional information as Agent shall request regarding such disclosure:</w:t>
      </w:r>
    </w:p>
    <w:p>
      <w:pPr>
        <w:spacing w:after="0" w:line="184" w:lineRule="exact"/>
        <w:rPr>
          <w:sz w:val="20"/>
          <w:szCs w:val="20"/>
          <w:color w:val="auto"/>
        </w:rPr>
      </w:pPr>
    </w:p>
    <w:p>
      <w:pPr>
        <w:ind w:right="20" w:firstLine="1735"/>
        <w:spacing w:after="0" w:line="260" w:lineRule="auto"/>
        <w:tabs>
          <w:tab w:leader="none" w:pos="2595"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Disclosure</w:t>
      </w:r>
      <w:r>
        <w:rPr>
          <w:rFonts w:ascii="Arial" w:cs="Arial" w:eastAsia="Arial" w:hAnsi="Arial"/>
          <w:sz w:val="20"/>
          <w:szCs w:val="20"/>
          <w:color w:val="auto"/>
        </w:rPr>
        <w:t xml:space="preserve">. All of Borrower’s Products and Regulatory Required Permits are listed on </w:t>
      </w:r>
      <w:r>
        <w:rPr>
          <w:rFonts w:ascii="Arial" w:cs="Arial" w:eastAsia="Arial" w:hAnsi="Arial"/>
          <w:sz w:val="20"/>
          <w:szCs w:val="20"/>
          <w:u w:val="single" w:color="auto"/>
          <w:color w:val="auto"/>
        </w:rPr>
        <w:t>Schedule 8.2(a</w:t>
      </w:r>
      <w:r>
        <w:rPr>
          <w:rFonts w:ascii="Arial" w:cs="Arial" w:eastAsia="Arial" w:hAnsi="Arial"/>
          <w:sz w:val="20"/>
          <w:szCs w:val="20"/>
          <w:color w:val="auto"/>
        </w:rPr>
        <w:t>) (as updated from time to time pursuant to Section 4.15).</w:t>
      </w:r>
    </w:p>
    <w:p>
      <w:pPr>
        <w:spacing w:after="0" w:line="176" w:lineRule="exact"/>
        <w:rPr>
          <w:rFonts w:ascii="Arial" w:cs="Arial" w:eastAsia="Arial" w:hAnsi="Arial"/>
          <w:sz w:val="20"/>
          <w:szCs w:val="20"/>
          <w:color w:val="auto"/>
        </w:rPr>
      </w:pPr>
    </w:p>
    <w:p>
      <w:pPr>
        <w:jc w:val="both"/>
        <w:ind w:firstLine="1735"/>
        <w:spacing w:after="0" w:line="273" w:lineRule="auto"/>
        <w:tabs>
          <w:tab w:leader="none" w:pos="2606"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Permits</w:t>
      </w:r>
      <w:r>
        <w:rPr>
          <w:rFonts w:ascii="Arial" w:cs="Arial" w:eastAsia="Arial" w:hAnsi="Arial"/>
          <w:sz w:val="18"/>
          <w:szCs w:val="18"/>
          <w:color w:val="auto"/>
        </w:rPr>
        <w:t>. Borrowers have (i) each material Permit, and have made all material declarations and filings relating to such Permits with, all applicable Governmental Authorities, all self regulatory authorities and all courts and other tribunals necessary to engage in the ownership, management and operation of the business or the assets of any Borrower, and (ii) received no written notice from any Governmental Authority stating that it is limiting, suspending or revoking any such Permit where such limiting, suspending or revoking would reasonably be expected to have a Material Adverse Effect. Borrower has delivered to Agent a copy of all Permits requested by Agent as of the Closing Date or to the extent requested by Agent pursuant to Section 4.17. All such Permits are valid and in full force and effect and Borrowers are in material compliance with the terms and conditions of all such Permits, except where failure to be in such compliance or for a Permit to be valid and in full force and effect would not have a Material Adverse Effect.</w:t>
      </w:r>
    </w:p>
    <w:p>
      <w:pPr>
        <w:spacing w:after="0" w:line="168" w:lineRule="exact"/>
        <w:rPr>
          <w:rFonts w:ascii="Arial" w:cs="Arial" w:eastAsia="Arial" w:hAnsi="Arial"/>
          <w:sz w:val="18"/>
          <w:szCs w:val="18"/>
          <w:color w:val="auto"/>
        </w:rPr>
      </w:pPr>
    </w:p>
    <w:p>
      <w:pPr>
        <w:jc w:val="both"/>
        <w:ind w:firstLine="1735"/>
        <w:spacing w:after="0" w:line="269" w:lineRule="auto"/>
        <w:tabs>
          <w:tab w:leader="none" w:pos="2595"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Regulatory Required Permits</w:t>
      </w:r>
      <w:r>
        <w:rPr>
          <w:rFonts w:ascii="Arial" w:cs="Arial" w:eastAsia="Arial" w:hAnsi="Arial"/>
          <w:sz w:val="18"/>
          <w:szCs w:val="18"/>
          <w:color w:val="auto"/>
        </w:rPr>
        <w:t>. With respect to any Product, (i) Borrower and its Subsidiaries have received, and such Product is the subject of, all Regulatory Required Permits needed to be held by Borrower and its Subsidiaries under applicable Laws in connection with their testing, manufacture, marketing or sale of such Product except where the failure to receive or be the subject of such Regulatory Required Permits would not reasonably be expected to have Material Adverse Effect, and no Borrower has received any written notice from any applicable Governmental Authority, specifically including the FDA, that such Governmental Authority is, outside of the normal maintenance or renewal process, conducting an investigation or review of any such Regulatory Required Permit or approval which has disclosed, and notification of which has been provided to Borrower in writing, any material deficiencies or violations of the Regulatory Required Permits, or that any such Regulatory Required Permit has been revoked or withdrawn where such revocation or withdrawal would reasonably be expected to have Material Adverse Effect, nor has any such Governmental Authority issued any written order or recommendation stating that such development, testing, manufacturing, marketing or sales of such Product by Borrower should cease, where such cessation would reasonably be expected to have Material Adverse Effect (ii) to Borrower’s knowledge, such Product is being tested, manufactured, marketed or sold, as the case may be, in material compliance with all applicable Laws and Regulatory Required Permits, and Borrower has not received any notice from any applicable Governmental Authority, specifically including the FDA, that such Governmental Authority is conducting an investigation or inspection of (A) Borrower’s manufacturing facilities and processes for such Product which have disclosed any material deficiencies or violations 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8" w:name="page119"/>
    <w:bookmarkEnd w:id="118"/>
    <w:p>
      <w:pPr>
        <w:jc w:val="both"/>
        <w:spacing w:after="0" w:line="244" w:lineRule="auto"/>
        <w:rPr>
          <w:sz w:val="20"/>
          <w:szCs w:val="20"/>
          <w:color w:val="auto"/>
        </w:rPr>
      </w:pPr>
      <w:r>
        <w:rPr>
          <w:rFonts w:ascii="Arial" w:cs="Arial" w:eastAsia="Arial" w:hAnsi="Arial"/>
          <w:sz w:val="20"/>
          <w:szCs w:val="20"/>
          <w:color w:val="auto"/>
        </w:rPr>
        <w:t>Laws (including Healthcare Laws) and/or the Regulatory Required Permits related to the manufacture of such Product, or (B) (outside of the normal maintenance or renewal process) any such Regulatory Required Permit or that any such Regulatory Required Permit has been revoked or withdrawn, nor has any such Governmental Authority issued any order or recommendation stating that the development, testing and/or manufacturing of such Product by Borrower should cease and in each case would reasonably be expected to have a Material Adverse Effect.</w:t>
      </w:r>
    </w:p>
    <w:p>
      <w:pPr>
        <w:spacing w:after="0" w:line="194" w:lineRule="exact"/>
        <w:rPr>
          <w:sz w:val="20"/>
          <w:szCs w:val="20"/>
          <w:color w:val="auto"/>
        </w:rPr>
      </w:pPr>
    </w:p>
    <w:p>
      <w:pPr>
        <w:ind w:left="2620" w:hanging="885"/>
        <w:spacing w:after="0"/>
        <w:tabs>
          <w:tab w:leader="none" w:pos="2620" w:val="left"/>
        </w:tabs>
        <w:numPr>
          <w:ilvl w:val="1"/>
          <w:numId w:val="103"/>
        </w:numPr>
        <w:rPr>
          <w:rFonts w:ascii="Arial" w:cs="Arial" w:eastAsia="Arial" w:hAnsi="Arial"/>
          <w:sz w:val="20"/>
          <w:szCs w:val="20"/>
          <w:color w:val="auto"/>
        </w:rPr>
      </w:pPr>
      <w:r>
        <w:rPr>
          <w:rFonts w:ascii="Arial" w:cs="Arial" w:eastAsia="Arial" w:hAnsi="Arial"/>
          <w:sz w:val="20"/>
          <w:szCs w:val="20"/>
          <w:u w:val="single" w:color="auto"/>
          <w:color w:val="auto"/>
        </w:rPr>
        <w:t>Healthcare and Regulatory Events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880" w:right="300" w:firstLine="1586"/>
        <w:spacing w:after="0" w:line="260" w:lineRule="auto"/>
        <w:tabs>
          <w:tab w:leader="none" w:pos="3309" w:val="left"/>
        </w:tabs>
        <w:numPr>
          <w:ilvl w:val="2"/>
          <w:numId w:val="103"/>
        </w:numPr>
        <w:rPr>
          <w:rFonts w:ascii="Arial" w:cs="Arial" w:eastAsia="Arial" w:hAnsi="Arial"/>
          <w:sz w:val="20"/>
          <w:szCs w:val="20"/>
          <w:color w:val="auto"/>
        </w:rPr>
      </w:pPr>
      <w:r>
        <w:rPr>
          <w:rFonts w:ascii="Arial" w:cs="Arial" w:eastAsia="Arial" w:hAnsi="Arial"/>
          <w:sz w:val="20"/>
          <w:szCs w:val="20"/>
          <w:color w:val="auto"/>
        </w:rPr>
        <w:t>None of the Borrowers are in violation of any Healthcare Laws, except where any such violation would not reasonably be expected to have a Material Adverse Effect.</w:t>
      </w:r>
    </w:p>
    <w:p>
      <w:pPr>
        <w:spacing w:after="0" w:line="176" w:lineRule="exact"/>
        <w:rPr>
          <w:rFonts w:ascii="Arial" w:cs="Arial" w:eastAsia="Arial" w:hAnsi="Arial"/>
          <w:sz w:val="20"/>
          <w:szCs w:val="20"/>
          <w:color w:val="auto"/>
        </w:rPr>
      </w:pPr>
    </w:p>
    <w:p>
      <w:pPr>
        <w:ind w:left="3360" w:hanging="894"/>
        <w:spacing w:after="0"/>
        <w:tabs>
          <w:tab w:leader="none" w:pos="3360" w:val="left"/>
        </w:tabs>
        <w:numPr>
          <w:ilvl w:val="2"/>
          <w:numId w:val="103"/>
        </w:numPr>
        <w:rPr>
          <w:rFonts w:ascii="Arial" w:cs="Arial" w:eastAsia="Arial" w:hAnsi="Arial"/>
          <w:sz w:val="20"/>
          <w:szCs w:val="20"/>
          <w:color w:val="auto"/>
        </w:rPr>
      </w:pPr>
      <w:r>
        <w:rPr>
          <w:rFonts w:ascii="Arial" w:cs="Arial" w:eastAsia="Arial" w:hAnsi="Arial"/>
          <w:sz w:val="20"/>
          <w:szCs w:val="20"/>
          <w:color w:val="auto"/>
        </w:rPr>
        <w:t>As of the Closing Date, there have been no Regulatory Reporting Events.</w:t>
      </w:r>
    </w:p>
    <w:p>
      <w:pPr>
        <w:spacing w:after="0" w:line="215" w:lineRule="exact"/>
        <w:rPr>
          <w:rFonts w:ascii="Arial" w:cs="Arial" w:eastAsia="Arial" w:hAnsi="Arial"/>
          <w:sz w:val="20"/>
          <w:szCs w:val="20"/>
          <w:color w:val="auto"/>
        </w:rPr>
      </w:pPr>
    </w:p>
    <w:p>
      <w:pPr>
        <w:ind w:left="880" w:right="160" w:firstLine="1586"/>
        <w:spacing w:after="0" w:line="250" w:lineRule="auto"/>
        <w:tabs>
          <w:tab w:leader="none" w:pos="3419" w:val="left"/>
        </w:tabs>
        <w:numPr>
          <w:ilvl w:val="2"/>
          <w:numId w:val="103"/>
        </w:numPr>
        <w:rPr>
          <w:rFonts w:ascii="Arial" w:cs="Arial" w:eastAsia="Arial" w:hAnsi="Arial"/>
          <w:sz w:val="20"/>
          <w:szCs w:val="20"/>
          <w:color w:val="auto"/>
        </w:rPr>
      </w:pPr>
      <w:r>
        <w:rPr>
          <w:rFonts w:ascii="Arial" w:cs="Arial" w:eastAsia="Arial" w:hAnsi="Arial"/>
          <w:sz w:val="20"/>
          <w:szCs w:val="20"/>
          <w:color w:val="auto"/>
        </w:rPr>
        <w:t>No Borrower is participating in any Third Party Payor Program, it being understood that agreements to provide discounts or rebates on drugs or biologics reimbursed by Third Party Payors is not participation in a Third Party Payor Program.</w:t>
      </w:r>
    </w:p>
    <w:p>
      <w:pPr>
        <w:spacing w:after="0" w:line="185" w:lineRule="exact"/>
        <w:rPr>
          <w:rFonts w:ascii="Arial" w:cs="Arial" w:eastAsia="Arial" w:hAnsi="Arial"/>
          <w:sz w:val="20"/>
          <w:szCs w:val="20"/>
          <w:color w:val="auto"/>
        </w:rPr>
      </w:pPr>
    </w:p>
    <w:p>
      <w:pPr>
        <w:ind w:left="880" w:right="200" w:firstLine="1586"/>
        <w:spacing w:after="0" w:line="260" w:lineRule="auto"/>
        <w:tabs>
          <w:tab w:leader="none" w:pos="3408" w:val="left"/>
        </w:tabs>
        <w:numPr>
          <w:ilvl w:val="2"/>
          <w:numId w:val="103"/>
        </w:numPr>
        <w:rPr>
          <w:rFonts w:ascii="Arial" w:cs="Arial" w:eastAsia="Arial" w:hAnsi="Arial"/>
          <w:sz w:val="19"/>
          <w:szCs w:val="19"/>
          <w:color w:val="auto"/>
        </w:rPr>
      </w:pPr>
      <w:r>
        <w:rPr>
          <w:rFonts w:ascii="Arial" w:cs="Arial" w:eastAsia="Arial" w:hAnsi="Arial"/>
          <w:sz w:val="19"/>
          <w:szCs w:val="19"/>
          <w:color w:val="auto"/>
        </w:rPr>
        <w:t>None of the Borrower’s officers, directors, employees, shareholders, their agents or affiliates has made an untrue statement of material fact or fraudulent statement to the FDA or failed to disclose a material fact required to be disclosed to the FDA, committed an act, made a statement, or failed to make a statement that would reasonably be expected to provide a basis for the FDA to invoke its policy respecting “Fraud, Untrue Statements of Material Facts, Bribery, and Illegal Gratuities,” set forth in 56 Fed. Regulation 46191 (September 10, 1991).</w:t>
      </w:r>
    </w:p>
    <w:p>
      <w:pPr>
        <w:spacing w:after="0" w:line="180" w:lineRule="exact"/>
        <w:rPr>
          <w:rFonts w:ascii="Arial" w:cs="Arial" w:eastAsia="Arial" w:hAnsi="Arial"/>
          <w:sz w:val="19"/>
          <w:szCs w:val="19"/>
          <w:color w:val="auto"/>
        </w:rPr>
      </w:pPr>
    </w:p>
    <w:p>
      <w:pPr>
        <w:ind w:left="880" w:right="160" w:firstLine="1586"/>
        <w:spacing w:after="0" w:line="278" w:lineRule="auto"/>
        <w:tabs>
          <w:tab w:leader="none" w:pos="3353" w:val="left"/>
        </w:tabs>
        <w:numPr>
          <w:ilvl w:val="2"/>
          <w:numId w:val="103"/>
        </w:numPr>
        <w:rPr>
          <w:rFonts w:ascii="Arial" w:cs="Arial" w:eastAsia="Arial" w:hAnsi="Arial"/>
          <w:sz w:val="18"/>
          <w:szCs w:val="18"/>
          <w:color w:val="auto"/>
        </w:rPr>
      </w:pPr>
      <w:r>
        <w:rPr>
          <w:rFonts w:ascii="Arial" w:cs="Arial" w:eastAsia="Arial" w:hAnsi="Arial"/>
          <w:sz w:val="18"/>
          <w:szCs w:val="18"/>
          <w:color w:val="auto"/>
        </w:rPr>
        <w:t>Borrower has not received any written notice that any Governmental Authority, including without limitation the FDA, the Office of the Inspector General of HHS or the United States Department of Justice has commenced or threatened to initiate any material action against a Credit Party, any action to enjoin a Credit Party, their officers, directors, employees, shareholders or their agents and Affiliates, from conducting their businesses at any facility owned or used by them as it may relate to Borrower’s business or for any material civil penalty, injunction, seizure or criminal action.</w:t>
      </w:r>
    </w:p>
    <w:p>
      <w:pPr>
        <w:spacing w:after="0" w:line="164" w:lineRule="exact"/>
        <w:rPr>
          <w:rFonts w:ascii="Arial" w:cs="Arial" w:eastAsia="Arial" w:hAnsi="Arial"/>
          <w:sz w:val="18"/>
          <w:szCs w:val="18"/>
          <w:color w:val="auto"/>
        </w:rPr>
      </w:pPr>
    </w:p>
    <w:p>
      <w:pPr>
        <w:ind w:left="880" w:right="60" w:firstLine="1586"/>
        <w:spacing w:after="0" w:line="276" w:lineRule="auto"/>
        <w:tabs>
          <w:tab w:leader="none" w:pos="3408" w:val="left"/>
        </w:tabs>
        <w:numPr>
          <w:ilvl w:val="2"/>
          <w:numId w:val="103"/>
        </w:numPr>
        <w:rPr>
          <w:rFonts w:ascii="Arial" w:cs="Arial" w:eastAsia="Arial" w:hAnsi="Arial"/>
          <w:sz w:val="18"/>
          <w:szCs w:val="18"/>
          <w:color w:val="auto"/>
        </w:rPr>
      </w:pPr>
      <w:r>
        <w:rPr>
          <w:rFonts w:ascii="Arial" w:cs="Arial" w:eastAsia="Arial" w:hAnsi="Arial"/>
          <w:sz w:val="18"/>
          <w:szCs w:val="18"/>
          <w:color w:val="auto"/>
        </w:rPr>
        <w:t>Borrower has not received from the FDA a Warning Letter, Form FDA-483, “Untitled Letter,” other correspondence or notice setting forth allegedly objectionable observations or alleged violations of laws and regulations enforced by the FDA or any comparable correspondence from any state or local authority responsible for regulating drug products and establishments, or any comparable correspondence from any foreign counterpart of the FDA or any comparable correspondence from any foreign counterpart of any state or local authority with regard to any Product or the manufacture, processing, packing, or holding thereof, in each case that would reasonably be expected to have a Material Adverse Effect.</w:t>
      </w:r>
    </w:p>
    <w:p>
      <w:pPr>
        <w:spacing w:after="0" w:line="164" w:lineRule="exact"/>
        <w:rPr>
          <w:rFonts w:ascii="Arial" w:cs="Arial" w:eastAsia="Arial" w:hAnsi="Arial"/>
          <w:sz w:val="18"/>
          <w:szCs w:val="18"/>
          <w:color w:val="auto"/>
        </w:rPr>
      </w:pPr>
    </w:p>
    <w:p>
      <w:pPr>
        <w:ind w:left="880" w:right="20" w:firstLine="1586"/>
        <w:spacing w:after="0" w:line="260" w:lineRule="auto"/>
        <w:tabs>
          <w:tab w:leader="none" w:pos="3463" w:val="left"/>
        </w:tabs>
        <w:numPr>
          <w:ilvl w:val="2"/>
          <w:numId w:val="103"/>
        </w:numPr>
        <w:rPr>
          <w:rFonts w:ascii="Arial" w:cs="Arial" w:eastAsia="Arial" w:hAnsi="Arial"/>
          <w:sz w:val="20"/>
          <w:szCs w:val="20"/>
          <w:color w:val="auto"/>
        </w:rPr>
      </w:pPr>
      <w:r>
        <w:rPr>
          <w:rFonts w:ascii="Arial" w:cs="Arial" w:eastAsia="Arial" w:hAnsi="Arial"/>
          <w:sz w:val="20"/>
          <w:szCs w:val="20"/>
          <w:color w:val="auto"/>
        </w:rPr>
        <w:t>Borrower has not engaged in any material Recalls, Market Withdrawals, or other forms of product retrieval from the marketplace of any Products.</w:t>
      </w:r>
    </w:p>
    <w:p>
      <w:pPr>
        <w:spacing w:after="0" w:line="176" w:lineRule="exact"/>
        <w:rPr>
          <w:rFonts w:ascii="Arial" w:cs="Arial" w:eastAsia="Arial" w:hAnsi="Arial"/>
          <w:sz w:val="20"/>
          <w:szCs w:val="20"/>
          <w:color w:val="auto"/>
        </w:rPr>
      </w:pPr>
    </w:p>
    <w:p>
      <w:pPr>
        <w:ind w:left="3500" w:hanging="1034"/>
        <w:spacing w:after="0"/>
        <w:tabs>
          <w:tab w:leader="none" w:pos="350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Each Product (a) is not materially adulterated or misbranded within the meaning of the FDCA;</w:t>
      </w:r>
    </w:p>
    <w:p>
      <w:pPr>
        <w:spacing w:after="0" w:line="38" w:lineRule="exact"/>
        <w:rPr>
          <w:rFonts w:ascii="Arial" w:cs="Arial" w:eastAsia="Arial" w:hAnsi="Arial"/>
          <w:sz w:val="18"/>
          <w:szCs w:val="18"/>
          <w:color w:val="auto"/>
        </w:rPr>
      </w:pPr>
    </w:p>
    <w:p>
      <w:pPr>
        <w:ind w:left="880" w:right="120" w:hanging="8"/>
        <w:spacing w:after="0" w:line="260" w:lineRule="auto"/>
        <w:tabs>
          <w:tab w:leader="none" w:pos="116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is not an article prohibited from introduction into interstate commerce under the provisions of Section 505 of the FDCA; (c) each Product is being and/or shall be manufactured, imported, possessed, owned, warehoused, marketed, promoted, sold, labeled, furnished, distributed and marketed and in material compliance with all applicable Permits and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19" w:name="page120"/>
    <w:bookmarkEnd w:id="119"/>
    <w:p>
      <w:pPr>
        <w:ind w:left="880"/>
        <w:spacing w:after="0"/>
        <w:rPr>
          <w:sz w:val="20"/>
          <w:szCs w:val="20"/>
          <w:color w:val="auto"/>
        </w:rPr>
      </w:pPr>
      <w:r>
        <w:rPr>
          <w:rFonts w:ascii="Arial" w:cs="Arial" w:eastAsia="Arial" w:hAnsi="Arial"/>
          <w:sz w:val="18"/>
          <w:szCs w:val="18"/>
          <w:color w:val="auto"/>
        </w:rPr>
        <w:t>Laws; and (d) each Product is being and/or shall be manufactured in material compliance with Good Manufacturing Practices.</w:t>
      </w:r>
    </w:p>
    <w:p>
      <w:pPr>
        <w:spacing w:after="0" w:line="239" w:lineRule="exact"/>
        <w:rPr>
          <w:sz w:val="20"/>
          <w:szCs w:val="20"/>
          <w:color w:val="auto"/>
        </w:rPr>
      </w:pPr>
    </w:p>
    <w:p>
      <w:pPr>
        <w:jc w:val="both"/>
        <w:ind w:firstLine="1735"/>
        <w:spacing w:after="0" w:line="243" w:lineRule="auto"/>
        <w:tabs>
          <w:tab w:leader="none" w:pos="2595"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Proceedings</w:t>
      </w:r>
      <w:r>
        <w:rPr>
          <w:rFonts w:ascii="Arial" w:cs="Arial" w:eastAsia="Arial" w:hAnsi="Arial"/>
          <w:sz w:val="20"/>
          <w:szCs w:val="20"/>
          <w:color w:val="auto"/>
        </w:rPr>
        <w:t>. No Borrower is subject to any proceeding, suit or, to Borrowers’ knowledge, investigation by any federal, state or local government or quasi-governmental body, agency, board or authority or any other administrative or investigative body (including the Office of the Inspector General of the United States Department of Health and Human Services): (i) which may result in the imposition of a fine, alternative, interim or final sanction, which has not been provided for on their respective financial statements, and which would reasonably be expected to have a Material Adverse Effect on any Borrower; or (ii) which could result in the revocation, transfer, surrender, suspension or other impairment of the Permits of Borrower that would reasonably be expected to have a Material Adverse Effect on any Borrower.</w:t>
      </w:r>
    </w:p>
    <w:p>
      <w:pPr>
        <w:spacing w:after="0" w:line="192" w:lineRule="exact"/>
        <w:rPr>
          <w:rFonts w:ascii="Arial" w:cs="Arial" w:eastAsia="Arial" w:hAnsi="Arial"/>
          <w:sz w:val="20"/>
          <w:szCs w:val="20"/>
          <w:color w:val="auto"/>
        </w:rPr>
      </w:pPr>
    </w:p>
    <w:p>
      <w:pPr>
        <w:jc w:val="both"/>
        <w:ind w:firstLine="1735"/>
        <w:spacing w:after="0" w:line="250" w:lineRule="auto"/>
        <w:tabs>
          <w:tab w:leader="none" w:pos="2573"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Ancillary Laws</w:t>
      </w:r>
      <w:r>
        <w:rPr>
          <w:rFonts w:ascii="Arial" w:cs="Arial" w:eastAsia="Arial" w:hAnsi="Arial"/>
          <w:sz w:val="20"/>
          <w:szCs w:val="20"/>
          <w:color w:val="auto"/>
        </w:rPr>
        <w:t>. Borrowers have received no written notice, and are not aware, of any material violation of applicable antitrust laws, employment or landlord-tenant laws of any federal, state or local government or quasi-governmental body, agency, board or other authority with respect to the Borrowers.</w:t>
      </w:r>
    </w:p>
    <w:p>
      <w:pPr>
        <w:spacing w:after="0" w:line="181" w:lineRule="exact"/>
        <w:rPr>
          <w:sz w:val="20"/>
          <w:szCs w:val="20"/>
          <w:color w:val="auto"/>
        </w:rPr>
      </w:pPr>
    </w:p>
    <w:p>
      <w:pPr>
        <w:ind w:left="880"/>
        <w:spacing w:after="0"/>
        <w:tabs>
          <w:tab w:leader="none" w:pos="2420" w:val="left"/>
        </w:tabs>
        <w:rPr>
          <w:sz w:val="20"/>
          <w:szCs w:val="20"/>
          <w:color w:val="auto"/>
        </w:rPr>
      </w:pPr>
      <w:r>
        <w:rPr>
          <w:rFonts w:ascii="Arial" w:cs="Arial" w:eastAsia="Arial" w:hAnsi="Arial"/>
          <w:sz w:val="20"/>
          <w:szCs w:val="20"/>
          <w:b w:val="1"/>
          <w:bCs w:val="1"/>
          <w:color w:val="auto"/>
        </w:rPr>
        <w:t>Section 8.3</w:t>
      </w:r>
      <w:r>
        <w:rPr>
          <w:sz w:val="20"/>
          <w:szCs w:val="20"/>
          <w:color w:val="auto"/>
        </w:rPr>
        <w:tab/>
      </w:r>
      <w:r>
        <w:rPr>
          <w:rFonts w:ascii="Arial" w:cs="Arial" w:eastAsia="Arial" w:hAnsi="Arial"/>
          <w:sz w:val="17"/>
          <w:szCs w:val="17"/>
          <w:u w:val="single" w:color="auto"/>
          <w:color w:val="auto"/>
        </w:rPr>
        <w:t>Healthcare Operations</w:t>
      </w:r>
      <w:r>
        <w:rPr>
          <w:rFonts w:ascii="Arial" w:cs="Arial" w:eastAsia="Arial" w:hAnsi="Arial"/>
          <w:sz w:val="18"/>
          <w:szCs w:val="18"/>
          <w:color w:val="auto"/>
        </w:rPr>
        <w:t>.</w:t>
      </w:r>
    </w:p>
    <w:p>
      <w:pPr>
        <w:spacing w:after="0" w:line="234" w:lineRule="exact"/>
        <w:rPr>
          <w:sz w:val="20"/>
          <w:szCs w:val="20"/>
          <w:color w:val="auto"/>
        </w:rPr>
      </w:pPr>
    </w:p>
    <w:p>
      <w:pPr>
        <w:jc w:val="both"/>
        <w:ind w:firstLine="1735"/>
        <w:spacing w:after="0" w:line="269" w:lineRule="auto"/>
        <w:tabs>
          <w:tab w:leader="none" w:pos="2595" w:val="left"/>
        </w:tabs>
        <w:numPr>
          <w:ilvl w:val="0"/>
          <w:numId w:val="106"/>
        </w:numPr>
        <w:rPr>
          <w:rFonts w:ascii="Arial" w:cs="Arial" w:eastAsia="Arial" w:hAnsi="Arial"/>
          <w:sz w:val="19"/>
          <w:szCs w:val="19"/>
          <w:color w:val="auto"/>
        </w:rPr>
      </w:pPr>
      <w:r>
        <w:rPr>
          <w:rFonts w:ascii="Arial" w:cs="Arial" w:eastAsia="Arial" w:hAnsi="Arial"/>
          <w:sz w:val="19"/>
          <w:szCs w:val="19"/>
          <w:color w:val="auto"/>
        </w:rPr>
        <w:t>Borrower will timely file or caused to be timely filed (after giving effect to any extension duly obtained), all material notifications, reports, submissions, Permit renewals and reports required by Healthcare Laws (which reports will be materially accurate and complete in all respects and not misleading in any material respect and shall not remain open or unsettled).</w:t>
      </w:r>
    </w:p>
    <w:p>
      <w:pPr>
        <w:spacing w:after="0" w:line="169" w:lineRule="exact"/>
        <w:rPr>
          <w:rFonts w:ascii="Arial" w:cs="Arial" w:eastAsia="Arial" w:hAnsi="Arial"/>
          <w:sz w:val="19"/>
          <w:szCs w:val="19"/>
          <w:color w:val="auto"/>
        </w:rPr>
      </w:pPr>
    </w:p>
    <w:p>
      <w:pPr>
        <w:jc w:val="both"/>
        <w:ind w:firstLine="1735"/>
        <w:spacing w:after="0" w:line="250" w:lineRule="auto"/>
        <w:tabs>
          <w:tab w:leader="none" w:pos="2606" w:val="left"/>
        </w:tabs>
        <w:numPr>
          <w:ilvl w:val="0"/>
          <w:numId w:val="106"/>
        </w:numPr>
        <w:rPr>
          <w:rFonts w:ascii="Arial" w:cs="Arial" w:eastAsia="Arial" w:hAnsi="Arial"/>
          <w:sz w:val="20"/>
          <w:szCs w:val="20"/>
          <w:color w:val="auto"/>
        </w:rPr>
      </w:pPr>
      <w:r>
        <w:rPr>
          <w:rFonts w:ascii="Arial" w:cs="Arial" w:eastAsia="Arial" w:hAnsi="Arial"/>
          <w:sz w:val="20"/>
          <w:szCs w:val="20"/>
          <w:color w:val="auto"/>
        </w:rPr>
        <w:t>Borrower will maintain in full force and effect, and free from restrictions, probations, conditions or known conflicts which would materially impair the use or operation of Borrowers’ business and assets, all material Permits necessary under Healthcare Laws to carry on the business of Borrowers as it is conducted on the Closing Date.</w:t>
      </w:r>
    </w:p>
    <w:p>
      <w:pPr>
        <w:spacing w:after="0" w:line="185" w:lineRule="exact"/>
        <w:rPr>
          <w:rFonts w:ascii="Arial" w:cs="Arial" w:eastAsia="Arial" w:hAnsi="Arial"/>
          <w:sz w:val="20"/>
          <w:szCs w:val="20"/>
          <w:color w:val="auto"/>
        </w:rPr>
      </w:pPr>
    </w:p>
    <w:p>
      <w:pPr>
        <w:ind w:left="2600" w:hanging="865"/>
        <w:spacing w:after="0"/>
        <w:tabs>
          <w:tab w:leader="none" w:pos="260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Borrower will not suffer or permit to occur any of the following:</w:t>
      </w:r>
    </w:p>
    <w:p>
      <w:pPr>
        <w:spacing w:after="0" w:line="215" w:lineRule="exact"/>
        <w:rPr>
          <w:rFonts w:ascii="Arial" w:cs="Arial" w:eastAsia="Arial" w:hAnsi="Arial"/>
          <w:sz w:val="20"/>
          <w:szCs w:val="20"/>
          <w:color w:val="auto"/>
        </w:rPr>
      </w:pPr>
    </w:p>
    <w:p>
      <w:pPr>
        <w:ind w:left="3300" w:hanging="834"/>
        <w:spacing w:after="0"/>
        <w:tabs>
          <w:tab w:leader="none" w:pos="3300" w:val="left"/>
        </w:tabs>
        <w:numPr>
          <w:ilvl w:val="1"/>
          <w:numId w:val="106"/>
        </w:numPr>
        <w:rPr>
          <w:rFonts w:ascii="Arial" w:cs="Arial" w:eastAsia="Arial" w:hAnsi="Arial"/>
          <w:sz w:val="19"/>
          <w:szCs w:val="19"/>
          <w:color w:val="auto"/>
        </w:rPr>
      </w:pPr>
      <w:r>
        <w:rPr>
          <w:rFonts w:ascii="Arial" w:cs="Arial" w:eastAsia="Arial" w:hAnsi="Arial"/>
          <w:sz w:val="19"/>
          <w:szCs w:val="19"/>
          <w:color w:val="auto"/>
        </w:rPr>
        <w:t>any transfer of a Permit or rights thereunder to any Person (other than Borrowers or Agent);</w:t>
      </w:r>
    </w:p>
    <w:p>
      <w:pPr>
        <w:spacing w:after="0" w:line="227" w:lineRule="exact"/>
        <w:rPr>
          <w:rFonts w:ascii="Arial" w:cs="Arial" w:eastAsia="Arial" w:hAnsi="Arial"/>
          <w:sz w:val="19"/>
          <w:szCs w:val="19"/>
          <w:color w:val="auto"/>
        </w:rPr>
      </w:pPr>
    </w:p>
    <w:p>
      <w:pPr>
        <w:ind w:left="880" w:firstLine="1586"/>
        <w:spacing w:after="0" w:line="260" w:lineRule="auto"/>
        <w:tabs>
          <w:tab w:leader="none" w:pos="3364" w:val="left"/>
        </w:tabs>
        <w:numPr>
          <w:ilvl w:val="1"/>
          <w:numId w:val="106"/>
        </w:numPr>
        <w:rPr>
          <w:rFonts w:ascii="Arial" w:cs="Arial" w:eastAsia="Arial" w:hAnsi="Arial"/>
          <w:sz w:val="20"/>
          <w:szCs w:val="20"/>
          <w:color w:val="auto"/>
        </w:rPr>
      </w:pPr>
      <w:r>
        <w:rPr>
          <w:rFonts w:ascii="Arial" w:cs="Arial" w:eastAsia="Arial" w:hAnsi="Arial"/>
          <w:sz w:val="20"/>
          <w:szCs w:val="20"/>
          <w:color w:val="auto"/>
        </w:rPr>
        <w:t>any pledge or hypothecation of any Permit as collateral security for any indebtedness other than Debt to Agent and each Lender under this Agreement and the other Financing Documents; or</w:t>
      </w:r>
    </w:p>
    <w:p>
      <w:pPr>
        <w:spacing w:after="0" w:line="176" w:lineRule="exact"/>
        <w:rPr>
          <w:rFonts w:ascii="Arial" w:cs="Arial" w:eastAsia="Arial" w:hAnsi="Arial"/>
          <w:sz w:val="20"/>
          <w:szCs w:val="20"/>
          <w:color w:val="auto"/>
        </w:rPr>
      </w:pPr>
    </w:p>
    <w:p>
      <w:pPr>
        <w:ind w:left="880" w:firstLine="1586"/>
        <w:spacing w:after="0" w:line="260" w:lineRule="auto"/>
        <w:tabs>
          <w:tab w:leader="none" w:pos="3419" w:val="left"/>
        </w:tabs>
        <w:numPr>
          <w:ilvl w:val="1"/>
          <w:numId w:val="106"/>
        </w:numPr>
        <w:rPr>
          <w:rFonts w:ascii="Arial" w:cs="Arial" w:eastAsia="Arial" w:hAnsi="Arial"/>
          <w:sz w:val="20"/>
          <w:szCs w:val="20"/>
          <w:color w:val="auto"/>
        </w:rPr>
      </w:pPr>
      <w:r>
        <w:rPr>
          <w:rFonts w:ascii="Arial" w:cs="Arial" w:eastAsia="Arial" w:hAnsi="Arial"/>
          <w:sz w:val="20"/>
          <w:szCs w:val="20"/>
          <w:color w:val="auto"/>
        </w:rPr>
        <w:t>any rescission, withdrawal, revocation, amendment or modification of or other alteration to the nature, tenor or scope of any material Permit.</w:t>
      </w:r>
    </w:p>
    <w:p>
      <w:pPr>
        <w:spacing w:after="0" w:line="176" w:lineRule="exact"/>
        <w:rPr>
          <w:rFonts w:ascii="Arial" w:cs="Arial" w:eastAsia="Arial" w:hAnsi="Arial"/>
          <w:sz w:val="20"/>
          <w:szCs w:val="20"/>
          <w:color w:val="auto"/>
        </w:rPr>
      </w:pPr>
    </w:p>
    <w:p>
      <w:pPr>
        <w:jc w:val="both"/>
        <w:ind w:firstLine="1735"/>
        <w:spacing w:after="0" w:line="246" w:lineRule="auto"/>
        <w:tabs>
          <w:tab w:leader="none" w:pos="2606" w:val="left"/>
        </w:tabs>
        <w:numPr>
          <w:ilvl w:val="0"/>
          <w:numId w:val="106"/>
        </w:numPr>
        <w:rPr>
          <w:rFonts w:ascii="Arial" w:cs="Arial" w:eastAsia="Arial" w:hAnsi="Arial"/>
          <w:sz w:val="20"/>
          <w:szCs w:val="20"/>
          <w:color w:val="auto"/>
        </w:rPr>
      </w:pPr>
      <w:r>
        <w:rPr>
          <w:rFonts w:ascii="Arial" w:cs="Arial" w:eastAsia="Arial" w:hAnsi="Arial"/>
          <w:sz w:val="20"/>
          <w:szCs w:val="20"/>
          <w:color w:val="auto"/>
        </w:rPr>
        <w:t>In connection with the development, testing, manufacture, marketing or sale of each and any Product by any Borrower, Borrower shall comply in all material respects with all Regulatory Required Permits at all times issued by any Governmental Authority, specifically including the FDA, with respect to such development, testing, manufacture, marketing or sales of such Product by Borrower as such activities are at any such time being conducted by Borrower.</w:t>
      </w:r>
    </w:p>
    <w:p>
      <w:pPr>
        <w:spacing w:after="0" w:line="191" w:lineRule="exact"/>
        <w:rPr>
          <w:rFonts w:ascii="Arial" w:cs="Arial" w:eastAsia="Arial" w:hAnsi="Arial"/>
          <w:sz w:val="20"/>
          <w:szCs w:val="20"/>
          <w:color w:val="auto"/>
        </w:rPr>
      </w:pPr>
    </w:p>
    <w:p>
      <w:pPr>
        <w:ind w:right="20" w:firstLine="1735"/>
        <w:spacing w:after="0" w:line="260" w:lineRule="auto"/>
        <w:tabs>
          <w:tab w:leader="none" w:pos="2595" w:val="left"/>
        </w:tabs>
        <w:numPr>
          <w:ilvl w:val="0"/>
          <w:numId w:val="106"/>
        </w:numPr>
        <w:rPr>
          <w:rFonts w:ascii="Arial" w:cs="Arial" w:eastAsia="Arial" w:hAnsi="Arial"/>
          <w:sz w:val="20"/>
          <w:szCs w:val="20"/>
          <w:color w:val="auto"/>
        </w:rPr>
      </w:pPr>
      <w:r>
        <w:rPr>
          <w:rFonts w:ascii="Arial" w:cs="Arial" w:eastAsia="Arial" w:hAnsi="Arial"/>
          <w:sz w:val="20"/>
          <w:szCs w:val="20"/>
          <w:color w:val="auto"/>
        </w:rPr>
        <w:t>Each Borrower shall conduct its business in accordance with Healthcare Laws, except where the failure to do so would not reasonably be expected to have a Material Adverse Effect.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20"/>
          <w:szCs w:val="20"/>
          <w:b w:val="1"/>
          <w:bCs w:val="1"/>
          <w:color w:val="auto"/>
        </w:rPr>
        <w:t>ARTICLE 9 - SECURITY AGREEMENT</w:t>
      </w:r>
    </w:p>
    <w:p>
      <w:pPr>
        <w:spacing w:after="0" w:line="216"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b w:val="1"/>
          <w:bCs w:val="1"/>
          <w:color w:val="auto"/>
        </w:rPr>
        <w:t xml:space="preserve">Section 9.1 </w:t>
      </w:r>
      <w:r>
        <w:rPr>
          <w:rFonts w:ascii="Arial" w:cs="Arial" w:eastAsia="Arial" w:hAnsi="Arial"/>
          <w:sz w:val="20"/>
          <w:szCs w:val="20"/>
          <w:u w:val="single" w:color="auto"/>
          <w:color w:val="auto"/>
        </w:rPr>
        <w:t>Generally</w:t>
      </w:r>
      <w:r>
        <w:rPr>
          <w:rFonts w:ascii="Arial" w:cs="Arial" w:eastAsia="Arial" w:hAnsi="Arial"/>
          <w:sz w:val="20"/>
          <w:szCs w:val="20"/>
          <w:color w:val="auto"/>
        </w:rPr>
        <w:t>. As security for the payment and performance of the Obligations, and without limiting any other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grant of a Lien and security interest in any Security Document, each Borrower hereby assigns, grants and pledges to Agent, for the benefit of itself and Lenders a continuing first priority Lien on and security interest in, upon, and to the property set forth on </w:t>
      </w:r>
      <w:r>
        <w:rPr>
          <w:rFonts w:ascii="Arial" w:cs="Arial" w:eastAsia="Arial" w:hAnsi="Arial"/>
          <w:sz w:val="20"/>
          <w:szCs w:val="20"/>
          <w:u w:val="single" w:color="auto"/>
          <w:color w:val="auto"/>
        </w:rPr>
        <w:t>Schedule 9.1</w:t>
      </w:r>
      <w:r>
        <w:rPr>
          <w:rFonts w:ascii="Arial" w:cs="Arial" w:eastAsia="Arial" w:hAnsi="Arial"/>
          <w:sz w:val="20"/>
          <w:szCs w:val="20"/>
          <w:color w:val="auto"/>
        </w:rPr>
        <w:t xml:space="preserve"> attached hereto and made a part hereof.</w:t>
      </w:r>
    </w:p>
    <w:p>
      <w:pPr>
        <w:spacing w:after="0" w:line="183" w:lineRule="exact"/>
        <w:rPr>
          <w:sz w:val="20"/>
          <w:szCs w:val="20"/>
          <w:color w:val="auto"/>
        </w:rPr>
      </w:pPr>
    </w:p>
    <w:p>
      <w:pPr>
        <w:ind w:left="880"/>
        <w:spacing w:after="0"/>
        <w:tabs>
          <w:tab w:leader="none" w:pos="2420" w:val="left"/>
        </w:tabs>
        <w:rPr>
          <w:sz w:val="20"/>
          <w:szCs w:val="20"/>
          <w:color w:val="auto"/>
        </w:rPr>
      </w:pPr>
      <w:r>
        <w:rPr>
          <w:rFonts w:ascii="Arial" w:cs="Arial" w:eastAsia="Arial" w:hAnsi="Arial"/>
          <w:sz w:val="20"/>
          <w:szCs w:val="20"/>
          <w:b w:val="1"/>
          <w:bCs w:val="1"/>
          <w:color w:val="auto"/>
        </w:rPr>
        <w:t>Section 9.2</w:t>
      </w:r>
      <w:r>
        <w:rPr>
          <w:sz w:val="20"/>
          <w:szCs w:val="20"/>
          <w:color w:val="auto"/>
        </w:rPr>
        <w:tab/>
      </w:r>
      <w:r>
        <w:rPr>
          <w:rFonts w:ascii="Arial" w:cs="Arial" w:eastAsia="Arial" w:hAnsi="Arial"/>
          <w:sz w:val="16"/>
          <w:szCs w:val="16"/>
          <w:u w:val="single" w:color="auto"/>
          <w:color w:val="auto"/>
        </w:rPr>
        <w:t>Representations and Warranties and Covenants Relating to Collateral</w:t>
      </w:r>
      <w:r>
        <w:rPr>
          <w:rFonts w:ascii="Arial" w:cs="Arial" w:eastAsia="Arial" w:hAnsi="Arial"/>
          <w:sz w:val="16"/>
          <w:szCs w:val="16"/>
          <w:color w:val="auto"/>
        </w:rPr>
        <w:t>.</w:t>
      </w:r>
    </w:p>
    <w:p>
      <w:pPr>
        <w:spacing w:after="0" w:line="222" w:lineRule="exact"/>
        <w:rPr>
          <w:sz w:val="20"/>
          <w:szCs w:val="20"/>
          <w:color w:val="auto"/>
        </w:rPr>
      </w:pPr>
    </w:p>
    <w:p>
      <w:pPr>
        <w:jc w:val="both"/>
        <w:ind w:firstLine="1735"/>
        <w:spacing w:after="0" w:line="254" w:lineRule="auto"/>
        <w:tabs>
          <w:tab w:leader="none" w:pos="2595" w:val="left"/>
        </w:tabs>
        <w:numPr>
          <w:ilvl w:val="0"/>
          <w:numId w:val="107"/>
        </w:numPr>
        <w:rPr>
          <w:rFonts w:ascii="Arial" w:cs="Arial" w:eastAsia="Arial" w:hAnsi="Arial"/>
          <w:sz w:val="19"/>
          <w:szCs w:val="19"/>
          <w:color w:val="auto"/>
        </w:rPr>
      </w:pPr>
      <w:r>
        <w:rPr>
          <w:rFonts w:ascii="Arial" w:cs="Arial" w:eastAsia="Arial" w:hAnsi="Arial"/>
          <w:sz w:val="19"/>
          <w:szCs w:val="19"/>
          <w:color w:val="auto"/>
        </w:rPr>
        <w:t xml:space="preserve">The security interest granted pursuant to this Agreement constitutes a valid and, to the extent such security interest is required to be perfected by this Agreement and any other Financing Document, continuing perfected security interest in favor of Agent in all Collateral subject, for the following Collateral, to the occurrence of the following: (i) in the case of all Collateral in which a security interest may be perfected by filing a financing statement under the UCC, the completion of the filings and other actions specified on </w:t>
      </w:r>
      <w:r>
        <w:rPr>
          <w:rFonts w:ascii="Arial" w:cs="Arial" w:eastAsia="Arial" w:hAnsi="Arial"/>
          <w:sz w:val="19"/>
          <w:szCs w:val="19"/>
          <w:u w:val="single" w:color="auto"/>
          <w:color w:val="auto"/>
        </w:rPr>
        <w:t>Schedule 9.2</w:t>
      </w:r>
      <w:r>
        <w:rPr>
          <w:rFonts w:ascii="Arial" w:cs="Arial" w:eastAsia="Arial" w:hAnsi="Arial"/>
          <w:sz w:val="19"/>
          <w:szCs w:val="19"/>
          <w:color w:val="auto"/>
        </w:rPr>
        <w:t xml:space="preserve"> (which, in the case of all filings and other documents referred to on such schedule, have been delivered to Agent in completed and duly authorized form), (ii) with respect to any Deposit Account, the execution of Deposit Account Control Agreements, (iii) in the case of letter-of-credit rights that are not supporting obligations of Collateral, the execution of a contractual obligation granting control to Agent over such letter-of-credit rights, (iv) in the case of electronic chattel paper, the completion of all steps necessary to grant control to Agent over such electronic chattel paper, (v) in the case of all certificated stock, debt instruments and investment property, the delivery thereof to Agent of such certificated stock, debt instruments and investment property consisting of instruments and certificates, in each case properly endorsed for transfer to Agent or in blank, (vi) in the case of all investment property not in certificated form, the execution of control agreements with respect to such investment property and (vii) in the case of all other instruments and tangible chattel paper that are not certificated stock, debt instructions or investment property, the delivery thereof to Agent of such instruments and tangible chattel paper. Such security interest shall be prior to all other Liens on the Collateral except for Permitted Liens. Except to the extent not required pursuant to the terms of this Agreement, all actions by each Credit Party necessary or desirable to protect and perfect the Lien granted hereunder on the Collateral have been duly taken.</w:t>
      </w:r>
    </w:p>
    <w:p>
      <w:pPr>
        <w:spacing w:after="0" w:line="188" w:lineRule="exact"/>
        <w:rPr>
          <w:rFonts w:ascii="Arial" w:cs="Arial" w:eastAsia="Arial" w:hAnsi="Arial"/>
          <w:sz w:val="19"/>
          <w:szCs w:val="19"/>
          <w:color w:val="auto"/>
        </w:rPr>
      </w:pPr>
    </w:p>
    <w:p>
      <w:pPr>
        <w:jc w:val="both"/>
        <w:ind w:firstLine="1735"/>
        <w:spacing w:after="0" w:line="257" w:lineRule="auto"/>
        <w:tabs>
          <w:tab w:leader="none" w:pos="2606"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Schedule 9.2</w:t>
      </w:r>
      <w:r>
        <w:rPr>
          <w:rFonts w:ascii="Arial" w:cs="Arial" w:eastAsia="Arial" w:hAnsi="Arial"/>
          <w:sz w:val="19"/>
          <w:szCs w:val="19"/>
          <w:color w:val="auto"/>
        </w:rPr>
        <w:t xml:space="preserve"> sets forth (i) each chief executive office and principal place of business of each Borrower and each of their respective Subsidiaries, and (ii) all of the addresses (including all warehouses) at which any material portion of the Collateral is located and/or books and records of Borrowers regarding any such Collateral or any of Borrower’s assets, liabilities, business operations or financial condition are kept, which such </w:t>
      </w:r>
      <w:r>
        <w:rPr>
          <w:rFonts w:ascii="Arial" w:cs="Arial" w:eastAsia="Arial" w:hAnsi="Arial"/>
          <w:sz w:val="19"/>
          <w:szCs w:val="19"/>
          <w:u w:val="single" w:color="auto"/>
          <w:color w:val="auto"/>
        </w:rPr>
        <w:t>Schedule 9.2</w:t>
      </w:r>
      <w:r>
        <w:rPr>
          <w:rFonts w:ascii="Arial" w:cs="Arial" w:eastAsia="Arial" w:hAnsi="Arial"/>
          <w:sz w:val="19"/>
          <w:szCs w:val="19"/>
          <w:color w:val="auto"/>
        </w:rPr>
        <w:t xml:space="preserve"> indicates in each case which Borrower(s) have Collateral and/or books located at such address, and, in the case of any such address not owned by one or more of the Borrowers(s), indicates the nature of such location (e.g., leased business location operated by Borrower(s), third party warehouse, consignment location, processor location, etc.) and the name and address of the third party owning and/or operating such location.</w:t>
      </w:r>
    </w:p>
    <w:p>
      <w:pPr>
        <w:spacing w:after="0" w:line="184" w:lineRule="exact"/>
        <w:rPr>
          <w:rFonts w:ascii="Arial" w:cs="Arial" w:eastAsia="Arial" w:hAnsi="Arial"/>
          <w:sz w:val="19"/>
          <w:szCs w:val="19"/>
          <w:color w:val="auto"/>
        </w:rPr>
      </w:pPr>
    </w:p>
    <w:p>
      <w:pPr>
        <w:jc w:val="both"/>
        <w:ind w:firstLine="1735"/>
        <w:spacing w:after="0" w:line="273" w:lineRule="auto"/>
        <w:tabs>
          <w:tab w:leader="none" w:pos="259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Without limiting the generality of Section 3.2, except with respect to any rights of any Borrower as a licensee under any license of Intellectual Property owned by another Person, and except for (x) the filing of financing statements under the UCC, (y) any change of ownership filings applications, authorizations, consents or other actions that may be required with respect to Permits and (z) the filing of the Intellectual Property Security Agreement, duly completed with scheduled attached, with the United States Patent and Trademark Office and/or the United States Copyright Office (as the case may be), no authorization, approval or other action by, and no notice to or filing with, any Governmental Authority or consent of any other Person is required for (i) the grant by each Borrower to Agent of the security interests and Liens in the Collateral provided for under this Agreement and the other Security Documents (if any), or (ii) the exercise by Agent of its rights and remedies with respect to the Collateral provided for under this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1" w:name="page122"/>
    <w:bookmarkEnd w:id="121"/>
    <w:p>
      <w:pPr>
        <w:jc w:val="both"/>
        <w:spacing w:after="0" w:line="263" w:lineRule="auto"/>
        <w:rPr>
          <w:sz w:val="20"/>
          <w:szCs w:val="20"/>
          <w:color w:val="auto"/>
        </w:rPr>
      </w:pPr>
      <w:r>
        <w:rPr>
          <w:rFonts w:ascii="Arial" w:cs="Arial" w:eastAsia="Arial" w:hAnsi="Arial"/>
          <w:sz w:val="19"/>
          <w:szCs w:val="19"/>
          <w:color w:val="auto"/>
        </w:rPr>
        <w:t>Agreement and the other Security Documents or under any applicable Law, including the UCC and neither any such grant of Liens in favor of Agent or exercise of rights by Agent shall violate or cause a default under any agreement between any Borrower and any other Person relating to any such collateral, including any license constituting Collateral to which a Borrower is a party, whether as licensor or licensee, with respect to any Intellectual Property, whether owned by such Borrower or any other Person.</w:t>
      </w:r>
    </w:p>
    <w:p>
      <w:pPr>
        <w:spacing w:after="0" w:line="176" w:lineRule="exact"/>
        <w:rPr>
          <w:sz w:val="20"/>
          <w:szCs w:val="20"/>
          <w:color w:val="auto"/>
        </w:rPr>
      </w:pPr>
    </w:p>
    <w:p>
      <w:pPr>
        <w:jc w:val="both"/>
        <w:ind w:firstLine="1735"/>
        <w:spacing w:after="0" w:line="255" w:lineRule="auto"/>
        <w:tabs>
          <w:tab w:leader="none" w:pos="2606" w:val="left"/>
        </w:tabs>
        <w:numPr>
          <w:ilvl w:val="0"/>
          <w:numId w:val="108"/>
        </w:numPr>
        <w:rPr>
          <w:rFonts w:ascii="Arial" w:cs="Arial" w:eastAsia="Arial" w:hAnsi="Arial"/>
          <w:sz w:val="19"/>
          <w:szCs w:val="19"/>
          <w:color w:val="auto"/>
        </w:rPr>
      </w:pPr>
      <w:r>
        <w:rPr>
          <w:rFonts w:ascii="Arial" w:cs="Arial" w:eastAsia="Arial" w:hAnsi="Arial"/>
          <w:sz w:val="19"/>
          <w:szCs w:val="19"/>
          <w:color w:val="auto"/>
        </w:rPr>
        <w:t xml:space="preserve">As of the Closing Date, no Borrower has any ownership interest in any Chattel Paper (as defined in Article 9 of the UCC), letter of credit rights, commercial tort claims, Instruments, documents or investment property (other than equity interests in any Subsidiaries of such Borrower, and Investments and other investment property disclosed on </w:t>
      </w:r>
      <w:r>
        <w:rPr>
          <w:rFonts w:ascii="Arial" w:cs="Arial" w:eastAsia="Arial" w:hAnsi="Arial"/>
          <w:sz w:val="19"/>
          <w:szCs w:val="19"/>
          <w:u w:val="single" w:color="auto"/>
          <w:color w:val="auto"/>
        </w:rPr>
        <w:t>Schedule 3.4</w:t>
      </w:r>
      <w:r>
        <w:rPr>
          <w:rFonts w:ascii="Arial" w:cs="Arial" w:eastAsia="Arial" w:hAnsi="Arial"/>
          <w:sz w:val="19"/>
          <w:szCs w:val="19"/>
          <w:color w:val="auto"/>
        </w:rPr>
        <w:t>) and Borrowers shall give notice to Agent promptly (but in any event not later than the delivery by Borrowers of the next Compliance Certificate required pursuant to Section 4.1 above) upon the acquisition by any Borrower of any such Chattel Paper, letter of credit rights, commercial tort claims, Instruments, documents, investment property with a value in excess of $100,000. No Person other than Agent or (if applicable) any Lender has “control” (as defined in Article 9 of the UCC) over any Deposit Account, investment property (including Securities Accounts and commodities account), letter of credit rights or electronic chattel paper in which any Borrower has any interest (except for such control arising by operation of law in favor of any bank or securities intermediary or commodities intermediary with whom any Deposit Account, Securities Account or commodities account of Borrowers is maintained).</w:t>
      </w:r>
    </w:p>
    <w:p>
      <w:pPr>
        <w:spacing w:after="0" w:line="189" w:lineRule="exact"/>
        <w:rPr>
          <w:rFonts w:ascii="Arial" w:cs="Arial" w:eastAsia="Arial" w:hAnsi="Arial"/>
          <w:sz w:val="19"/>
          <w:szCs w:val="19"/>
          <w:color w:val="auto"/>
        </w:rPr>
      </w:pPr>
    </w:p>
    <w:p>
      <w:pPr>
        <w:jc w:val="both"/>
        <w:ind w:firstLine="1735"/>
        <w:spacing w:after="0" w:line="270" w:lineRule="auto"/>
        <w:tabs>
          <w:tab w:leader="none" w:pos="259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Borrowers shall not, and shall not permit any Credit Party to, take any of the following actions or make any of the following changes unless Borrowers have given at least thirty (30) days prior written notice to Agent of Borrowers’ intention to take any such action (which such written notice shall include an updated version of any Schedule impacted by such change) and have executed any and all documents, instruments and agreements and taken any other actions which Agent may reasonably request after receiving such written notice in order to protect and preserve the Liens, rights and remedies of Agent with respect to the Collateral: (i) change the legal name or organizational identification number of any Borrower as it appears in official filings in the jurisdiction of its organization, (ii) change the jurisdiction of incorporation or formation of any Borrower or Credit Party or allow any Borrower or Credit Party to designate any jurisdiction as an additional jurisdiction of incorporation for such Borrower or Credit Party, or change the type of entity that it is;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a Borrower organized under the laws of the United States or any state thereof be reorganized under the laws of a jurisdiction other than the United States or any state thereof, or (iii) change its chief executive office, principal place of business, or the location of its books and records or move any Collateral (other than Inventory in transit) to or place any Collateral on any location that is not then listed on the Schedules and/or establish any business location at any location that is not then listed on the Schedules.</w:t>
      </w:r>
    </w:p>
    <w:p>
      <w:pPr>
        <w:spacing w:after="0" w:line="175" w:lineRule="exact"/>
        <w:rPr>
          <w:rFonts w:ascii="Arial" w:cs="Arial" w:eastAsia="Arial" w:hAnsi="Arial"/>
          <w:sz w:val="18"/>
          <w:szCs w:val="18"/>
          <w:color w:val="auto"/>
        </w:rPr>
      </w:pPr>
    </w:p>
    <w:p>
      <w:pPr>
        <w:jc w:val="both"/>
        <w:ind w:firstLine="1735"/>
        <w:spacing w:after="0" w:line="242" w:lineRule="auto"/>
        <w:tabs>
          <w:tab w:leader="none" w:pos="2573" w:val="left"/>
        </w:tabs>
        <w:numPr>
          <w:ilvl w:val="0"/>
          <w:numId w:val="108"/>
        </w:numPr>
        <w:rPr>
          <w:rFonts w:ascii="Arial" w:cs="Arial" w:eastAsia="Arial" w:hAnsi="Arial"/>
          <w:sz w:val="20"/>
          <w:szCs w:val="20"/>
          <w:color w:val="auto"/>
        </w:rPr>
      </w:pPr>
      <w:r>
        <w:rPr>
          <w:rFonts w:ascii="Arial" w:cs="Arial" w:eastAsia="Arial" w:hAnsi="Arial"/>
          <w:sz w:val="20"/>
          <w:szCs w:val="20"/>
          <w:color w:val="auto"/>
        </w:rPr>
        <w:t>Borrowers shall not adjust, settle or compromise the amount or payment of any Account, or release wholly or partly any Account Debtor, or allow any credit or discount thereon (other than adjustments, settlements, compromises, credits and discounts in an amount not to exceed $50,000 individually or $250,000 in the aggregate in any fiscal year) without the prior written consent of Agent. Without limiting the generality of this Agreement or any other provisions of any of the Financing Documents relating to the rights of Agent after the occurrence and during the continuance of an Event of Default, Agent shall have the right at any time after the occurrence and during the continuance of an Event of Default to: (i) exercise the rights of Borrowers with respect to the obligation of any Account Debtor to make payment or otherwise render performance to Borrowers and with respect to any property that secures the obligations of any Account Debtor or any other Person obligated on the Collateral, and (ii) adjust, settle or compromise the amount or payment of such Accounts.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22" w:name="page123"/>
    <w:bookmarkEnd w:id="122"/>
    <w:p>
      <w:pPr>
        <w:ind w:left="2620" w:hanging="885"/>
        <w:spacing w:after="0"/>
        <w:tabs>
          <w:tab w:leader="none" w:pos="262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Without limiting the generality of Sections 9.2(c) and 9.2(d):</w:t>
      </w:r>
    </w:p>
    <w:p>
      <w:pPr>
        <w:spacing w:after="0" w:line="215" w:lineRule="exact"/>
        <w:rPr>
          <w:rFonts w:ascii="Arial" w:cs="Arial" w:eastAsia="Arial" w:hAnsi="Arial"/>
          <w:sz w:val="20"/>
          <w:szCs w:val="20"/>
          <w:color w:val="auto"/>
        </w:rPr>
      </w:pPr>
    </w:p>
    <w:p>
      <w:pPr>
        <w:jc w:val="both"/>
        <w:ind w:left="880" w:firstLine="1586"/>
        <w:spacing w:after="0" w:line="256" w:lineRule="auto"/>
        <w:tabs>
          <w:tab w:leader="none" w:pos="3309" w:val="left"/>
        </w:tabs>
        <w:numPr>
          <w:ilvl w:val="1"/>
          <w:numId w:val="109"/>
        </w:numPr>
        <w:rPr>
          <w:rFonts w:ascii="Arial" w:cs="Arial" w:eastAsia="Arial" w:hAnsi="Arial"/>
          <w:sz w:val="19"/>
          <w:szCs w:val="19"/>
          <w:color w:val="auto"/>
        </w:rPr>
      </w:pPr>
      <w:r>
        <w:rPr>
          <w:rFonts w:ascii="Arial" w:cs="Arial" w:eastAsia="Arial" w:hAnsi="Arial"/>
          <w:sz w:val="19"/>
          <w:szCs w:val="19"/>
          <w:color w:val="auto"/>
        </w:rPr>
        <w:t>Borrowers shall deliver to Agent all tangible Chattel Paper and all Instruments and documents, with a value in excess of $100,000, owned by any Borrower and constituting part of the Collateral duly endorsed and accompanied by duly executed instruments of transfer or assignment, all in form and substance satisfactory to Agent. Borrowers shall provide Agent with “control” (as defined in Article 9 of the UCC) of all electronic Chattel Paper, with a value in excess of $100,000 in the aggregate for all such Chattel Paper, owned by any Borrower and constituting part of the Collateral by having Agent identified as the assignee on the records pertaining to the single authoritative copy thereof and otherwise complying with the applicable elements of control set forth in the UCC. Borrowers also shall deliver to Agent all security agreements securing any such Chattel Paper and securing any such Instruments. Borrowers shall comply with all the provisions of Section 5.14 with respect to the Deposit Accounts and Securities Accounts of Borrowers.</w:t>
      </w:r>
    </w:p>
    <w:p>
      <w:pPr>
        <w:spacing w:after="0" w:line="184" w:lineRule="exact"/>
        <w:rPr>
          <w:rFonts w:ascii="Arial" w:cs="Arial" w:eastAsia="Arial" w:hAnsi="Arial"/>
          <w:sz w:val="19"/>
          <w:szCs w:val="19"/>
          <w:color w:val="auto"/>
        </w:rPr>
      </w:pPr>
    </w:p>
    <w:p>
      <w:pPr>
        <w:jc w:val="both"/>
        <w:ind w:left="880" w:firstLine="1586"/>
        <w:spacing w:after="0" w:line="259" w:lineRule="auto"/>
        <w:tabs>
          <w:tab w:leader="none" w:pos="3364" w:val="left"/>
        </w:tabs>
        <w:numPr>
          <w:ilvl w:val="1"/>
          <w:numId w:val="109"/>
        </w:numPr>
        <w:rPr>
          <w:rFonts w:ascii="Arial" w:cs="Arial" w:eastAsia="Arial" w:hAnsi="Arial"/>
          <w:sz w:val="19"/>
          <w:szCs w:val="19"/>
          <w:color w:val="auto"/>
        </w:rPr>
      </w:pPr>
      <w:r>
        <w:rPr>
          <w:rFonts w:ascii="Arial" w:cs="Arial" w:eastAsia="Arial" w:hAnsi="Arial"/>
          <w:sz w:val="19"/>
          <w:szCs w:val="19"/>
          <w:color w:val="auto"/>
        </w:rPr>
        <w:t>Borrowers shall deliver to Agent all letters of credit with a face value in excess of $100,000 on which any Borrower is the beneficiary and which give rise to letter of credit rights owned by such Borrower which constitute part of the Collateral in each case duly endorsed and accompanied by duly executed instruments of transfer or assignment, all in form and substance reasonably satisfactory to Agent. Borrowers shall take any and all actions as may be necessary or desirable, or that Agent may request, from time to time, to cause Agent to obtain exclusive “control” (as defined in Article 9 of the UCC) of any such letter of credit rights in a manner reasonably acceptable to Agent.</w:t>
      </w:r>
    </w:p>
    <w:p>
      <w:pPr>
        <w:spacing w:after="0" w:line="178" w:lineRule="exact"/>
        <w:rPr>
          <w:rFonts w:ascii="Arial" w:cs="Arial" w:eastAsia="Arial" w:hAnsi="Arial"/>
          <w:sz w:val="19"/>
          <w:szCs w:val="19"/>
          <w:color w:val="auto"/>
        </w:rPr>
      </w:pPr>
    </w:p>
    <w:p>
      <w:pPr>
        <w:jc w:val="both"/>
        <w:ind w:left="880" w:firstLine="1586"/>
        <w:spacing w:after="0" w:line="257" w:lineRule="auto"/>
        <w:tabs>
          <w:tab w:leader="none" w:pos="3419" w:val="left"/>
        </w:tabs>
        <w:numPr>
          <w:ilvl w:val="1"/>
          <w:numId w:val="109"/>
        </w:numPr>
        <w:rPr>
          <w:rFonts w:ascii="Arial" w:cs="Arial" w:eastAsia="Arial" w:hAnsi="Arial"/>
          <w:sz w:val="19"/>
          <w:szCs w:val="19"/>
          <w:color w:val="auto"/>
        </w:rPr>
      </w:pPr>
      <w:r>
        <w:rPr>
          <w:rFonts w:ascii="Arial" w:cs="Arial" w:eastAsia="Arial" w:hAnsi="Arial"/>
          <w:sz w:val="19"/>
          <w:szCs w:val="19"/>
          <w:color w:val="auto"/>
        </w:rPr>
        <w:t>Borrowers shall promptly advise Agent upon any Borrower becoming aware that it has any interests in any commercial tort claims in excess of $100,000 that constitutes part of the Collateral, which such notice shall include descriptions of the events and circumstances giving rise to such commercial tort claim and the dates such events and circumstances occurred, the potential defendants with respect to such commercial tort claim and any court proceedings that have been instituted with respect to such commercial tort claims, and Borrowers shall, with respect to any such commercial tort claim, execute and deliver to Agent such documents as Agent shall request to perfect, preserve or protect the Liens, rights and remedies of Agent with respect to any such commercial tort claim.</w:t>
      </w:r>
    </w:p>
    <w:p>
      <w:pPr>
        <w:spacing w:after="0" w:line="184" w:lineRule="exact"/>
        <w:rPr>
          <w:rFonts w:ascii="Arial" w:cs="Arial" w:eastAsia="Arial" w:hAnsi="Arial"/>
          <w:sz w:val="19"/>
          <w:szCs w:val="19"/>
          <w:color w:val="auto"/>
        </w:rPr>
      </w:pPr>
    </w:p>
    <w:p>
      <w:pPr>
        <w:jc w:val="both"/>
        <w:ind w:left="880" w:firstLine="1586"/>
        <w:spacing w:after="0" w:line="270" w:lineRule="auto"/>
        <w:tabs>
          <w:tab w:leader="none" w:pos="3408"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xml:space="preserve">Except for Accounts, Inventory in transit and Inventory in an aggregate amount of $100,000, no Accounts or Inventory or other Collateral and no books and records and/or software and equipment of the Borrowers regarding any of the Collateral or any of the Borrower’s assets, liabilities, business operations or financial condition (unless also available at a location subject to a landlord waiver or similar agreement) shall at any time be located at any leased location or in the possession or control of any warehouse, consignee, bailee or any of Borrowers’ agents or processors, without prior written notice to Agent and the receipt by Agent, of warehouse receipts, consignment agreements, landlord waivers, or bailee waivers (as applicable) reasonably satisfactory to Agent prior to the commencement of such lease or of such possession or control (as applicable). Borrower has notified Agent that Collateral and books and records are currently located at the locations set forth on </w:t>
      </w:r>
      <w:r>
        <w:rPr>
          <w:rFonts w:ascii="Arial" w:cs="Arial" w:eastAsia="Arial" w:hAnsi="Arial"/>
          <w:sz w:val="18"/>
          <w:szCs w:val="18"/>
          <w:u w:val="single" w:color="auto"/>
          <w:color w:val="auto"/>
        </w:rPr>
        <w:t>Schedule 9.2</w:t>
      </w:r>
      <w:r>
        <w:rPr>
          <w:rFonts w:ascii="Arial" w:cs="Arial" w:eastAsia="Arial" w:hAnsi="Arial"/>
          <w:sz w:val="18"/>
          <w:szCs w:val="18"/>
          <w:color w:val="auto"/>
        </w:rPr>
        <w:t>. Borrowers shall, upon the reasonable request of Agent, notify any such landlord, warehouse, consignee, bailee, agent or processor of the security interests and Liens in favor of Agent created pursuant to this Agreement and the Security Documents, instruct such Person to hold all such Collateral for Agent’s account subject to Agent’s instructions and shall obtain an acknowledgement from such Person that such Person holds the Collateral for Agent’s benefit.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23" w:name="page124"/>
    <w:bookmarkEnd w:id="123"/>
    <w:p>
      <w:pPr>
        <w:jc w:val="both"/>
        <w:ind w:left="880" w:firstLine="1586"/>
        <w:spacing w:after="0" w:line="273" w:lineRule="auto"/>
        <w:tabs>
          <w:tab w:leader="none" w:pos="3353" w:val="left"/>
        </w:tabs>
        <w:numPr>
          <w:ilvl w:val="1"/>
          <w:numId w:val="110"/>
        </w:numPr>
        <w:rPr>
          <w:rFonts w:ascii="Arial" w:cs="Arial" w:eastAsia="Arial" w:hAnsi="Arial"/>
          <w:sz w:val="18"/>
          <w:szCs w:val="18"/>
          <w:color w:val="auto"/>
        </w:rPr>
      </w:pPr>
      <w:r>
        <w:rPr>
          <w:rFonts w:ascii="Arial" w:cs="Arial" w:eastAsia="Arial" w:hAnsi="Arial"/>
          <w:sz w:val="18"/>
          <w:szCs w:val="18"/>
          <w:color w:val="auto"/>
        </w:rPr>
        <w:t>Borrowers shall cause all equipment and other tangible personal property other than Inventory to be maintained and preserved in the same condition, repair and in working order as when new, ordinary wear and tear and casualty loss excepted, and shall promptly make or cause to be made all repairs, replacements and other improvements in connection therewith that are necessary or desirable to such end. Upon request of Agent, Borrowers shall promptly deliver to Agent any and all certificates of title, applications for title or similar evidence of ownership of all such tangible personal property and shall cause Agent to be named as lienholder on any such certificate of title or other evidence of ownership except with respect to motor vehicles with an aggregate value of less than $100,000. Borrowers shall not permit any such tangible personal property to become fixtures to real estate unless such real estate is subject to a Lien in favor of Agent.</w:t>
      </w:r>
    </w:p>
    <w:p>
      <w:pPr>
        <w:spacing w:after="0" w:line="168" w:lineRule="exact"/>
        <w:rPr>
          <w:rFonts w:ascii="Arial" w:cs="Arial" w:eastAsia="Arial" w:hAnsi="Arial"/>
          <w:sz w:val="18"/>
          <w:szCs w:val="18"/>
          <w:color w:val="auto"/>
        </w:rPr>
      </w:pPr>
    </w:p>
    <w:p>
      <w:pPr>
        <w:jc w:val="both"/>
        <w:ind w:left="880" w:firstLine="1586"/>
        <w:spacing w:after="0" w:line="273" w:lineRule="auto"/>
        <w:tabs>
          <w:tab w:leader="none" w:pos="340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Each Borrower hereby authorizes Agent to file without the signature of such Borrower one or more UCC financing statements relating to liens on personal property relating to all or any part of the Collateral, which financing statements may list Agent as the “secured party” and such Borrower as the “debtor” and which describe and indicate the collateral covered thereby as all or any part of the Collateral under the Financing Documents in such jurisdictions as Agent from time to time determines are appropriate, and to file without the signature of such Borrower any continuations of or corrective amendments to any such financing statements, in any such case in order for Agent to perfect, preserve or protect the Liens, rights and remedies of Agent with respect to the Collateral. Each Borrower also ratifies its authorization for Agent to have filed in any jurisdiction any initial financing statements or amendments thereto if filed prior to the date hereof.</w:t>
      </w:r>
    </w:p>
    <w:p>
      <w:pPr>
        <w:spacing w:after="0" w:line="168" w:lineRule="exact"/>
        <w:rPr>
          <w:rFonts w:ascii="Arial" w:cs="Arial" w:eastAsia="Arial" w:hAnsi="Arial"/>
          <w:sz w:val="18"/>
          <w:szCs w:val="18"/>
          <w:color w:val="auto"/>
        </w:rPr>
      </w:pPr>
    </w:p>
    <w:p>
      <w:pPr>
        <w:jc w:val="both"/>
        <w:ind w:left="880" w:firstLine="1586"/>
        <w:spacing w:after="0" w:line="257" w:lineRule="auto"/>
        <w:tabs>
          <w:tab w:leader="none" w:pos="3463" w:val="left"/>
        </w:tabs>
        <w:numPr>
          <w:ilvl w:val="1"/>
          <w:numId w:val="110"/>
        </w:numPr>
        <w:rPr>
          <w:rFonts w:ascii="Arial" w:cs="Arial" w:eastAsia="Arial" w:hAnsi="Arial"/>
          <w:sz w:val="19"/>
          <w:szCs w:val="19"/>
          <w:color w:val="auto"/>
        </w:rPr>
      </w:pPr>
      <w:r>
        <w:rPr>
          <w:rFonts w:ascii="Arial" w:cs="Arial" w:eastAsia="Arial" w:hAnsi="Arial"/>
          <w:sz w:val="19"/>
          <w:szCs w:val="19"/>
          <w:color w:val="auto"/>
        </w:rPr>
        <w:t>As of the Closing Date, no Borrower holds, and after the Closing Date, Borrowers shall promptly notify Agent in writing upon creation or acquisition by any Borrower of, any Collateral which constitutes a claim against any Governmental Authority, including, without limitation, the federal government of the United States or any instrumentality or agency thereof, the assignment of which claim is restricted by any applicable Law, including, without limitation, the federal Assignment of Claims Act and any other comparable Law. Upon the request of Agent, Borrowers shall take such steps as may be necessary or desirable, or that Agent may request, to comply with any such applicable Law in respect of any claim exceeding $50,000 or $250,000 in the aggregate with respect to all such claims.</w:t>
      </w:r>
    </w:p>
    <w:p>
      <w:pPr>
        <w:spacing w:after="0" w:line="184" w:lineRule="exact"/>
        <w:rPr>
          <w:rFonts w:ascii="Arial" w:cs="Arial" w:eastAsia="Arial" w:hAnsi="Arial"/>
          <w:sz w:val="19"/>
          <w:szCs w:val="19"/>
          <w:color w:val="auto"/>
        </w:rPr>
      </w:pPr>
    </w:p>
    <w:p>
      <w:pPr>
        <w:jc w:val="both"/>
        <w:ind w:left="880" w:firstLine="1586"/>
        <w:spacing w:after="0" w:line="250" w:lineRule="auto"/>
        <w:tabs>
          <w:tab w:leader="none" w:pos="3518" w:val="left"/>
        </w:tabs>
        <w:numPr>
          <w:ilvl w:val="1"/>
          <w:numId w:val="110"/>
        </w:numPr>
        <w:rPr>
          <w:rFonts w:ascii="Arial" w:cs="Arial" w:eastAsia="Arial" w:hAnsi="Arial"/>
          <w:sz w:val="20"/>
          <w:szCs w:val="20"/>
          <w:color w:val="auto"/>
        </w:rPr>
      </w:pPr>
      <w:r>
        <w:rPr>
          <w:rFonts w:ascii="Arial" w:cs="Arial" w:eastAsia="Arial" w:hAnsi="Arial"/>
          <w:sz w:val="20"/>
          <w:szCs w:val="20"/>
          <w:color w:val="auto"/>
        </w:rPr>
        <w:t>Borrowers shall furnish to Agent from time to time any statements and schedules further identifying or describing the Collateral and any other information, reports or evidence concerning the Collateral as Agent may reasonably request from time to time.</w:t>
      </w:r>
    </w:p>
    <w:p>
      <w:pPr>
        <w:spacing w:after="0" w:line="185" w:lineRule="exact"/>
        <w:rPr>
          <w:rFonts w:ascii="Arial" w:cs="Arial" w:eastAsia="Arial" w:hAnsi="Arial"/>
          <w:sz w:val="20"/>
          <w:szCs w:val="20"/>
          <w:color w:val="auto"/>
        </w:rPr>
      </w:pPr>
    </w:p>
    <w:p>
      <w:pPr>
        <w:jc w:val="both"/>
        <w:ind w:left="880" w:firstLine="1586"/>
        <w:spacing w:after="0" w:line="275" w:lineRule="auto"/>
        <w:tabs>
          <w:tab w:leader="none" w:pos="340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Notwithstanding anything in this Agreement or any other Financing Document to the contrary, Borrowers shall not be required to take any steps (A) to perfect any security interest in any leasehold interest in real property and</w:t>
      </w:r>
    </w:p>
    <w:p>
      <w:pPr>
        <w:jc w:val="both"/>
        <w:ind w:left="880" w:hanging="8"/>
        <w:spacing w:after="0" w:line="241" w:lineRule="auto"/>
        <w:tabs>
          <w:tab w:leader="none" w:pos="1199"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to perfect any security interest under the laws of any jurisdiction other than the United States of America (or any state thereof or the District of Columbia) in those assets as to which Agent determines (in its reasonable discretion) that the cost of obtaining such a security interest or perfection thereof are excessive in relation to the benefit to Lenders of the security or perfection to be afforded thereby.</w:t>
      </w:r>
    </w:p>
    <w:p>
      <w:pPr>
        <w:spacing w:after="0" w:line="194" w:lineRule="exact"/>
        <w:rPr>
          <w:rFonts w:ascii="Arial" w:cs="Arial" w:eastAsia="Arial" w:hAnsi="Arial"/>
          <w:sz w:val="20"/>
          <w:szCs w:val="20"/>
          <w:color w:val="auto"/>
        </w:rPr>
      </w:pPr>
    </w:p>
    <w:p>
      <w:pPr>
        <w:jc w:val="both"/>
        <w:ind w:left="880" w:firstLine="1586"/>
        <w:spacing w:after="0" w:line="282" w:lineRule="auto"/>
        <w:tabs>
          <w:tab w:leader="none" w:pos="3353"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If any Borrower desires to enter into a Permitted License and the proposed licensee under such Permitted License requests that Agent enter into a non-disturbance agreement (or similar agreement) in connection with such Permitted License, Agent hereby agrees to negotiate in good faith and on a commercially reasonable basis with such Borrower and such licensee to enter into such a non-disturbance and attornment agreement with respect to the proposed Permitted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24" w:name="page125"/>
    <w:bookmarkEnd w:id="124"/>
    <w:p>
      <w:pPr>
        <w:jc w:val="both"/>
        <w:ind w:left="880"/>
        <w:spacing w:after="0" w:line="256" w:lineRule="auto"/>
        <w:rPr>
          <w:sz w:val="20"/>
          <w:szCs w:val="20"/>
          <w:color w:val="auto"/>
        </w:rPr>
      </w:pPr>
      <w:r>
        <w:rPr>
          <w:rFonts w:ascii="Arial" w:cs="Arial" w:eastAsia="Arial" w:hAnsi="Arial"/>
          <w:sz w:val="19"/>
          <w:szCs w:val="19"/>
          <w:color w:val="auto"/>
        </w:rPr>
        <w:t xml:space="preserve">License and the Intellectual Property that is the subject thereof, which shall provide (among other things) (A) that, notwithstanding any exercise of rights and/or remedies by the Agent under this Agreement in respect of the Intellectual Property that is the subject of such Permitted License, such licensee shall continue to have the rights and licenses set forth in its license agreement to the extent that such licensee is in compliance with the terms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any bankruptcy or insolvency proceeding with respect to such Borrower the rights of such licensee and the Agent shall be determined in accordance with the Bankruptcy Code (or other Laws applicable to such proceeding), (B) an acknowledgement and consent by such licensee of Agent’s security interest in the Collateral (including, to the extent applicable, such Permitted License and the Intellectual Property that is the subject thereof), and (C) that such Permitted License shall attorn to the owner of such Intellectual Property after such exercise of rights and remedies.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10 - EVENTS OF DEFAULT</w:t>
      </w:r>
    </w:p>
    <w:p>
      <w:pPr>
        <w:spacing w:after="0" w:line="216" w:lineRule="exact"/>
        <w:rPr>
          <w:sz w:val="20"/>
          <w:szCs w:val="20"/>
          <w:color w:val="auto"/>
        </w:rPr>
      </w:pPr>
    </w:p>
    <w:p>
      <w:pPr>
        <w:ind w:firstLine="864"/>
        <w:spacing w:after="0" w:line="293" w:lineRule="auto"/>
        <w:rPr>
          <w:sz w:val="20"/>
          <w:szCs w:val="20"/>
          <w:color w:val="auto"/>
        </w:rPr>
      </w:pPr>
      <w:r>
        <w:rPr>
          <w:rFonts w:ascii="Arial" w:cs="Arial" w:eastAsia="Arial" w:hAnsi="Arial"/>
          <w:sz w:val="19"/>
          <w:szCs w:val="19"/>
          <w:b w:val="1"/>
          <w:bCs w:val="1"/>
          <w:color w:val="auto"/>
        </w:rPr>
        <w:t xml:space="preserve">Section 10.1 </w:t>
      </w:r>
      <w:r>
        <w:rPr>
          <w:rFonts w:ascii="Arial" w:cs="Arial" w:eastAsia="Arial" w:hAnsi="Arial"/>
          <w:sz w:val="19"/>
          <w:szCs w:val="19"/>
          <w:u w:val="single" w:color="auto"/>
          <w:color w:val="auto"/>
        </w:rPr>
        <w:t>Events of Default</w:t>
      </w:r>
      <w:r>
        <w:rPr>
          <w:rFonts w:ascii="Arial" w:cs="Arial" w:eastAsia="Arial" w:hAnsi="Arial"/>
          <w:sz w:val="19"/>
          <w:szCs w:val="19"/>
          <w:color w:val="auto"/>
        </w:rPr>
        <w:t>. For purposes of the Financing Documents, the occurrence of any of the following</w:t>
      </w:r>
      <w:r>
        <w:rPr>
          <w:rFonts w:ascii="Arial" w:cs="Arial" w:eastAsia="Arial" w:hAnsi="Arial"/>
          <w:sz w:val="19"/>
          <w:szCs w:val="19"/>
          <w:b w:val="1"/>
          <w:bCs w:val="1"/>
          <w:color w:val="auto"/>
        </w:rPr>
        <w:t xml:space="preserve"> </w:t>
      </w:r>
      <w:r>
        <w:rPr>
          <w:rFonts w:ascii="Arial" w:cs="Arial" w:eastAsia="Arial" w:hAnsi="Arial"/>
          <w:sz w:val="19"/>
          <w:szCs w:val="19"/>
          <w:color w:val="auto"/>
        </w:rPr>
        <w:t>conditions and/or events, whether voluntary or involuntary, by operation of law or otherwise, shall constitute an “</w:t>
      </w:r>
      <w:r>
        <w:rPr>
          <w:rFonts w:ascii="Arial" w:cs="Arial" w:eastAsia="Arial" w:hAnsi="Arial"/>
          <w:sz w:val="19"/>
          <w:szCs w:val="19"/>
          <w:b w:val="1"/>
          <w:bCs w:val="1"/>
          <w:color w:val="auto"/>
        </w:rPr>
        <w:t>Event of Default</w:t>
      </w:r>
      <w:r>
        <w:rPr>
          <w:rFonts w:ascii="Arial" w:cs="Arial" w:eastAsia="Arial" w:hAnsi="Arial"/>
          <w:sz w:val="19"/>
          <w:szCs w:val="19"/>
          <w:color w:val="auto"/>
        </w:rPr>
        <w:t>”:</w:t>
      </w:r>
    </w:p>
    <w:p>
      <w:pPr>
        <w:spacing w:after="0" w:line="148" w:lineRule="exact"/>
        <w:rPr>
          <w:sz w:val="20"/>
          <w:szCs w:val="20"/>
          <w:color w:val="auto"/>
        </w:rPr>
      </w:pPr>
    </w:p>
    <w:p>
      <w:pPr>
        <w:jc w:val="both"/>
        <w:ind w:firstLine="1735"/>
        <w:spacing w:after="0" w:line="263" w:lineRule="auto"/>
        <w:tabs>
          <w:tab w:leader="none" w:pos="2595" w:val="left"/>
        </w:tabs>
        <w:numPr>
          <w:ilvl w:val="0"/>
          <w:numId w:val="112"/>
        </w:numPr>
        <w:rPr>
          <w:rFonts w:ascii="Arial" w:cs="Arial" w:eastAsia="Arial" w:hAnsi="Arial"/>
          <w:sz w:val="19"/>
          <w:szCs w:val="19"/>
          <w:color w:val="auto"/>
        </w:rPr>
      </w:pPr>
      <w:r>
        <w:rPr>
          <w:rFonts w:ascii="Arial" w:cs="Arial" w:eastAsia="Arial" w:hAnsi="Arial"/>
          <w:sz w:val="19"/>
          <w:szCs w:val="19"/>
          <w:color w:val="auto"/>
        </w:rPr>
        <w:t>(i) any Borrower shall fail to pay any principal or interest under any Financing Document when due or pay any premium, fee or any other amount payable under any Financing Document within three (3) Business Days of when due, or (ii) there shall occur any default in the performance of or compliance with any of the following sections of this Agreement: Section 2.11, Section 4.1, Section 4.2(b), Section 4.4(c), Section 4.6, 4.9, 4.11(d)-(f), 4.15, 4.16, 4.17, Article 5, Article 6, Section 7.4 or Article 8;</w:t>
      </w:r>
    </w:p>
    <w:p>
      <w:pPr>
        <w:spacing w:after="0" w:line="176" w:lineRule="exact"/>
        <w:rPr>
          <w:rFonts w:ascii="Arial" w:cs="Arial" w:eastAsia="Arial" w:hAnsi="Arial"/>
          <w:sz w:val="19"/>
          <w:szCs w:val="19"/>
          <w:color w:val="auto"/>
        </w:rPr>
      </w:pPr>
    </w:p>
    <w:p>
      <w:pPr>
        <w:jc w:val="both"/>
        <w:ind w:firstLine="1735"/>
        <w:spacing w:after="0" w:line="243" w:lineRule="auto"/>
        <w:tabs>
          <w:tab w:leader="none" w:pos="2606" w:val="left"/>
        </w:tabs>
        <w:numPr>
          <w:ilvl w:val="0"/>
          <w:numId w:val="112"/>
        </w:numPr>
        <w:rPr>
          <w:rFonts w:ascii="Arial" w:cs="Arial" w:eastAsia="Arial" w:hAnsi="Arial"/>
          <w:sz w:val="20"/>
          <w:szCs w:val="20"/>
          <w:color w:val="auto"/>
        </w:rPr>
      </w:pPr>
      <w:r>
        <w:rPr>
          <w:rFonts w:ascii="Arial" w:cs="Arial" w:eastAsia="Arial" w:hAnsi="Arial"/>
          <w:sz w:val="20"/>
          <w:szCs w:val="20"/>
          <w:color w:val="auto"/>
        </w:rPr>
        <w:t>any Credit Party defaults in the performance of or compliance with any term contained in this Agreement or in any other Financing Document (other than occurrences described in other provisions of this Section 10.1 for which a different grace or cure period is specified or for which no grace or cure period is specified and thereby constitute immediate Events of Default) and such default is not remedied by the Credit Party or waived by Agent within twenty (20) days after the earlier of (i) receipt by Borrower Representative of notice from Agent or Required Lenders of such default, or (ii) actual knowledge of any Borrower or any other Credit Party of such default;</w:t>
      </w:r>
    </w:p>
    <w:p>
      <w:pPr>
        <w:spacing w:after="0" w:line="195" w:lineRule="exact"/>
        <w:rPr>
          <w:rFonts w:ascii="Arial" w:cs="Arial" w:eastAsia="Arial" w:hAnsi="Arial"/>
          <w:sz w:val="20"/>
          <w:szCs w:val="20"/>
          <w:color w:val="auto"/>
        </w:rPr>
      </w:pPr>
    </w:p>
    <w:p>
      <w:pPr>
        <w:jc w:val="both"/>
        <w:ind w:firstLine="1735"/>
        <w:spacing w:after="0" w:line="246" w:lineRule="auto"/>
        <w:tabs>
          <w:tab w:leader="none" w:pos="2595" w:val="left"/>
        </w:tabs>
        <w:numPr>
          <w:ilvl w:val="0"/>
          <w:numId w:val="112"/>
        </w:numPr>
        <w:rPr>
          <w:rFonts w:ascii="Arial" w:cs="Arial" w:eastAsia="Arial" w:hAnsi="Arial"/>
          <w:sz w:val="20"/>
          <w:szCs w:val="20"/>
          <w:color w:val="auto"/>
        </w:rPr>
      </w:pPr>
      <w:r>
        <w:rPr>
          <w:rFonts w:ascii="Arial" w:cs="Arial" w:eastAsia="Arial" w:hAnsi="Arial"/>
          <w:sz w:val="20"/>
          <w:szCs w:val="20"/>
          <w:color w:val="auto"/>
        </w:rPr>
        <w:t>any representation, warranty, certification or statement made by any Credit Party or any other Person in any Financing Document or in any certificate, financial statement or other document delivered pursuant to any Financing Document is incorrect in any respect (or in any material respect if such representation, warranty, certification or statement is not by its terms already qualified as to materiality) when made (or deemed made);</w:t>
      </w:r>
    </w:p>
    <w:p>
      <w:pPr>
        <w:spacing w:after="0" w:line="191" w:lineRule="exact"/>
        <w:rPr>
          <w:rFonts w:ascii="Arial" w:cs="Arial" w:eastAsia="Arial" w:hAnsi="Arial"/>
          <w:sz w:val="20"/>
          <w:szCs w:val="20"/>
          <w:color w:val="auto"/>
        </w:rPr>
      </w:pPr>
    </w:p>
    <w:p>
      <w:pPr>
        <w:jc w:val="both"/>
        <w:ind w:firstLine="1735"/>
        <w:spacing w:after="0" w:line="274" w:lineRule="auto"/>
        <w:tabs>
          <w:tab w:leader="none" w:pos="260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 failure of any Credit Party to pay when due or within any applicable grace period any principal, interest or other amount on Debt (other than the Loans), or the occurrence of any breach, default, condition or event with respect to any Debt (other than the Loans), if the effect of such failure or occurrence is to cause or to permit the holder or holders of any such Debt, or to cause, Debt or other liabilities having an individual principal amount in excess of $500,000 or having an aggregate principal amount in excess of $500,000 to become or be declared due prior to its stated maturity, or (ii) the occurrence of any breach or default under any terms or provisions of any Subordinated Debt Document or under any agreement subordinating the Subordinated Debt to all or any portion of the Obligations or the occurrence of any event requiring the prepayment of any Subordinated Debt;</w:t>
      </w:r>
    </w:p>
    <w:p>
      <w:pPr>
        <w:spacing w:after="0" w:line="168" w:lineRule="exact"/>
        <w:rPr>
          <w:rFonts w:ascii="Arial" w:cs="Arial" w:eastAsia="Arial" w:hAnsi="Arial"/>
          <w:sz w:val="18"/>
          <w:szCs w:val="18"/>
          <w:color w:val="auto"/>
        </w:rPr>
      </w:pPr>
    </w:p>
    <w:p>
      <w:pPr>
        <w:jc w:val="both"/>
        <w:ind w:firstLine="1735"/>
        <w:spacing w:after="0" w:line="250" w:lineRule="auto"/>
        <w:tabs>
          <w:tab w:leader="none" w:pos="2595" w:val="left"/>
        </w:tabs>
        <w:numPr>
          <w:ilvl w:val="0"/>
          <w:numId w:val="112"/>
        </w:numPr>
        <w:rPr>
          <w:rFonts w:ascii="Arial" w:cs="Arial" w:eastAsia="Arial" w:hAnsi="Arial"/>
          <w:sz w:val="20"/>
          <w:szCs w:val="20"/>
          <w:color w:val="auto"/>
        </w:rPr>
      </w:pPr>
      <w:r>
        <w:rPr>
          <w:rFonts w:ascii="Arial" w:cs="Arial" w:eastAsia="Arial" w:hAnsi="Arial"/>
          <w:sz w:val="20"/>
          <w:szCs w:val="20"/>
          <w:color w:val="auto"/>
        </w:rPr>
        <w:t>any Credit Party or any Subsidiary of a Borrower shall commence a voluntary case or other proceeding seeking liquidation, reorganization or other relief with respect to itself or its debts under any bankruptcy, insolvency or other similar law now or hereafter in effect or seeking the appointment of 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25" w:name="page126"/>
    <w:bookmarkEnd w:id="125"/>
    <w:p>
      <w:pPr>
        <w:jc w:val="both"/>
        <w:spacing w:after="0" w:line="246" w:lineRule="auto"/>
        <w:rPr>
          <w:sz w:val="20"/>
          <w:szCs w:val="20"/>
          <w:color w:val="auto"/>
        </w:rPr>
      </w:pPr>
      <w:r>
        <w:rPr>
          <w:rFonts w:ascii="Arial" w:cs="Arial" w:eastAsia="Arial" w:hAnsi="Arial"/>
          <w:sz w:val="20"/>
          <w:szCs w:val="20"/>
          <w:color w:val="auto"/>
        </w:rPr>
        <w:t>trustee, receiver, liquidator, custodian or other similar official of it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 shall take any corporate action to authorize any of the foregoing;</w:t>
      </w:r>
    </w:p>
    <w:p>
      <w:pPr>
        <w:spacing w:after="0" w:line="191" w:lineRule="exact"/>
        <w:rPr>
          <w:sz w:val="20"/>
          <w:szCs w:val="20"/>
          <w:color w:val="auto"/>
        </w:rPr>
      </w:pPr>
    </w:p>
    <w:p>
      <w:pPr>
        <w:jc w:val="both"/>
        <w:ind w:firstLine="1735"/>
        <w:spacing w:after="0" w:line="270" w:lineRule="auto"/>
        <w:tabs>
          <w:tab w:leader="none" w:pos="2573"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 involuntary case or other proceeding shall be commenced against any Credit Party or any Subsidiary of a Borrower seeking liquidation, reorganization or other relief with respect to it or its debts under any bankruptcy, insolvency or other similar law now or hereafter in effect or seeking the appointment of a trustee, receiver, liquidator, custodian or other similar official of it or any substantial part of its property, and such involuntary case or other proceeding shall remain undismissed and unstayed for a period of sixty</w:t>
      </w:r>
    </w:p>
    <w:p>
      <w:pPr>
        <w:spacing w:after="0" w:line="2" w:lineRule="exact"/>
        <w:rPr>
          <w:rFonts w:ascii="Arial" w:cs="Arial" w:eastAsia="Arial" w:hAnsi="Arial"/>
          <w:sz w:val="18"/>
          <w:szCs w:val="18"/>
          <w:color w:val="auto"/>
        </w:rPr>
      </w:pPr>
    </w:p>
    <w:p>
      <w:pPr>
        <w:jc w:val="both"/>
        <w:ind w:firstLine="8"/>
        <w:spacing w:after="0" w:line="256" w:lineRule="auto"/>
        <w:tabs>
          <w:tab w:leader="none" w:pos="422" w:val="left"/>
        </w:tabs>
        <w:numPr>
          <w:ilvl w:val="0"/>
          <w:numId w:val="114"/>
        </w:numPr>
        <w:rPr>
          <w:rFonts w:ascii="Arial" w:cs="Arial" w:eastAsia="Arial" w:hAnsi="Arial"/>
          <w:sz w:val="19"/>
          <w:szCs w:val="19"/>
          <w:color w:val="auto"/>
        </w:rPr>
      </w:pPr>
      <w:r>
        <w:rPr>
          <w:rFonts w:ascii="Arial" w:cs="Arial" w:eastAsia="Arial" w:hAnsi="Arial"/>
          <w:sz w:val="19"/>
          <w:szCs w:val="19"/>
          <w:color w:val="auto"/>
        </w:rPr>
        <w:t>days; or an order for relief shall be entered against any Credit Party or any Subsidiary of a Borrower under applicable federal bankruptcy, insolvency or other similar law in respect of (i) bankruptcy, liquidation, winding-up, dissolution or suspension of general operations, (ii) composition, rescheduling, reorganization, arrangement or readjustment of, or other relief from, or stay of proceedings to enforce, some or all of the debts or obligations, or (iii) possession, foreclosure, seizure or retention, sale or other disposition of, or other proceedings to enforce security over, all or any substantial part of the assets of such Credit Party or Subsidiary;</w:t>
      </w:r>
    </w:p>
    <w:p>
      <w:pPr>
        <w:spacing w:after="0" w:line="182" w:lineRule="exact"/>
        <w:rPr>
          <w:rFonts w:ascii="Arial" w:cs="Arial" w:eastAsia="Arial" w:hAnsi="Arial"/>
          <w:sz w:val="19"/>
          <w:szCs w:val="19"/>
          <w:color w:val="auto"/>
        </w:rPr>
      </w:pPr>
    </w:p>
    <w:p>
      <w:pPr>
        <w:jc w:val="both"/>
        <w:ind w:firstLine="1735"/>
        <w:spacing w:after="0" w:line="257" w:lineRule="auto"/>
        <w:tabs>
          <w:tab w:leader="none" w:pos="2606" w:val="left"/>
        </w:tabs>
        <w:numPr>
          <w:ilvl w:val="1"/>
          <w:numId w:val="114"/>
        </w:numPr>
        <w:rPr>
          <w:rFonts w:ascii="Arial" w:cs="Arial" w:eastAsia="Arial" w:hAnsi="Arial"/>
          <w:sz w:val="19"/>
          <w:szCs w:val="19"/>
          <w:color w:val="auto"/>
        </w:rPr>
      </w:pPr>
      <w:r>
        <w:rPr>
          <w:rFonts w:ascii="Arial" w:cs="Arial" w:eastAsia="Arial" w:hAnsi="Arial"/>
          <w:sz w:val="19"/>
          <w:szCs w:val="19"/>
          <w:color w:val="auto"/>
        </w:rPr>
        <w:t>(i) institution of any steps by any Person to terminate a Pension Plan if as a result of such termination any Credit Party or any member of the Controlled Group could be required to make a contribution to such Pension Plan, or could incur a liability or obligation to such Pension Plan, in excess of $500,000, (ii) a contribution failure occurs with respect to any Pension Plan sufficient to give rise to a Lien under Section 303(k) of ERISA or Section 430(k) of the Code or an event occurs that would reasonably be expected to give rise to a Lien securing an amount on excess of $500,000 under Section 4068 of ERISA, or (iii) there shall occur any withdrawal or partial withdrawal from a Multiemployer Plan and the withdrawal liability (without unaccrued interest) to Multiemployer Plans as a result of such withdrawal (including any outstanding withdrawal liability that any Credit Party or any member of the Controlled Group have incurred on the date of such withdrawal) exceeds $500,000;</w:t>
      </w:r>
    </w:p>
    <w:p>
      <w:pPr>
        <w:spacing w:after="0" w:line="180" w:lineRule="exact"/>
        <w:rPr>
          <w:rFonts w:ascii="Arial" w:cs="Arial" w:eastAsia="Arial" w:hAnsi="Arial"/>
          <w:sz w:val="19"/>
          <w:szCs w:val="19"/>
          <w:color w:val="auto"/>
        </w:rPr>
      </w:pPr>
    </w:p>
    <w:p>
      <w:pPr>
        <w:jc w:val="both"/>
        <w:ind w:firstLine="1735"/>
        <w:spacing w:after="0" w:line="278" w:lineRule="auto"/>
        <w:tabs>
          <w:tab w:leader="none" w:pos="2606" w:val="left"/>
        </w:tabs>
        <w:numPr>
          <w:ilvl w:val="1"/>
          <w:numId w:val="114"/>
        </w:numPr>
        <w:rPr>
          <w:rFonts w:ascii="Arial" w:cs="Arial" w:eastAsia="Arial" w:hAnsi="Arial"/>
          <w:sz w:val="18"/>
          <w:szCs w:val="18"/>
          <w:color w:val="auto"/>
        </w:rPr>
      </w:pPr>
      <w:r>
        <w:rPr>
          <w:rFonts w:ascii="Arial" w:cs="Arial" w:eastAsia="Arial" w:hAnsi="Arial"/>
          <w:sz w:val="18"/>
          <w:szCs w:val="18"/>
          <w:color w:val="auto"/>
        </w:rPr>
        <w:t>one or more judgments or orders for the payment of money (not paid or fully covered by insurance maintained in accordance with the requirements of this Agreement and as to which the relevant insurance company has acknowledged coverage) aggregating in excess of $500,000 shall be rendered against any or all Credit Parties and either (i) enforcement proceedings shall have been commenced by any creditor upon any such judgments or orders, or (ii) there shall be any period of twenty (20) consecutive days during which a stay of enforcement of any such judgments or orders, by reason of a pending appeal, bond or otherwise, shall not be in effect;</w:t>
      </w:r>
    </w:p>
    <w:p>
      <w:pPr>
        <w:spacing w:after="0" w:line="164" w:lineRule="exact"/>
        <w:rPr>
          <w:rFonts w:ascii="Arial" w:cs="Arial" w:eastAsia="Arial" w:hAnsi="Arial"/>
          <w:sz w:val="18"/>
          <w:szCs w:val="18"/>
          <w:color w:val="auto"/>
        </w:rPr>
      </w:pPr>
    </w:p>
    <w:p>
      <w:pPr>
        <w:jc w:val="both"/>
        <w:ind w:firstLine="1735"/>
        <w:spacing w:after="0" w:line="246" w:lineRule="auto"/>
        <w:tabs>
          <w:tab w:leader="none" w:pos="2562" w:val="left"/>
        </w:tabs>
        <w:numPr>
          <w:ilvl w:val="1"/>
          <w:numId w:val="114"/>
        </w:numPr>
        <w:rPr>
          <w:rFonts w:ascii="Arial" w:cs="Arial" w:eastAsia="Arial" w:hAnsi="Arial"/>
          <w:sz w:val="20"/>
          <w:szCs w:val="20"/>
          <w:color w:val="auto"/>
        </w:rPr>
      </w:pPr>
      <w:r>
        <w:rPr>
          <w:rFonts w:ascii="Arial" w:cs="Arial" w:eastAsia="Arial" w:hAnsi="Arial"/>
          <w:sz w:val="20"/>
          <w:szCs w:val="20"/>
          <w:color w:val="auto"/>
        </w:rPr>
        <w:t>any Lien created by any of the Security Documents shall at any time fail to constitute a valid and perfected Lien on all of the Collateral purported to be encumbered thereby, subject to no prior or equal Lien except Permitted Liens (other than as a result of any action or inaction of Agent or Required Lenders provided that such action or inaction is not caused by any Credit Parties failure to comply with the terms of the Financing Documents) or any Credit Party shall so assert;</w:t>
      </w:r>
    </w:p>
    <w:p>
      <w:pPr>
        <w:spacing w:after="0" w:line="191" w:lineRule="exact"/>
        <w:rPr>
          <w:rFonts w:ascii="Arial" w:cs="Arial" w:eastAsia="Arial" w:hAnsi="Arial"/>
          <w:sz w:val="20"/>
          <w:szCs w:val="20"/>
          <w:color w:val="auto"/>
        </w:rPr>
      </w:pPr>
    </w:p>
    <w:p>
      <w:pPr>
        <w:ind w:left="2580" w:hanging="845"/>
        <w:spacing w:after="0"/>
        <w:tabs>
          <w:tab w:leader="none" w:pos="2580" w:val="left"/>
        </w:tabs>
        <w:numPr>
          <w:ilvl w:val="1"/>
          <w:numId w:val="114"/>
        </w:numPr>
        <w:rPr>
          <w:rFonts w:ascii="Arial" w:cs="Arial" w:eastAsia="Arial" w:hAnsi="Arial"/>
          <w:sz w:val="20"/>
          <w:szCs w:val="20"/>
          <w:color w:val="auto"/>
        </w:rPr>
      </w:pPr>
      <w:r>
        <w:rPr>
          <w:rFonts w:ascii="Arial" w:cs="Arial" w:eastAsia="Arial" w:hAnsi="Arial"/>
          <w:sz w:val="20"/>
          <w:szCs w:val="20"/>
          <w:color w:val="auto"/>
        </w:rPr>
        <w:t>the institution by any Governmental Authority of criminal proceedings against any Credit Party;</w:t>
      </w:r>
    </w:p>
    <w:p>
      <w:pPr>
        <w:spacing w:after="0" w:line="215" w:lineRule="exact"/>
        <w:rPr>
          <w:rFonts w:ascii="Arial" w:cs="Arial" w:eastAsia="Arial" w:hAnsi="Arial"/>
          <w:sz w:val="20"/>
          <w:szCs w:val="20"/>
          <w:color w:val="auto"/>
        </w:rPr>
      </w:pPr>
    </w:p>
    <w:p>
      <w:pPr>
        <w:ind w:left="2620" w:hanging="885"/>
        <w:spacing w:after="0"/>
        <w:tabs>
          <w:tab w:leader="none" w:pos="2620" w:val="left"/>
        </w:tabs>
        <w:numPr>
          <w:ilvl w:val="1"/>
          <w:numId w:val="114"/>
        </w:numPr>
        <w:rPr>
          <w:rFonts w:ascii="Arial" w:cs="Arial" w:eastAsia="Arial" w:hAnsi="Arial"/>
          <w:sz w:val="20"/>
          <w:szCs w:val="20"/>
          <w:color w:val="auto"/>
        </w:rPr>
      </w:pPr>
      <w:r>
        <w:rPr>
          <w:rFonts w:ascii="Arial" w:cs="Arial" w:eastAsia="Arial" w:hAnsi="Arial"/>
          <w:sz w:val="20"/>
          <w:szCs w:val="20"/>
          <w:color w:val="auto"/>
        </w:rPr>
        <w:t>an event of default occurs under any Guarantee of any portion of the Obligations;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26" w:name="page127"/>
    <w:bookmarkEnd w:id="126"/>
    <w:p>
      <w:pPr>
        <w:ind w:right="20" w:firstLine="1735"/>
        <w:spacing w:after="0" w:line="260" w:lineRule="auto"/>
        <w:tabs>
          <w:tab w:leader="none" w:pos="2562" w:val="left"/>
        </w:tabs>
        <w:numPr>
          <w:ilvl w:val="0"/>
          <w:numId w:val="115"/>
        </w:numPr>
        <w:rPr>
          <w:rFonts w:ascii="Arial" w:cs="Arial" w:eastAsia="Arial" w:hAnsi="Arial"/>
          <w:sz w:val="20"/>
          <w:szCs w:val="20"/>
          <w:color w:val="auto"/>
        </w:rPr>
      </w:pPr>
      <w:r>
        <w:rPr>
          <w:rFonts w:ascii="Arial" w:cs="Arial" w:eastAsia="Arial" w:hAnsi="Arial"/>
          <w:sz w:val="20"/>
          <w:szCs w:val="20"/>
          <w:color w:val="auto"/>
        </w:rPr>
        <w:t>any Borrower makes any payment on account of any Debt that has been subordinated to any of the Obligations, other than payments specifically permitted by the terms of such subordination;</w:t>
      </w:r>
    </w:p>
    <w:p>
      <w:pPr>
        <w:spacing w:after="0" w:line="176" w:lineRule="exact"/>
        <w:rPr>
          <w:rFonts w:ascii="Arial" w:cs="Arial" w:eastAsia="Arial" w:hAnsi="Arial"/>
          <w:sz w:val="20"/>
          <w:szCs w:val="20"/>
          <w:color w:val="auto"/>
        </w:rPr>
      </w:pPr>
    </w:p>
    <w:p>
      <w:pPr>
        <w:jc w:val="both"/>
        <w:ind w:firstLine="1735"/>
        <w:spacing w:after="0" w:line="250" w:lineRule="auto"/>
        <w:tabs>
          <w:tab w:leader="none" w:pos="2661" w:val="left"/>
        </w:tabs>
        <w:numPr>
          <w:ilvl w:val="0"/>
          <w:numId w:val="115"/>
        </w:numPr>
        <w:rPr>
          <w:rFonts w:ascii="Arial" w:cs="Arial" w:eastAsia="Arial" w:hAnsi="Arial"/>
          <w:sz w:val="20"/>
          <w:szCs w:val="20"/>
          <w:color w:val="auto"/>
        </w:rPr>
      </w:pPr>
      <w:r>
        <w:rPr>
          <w:rFonts w:ascii="Arial" w:cs="Arial" w:eastAsia="Arial" w:hAnsi="Arial"/>
          <w:sz w:val="20"/>
          <w:szCs w:val="20"/>
          <w:color w:val="auto"/>
        </w:rPr>
        <w:t>if any Borrower is or becomes an entity whose equity is registered with the SEC, and/or is publicly traded on and/or registered with a public securities exchange, such Borrower’s equity fails to remain registered with the SEC in good standing, and/or such equity fails to remain publicly traded on and registered with a public securities exchange;</w:t>
      </w:r>
    </w:p>
    <w:p>
      <w:pPr>
        <w:spacing w:after="0" w:line="185" w:lineRule="exact"/>
        <w:rPr>
          <w:rFonts w:ascii="Arial" w:cs="Arial" w:eastAsia="Arial" w:hAnsi="Arial"/>
          <w:sz w:val="20"/>
          <w:szCs w:val="20"/>
          <w:color w:val="auto"/>
        </w:rPr>
      </w:pPr>
    </w:p>
    <w:p>
      <w:pPr>
        <w:ind w:left="2620" w:hanging="885"/>
        <w:spacing w:after="0"/>
        <w:tabs>
          <w:tab w:leader="none" w:pos="26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occurrence of any fact, event or circumstance that would reasonably be expected to result in a Material</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Adverse Effect;</w:t>
      </w:r>
    </w:p>
    <w:p>
      <w:pPr>
        <w:spacing w:after="0" w:line="199" w:lineRule="exact"/>
        <w:rPr>
          <w:rFonts w:ascii="Arial" w:cs="Arial" w:eastAsia="Arial" w:hAnsi="Arial"/>
          <w:sz w:val="18"/>
          <w:szCs w:val="18"/>
          <w:color w:val="auto"/>
        </w:rPr>
      </w:pPr>
    </w:p>
    <w:p>
      <w:pPr>
        <w:jc w:val="both"/>
        <w:ind w:firstLine="1735"/>
        <w:spacing w:after="0" w:line="271" w:lineRule="auto"/>
        <w:tabs>
          <w:tab w:leader="none" w:pos="260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 the voluntary withdrawal or institution of any action or proceeding by the FDA or similar Governmental Authority to order the withdrawal of any Product or Product category from the market or to enjoin Borrower, its Subsidiaries or any representative of Borrower or its Subsidiaries from manufacturing, marketing, selling or distributing any Product or Product category, which, in each case, has or would reasonably be expected to result in a Material Adverse Effect, (ii) the institution of any action or proceeding by any FDA, or any other Governmental Authority to revoke, suspend, reject, withdraw, limit, or restrict any Regulatory Required Permit held by Borrower, its Subsidiaries or any representative of Borrower or its Subsidiaries, which, in each case, has or would reasonably be expected to result in a Material Adverse Effect, (iii) the commencement of any enforcement action against Borrower, its Subsidiaries or any representative of Borrower or its Subsidiaries (with respect to the business of Borrower or its Subsidiaries) by FDA, or any other Governmental Authority which has or would reasonably be expected to result in a Material Adverse Effect, or (iv) the occurrence of adverse test results in connection with a Product which could result in a Material Adverse Effect; or</w:t>
      </w:r>
    </w:p>
    <w:p>
      <w:pPr>
        <w:spacing w:after="0" w:line="173" w:lineRule="exact"/>
        <w:rPr>
          <w:rFonts w:ascii="Arial" w:cs="Arial" w:eastAsia="Arial" w:hAnsi="Arial"/>
          <w:sz w:val="18"/>
          <w:szCs w:val="18"/>
          <w:color w:val="auto"/>
        </w:rPr>
      </w:pPr>
    </w:p>
    <w:p>
      <w:pPr>
        <w:jc w:val="both"/>
        <w:ind w:firstLine="1735"/>
        <w:spacing w:after="0" w:line="242" w:lineRule="auto"/>
        <w:tabs>
          <w:tab w:leader="none" w:pos="2606" w:val="left"/>
        </w:tabs>
        <w:numPr>
          <w:ilvl w:val="0"/>
          <w:numId w:val="115"/>
        </w:numPr>
        <w:rPr>
          <w:rFonts w:ascii="Arial" w:cs="Arial" w:eastAsia="Arial" w:hAnsi="Arial"/>
          <w:sz w:val="20"/>
          <w:szCs w:val="20"/>
          <w:color w:val="auto"/>
        </w:rPr>
      </w:pPr>
      <w:r>
        <w:rPr>
          <w:rFonts w:ascii="Arial" w:cs="Arial" w:eastAsia="Arial" w:hAnsi="Arial"/>
          <w:sz w:val="20"/>
          <w:szCs w:val="20"/>
          <w:color w:val="auto"/>
        </w:rPr>
        <w:t>(i) any Credit Party defaults under or breaches its obligations in any material respect under the Ruxience Royalty Agreement or the IXINITY Royalty Agreement (after any applicable grace period contained therein), or the Ruxience Royalty Agreement or the IXINITY Royalty Agreement shall be terminated by the other party or parties party thereto prior to the expiration thereof, or there is a loss of a right of a Credit Party to any portion of the Royalty Stream under either the Ruxience Royalty Agreement or the IXINITY Royalty Agreement or any portion of either such Royalty Stream is terminated; or (ii) any Credit Party defaults in any material respect under or breaches in any material respect any other Material Contract (after any applicable grace period contained therein), or any other Material Contract shall be terminated by the other party or parties party thereto prior to the expiration thereof, or there is a loss of a material right of a Credit Party under any other Material Contract to which it is a party, in each case which would reasonably be expected to result in a Material Adverse Effect.</w:t>
      </w:r>
    </w:p>
    <w:p>
      <w:pPr>
        <w:spacing w:after="0" w:line="194"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All cure periods provided for in this Section 10.1 shall run concurrently with any cure period provided for in any applicable Financing Documents under which the default occurred.</w:t>
      </w:r>
    </w:p>
    <w:p>
      <w:pPr>
        <w:spacing w:after="0" w:line="171"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9"/>
          <w:szCs w:val="19"/>
          <w:b w:val="1"/>
          <w:bCs w:val="1"/>
          <w:color w:val="auto"/>
        </w:rPr>
        <w:t xml:space="preserve">Section 10.2 </w:t>
      </w:r>
      <w:r>
        <w:rPr>
          <w:rFonts w:ascii="Arial" w:cs="Arial" w:eastAsia="Arial" w:hAnsi="Arial"/>
          <w:sz w:val="19"/>
          <w:szCs w:val="19"/>
          <w:u w:val="single" w:color="auto"/>
          <w:color w:val="auto"/>
        </w:rPr>
        <w:t>Acceleration and Suspension or Termination of Term Loan Commitment</w:t>
      </w:r>
      <w:r>
        <w:rPr>
          <w:rFonts w:ascii="Arial" w:cs="Arial" w:eastAsia="Arial" w:hAnsi="Arial"/>
          <w:sz w:val="19"/>
          <w:szCs w:val="19"/>
          <w:color w:val="auto"/>
        </w:rPr>
        <w:t>. Upon the occurrence and during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continuance of an Event of Default, Agent may, and shall if requested by Required Lenders, (a) by notice to Borrower Representative suspend or terminate the Term Loan Commitment and the obligations of Agent and the Lenders with respect thereto, in whole or in part (and, if in part, each Lender’s Term Loan Commitment shall be reduced in accordance with its Pro Rata Share), and/or (b) by notice to Borrower Representative declare all or any portion of the Obligations to be, and the Obligations shall thereupon become, immediately due and payable, with accrued interest thereon, without presentment, demand, protest or other notice of any kind, all of which are hereby waived by each Borrower and Borrowers will pay the same;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the case of any of the Events of Default specified in Section 10.1(e) or 10.1(f) above, without any notice to any Borrower or any other act by Agent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27" w:name="page128"/>
    <w:bookmarkEnd w:id="127"/>
    <w:p>
      <w:pPr>
        <w:jc w:val="both"/>
        <w:spacing w:after="0" w:line="291" w:lineRule="auto"/>
        <w:rPr>
          <w:sz w:val="20"/>
          <w:szCs w:val="20"/>
          <w:color w:val="auto"/>
        </w:rPr>
      </w:pPr>
      <w:r>
        <w:rPr>
          <w:rFonts w:ascii="Arial" w:cs="Arial" w:eastAsia="Arial" w:hAnsi="Arial"/>
          <w:sz w:val="18"/>
          <w:szCs w:val="18"/>
          <w:color w:val="auto"/>
        </w:rPr>
        <w:t>or the Lenders, the Term Loan Commitment and the obligations of Agent and the Lenders with respect thereto shall thereupon immediately and automatically terminate and all of the Obligations shall become immediately and automatically due and payable without presentment, demand, protest or other notice of any kind, all of which are hereby waived by each Borrower and Borrowers will pay the same.</w:t>
      </w:r>
    </w:p>
    <w:p>
      <w:pPr>
        <w:spacing w:after="0" w:line="146"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0"/>
          <w:szCs w:val="20"/>
          <w:b w:val="1"/>
          <w:bCs w:val="1"/>
          <w:color w:val="auto"/>
        </w:rPr>
        <w:t>Section 10.3</w:t>
      </w:r>
      <w:r>
        <w:rPr>
          <w:sz w:val="20"/>
          <w:szCs w:val="20"/>
          <w:color w:val="auto"/>
        </w:rPr>
        <w:tab/>
      </w:r>
      <w:r>
        <w:rPr>
          <w:rFonts w:ascii="Arial" w:cs="Arial" w:eastAsia="Arial" w:hAnsi="Arial"/>
          <w:sz w:val="16"/>
          <w:szCs w:val="16"/>
          <w:u w:val="single" w:color="auto"/>
          <w:color w:val="auto"/>
        </w:rPr>
        <w:t>UCC Remedies</w:t>
      </w:r>
      <w:r>
        <w:rPr>
          <w:rFonts w:ascii="Arial" w:cs="Arial" w:eastAsia="Arial" w:hAnsi="Arial"/>
          <w:sz w:val="16"/>
          <w:szCs w:val="16"/>
          <w:color w:val="auto"/>
        </w:rPr>
        <w:t>.</w:t>
      </w:r>
    </w:p>
    <w:p>
      <w:pPr>
        <w:spacing w:after="0" w:line="222" w:lineRule="exact"/>
        <w:rPr>
          <w:sz w:val="20"/>
          <w:szCs w:val="20"/>
          <w:color w:val="auto"/>
        </w:rPr>
      </w:pPr>
    </w:p>
    <w:p>
      <w:pPr>
        <w:jc w:val="both"/>
        <w:ind w:firstLine="1735"/>
        <w:spacing w:after="0" w:line="282" w:lineRule="auto"/>
        <w:tabs>
          <w:tab w:leader="none" w:pos="259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Upon the occurrence of and during the continuance of an Event of Default under this Agreement or the other Financing Documents, Agent, in addition to all other rights, options, and remedies granted to Agent under this Agreement or at law or in equity, may exercise, either directly or through one or more assignees or designees, all rights and remedies granted to it under all Financing Documents and under the UCC in effect in the applicable jurisdiction(s) and under any other applicable Law; including, without limitation:</w:t>
      </w:r>
    </w:p>
    <w:p>
      <w:pPr>
        <w:spacing w:after="0" w:line="161" w:lineRule="exact"/>
        <w:rPr>
          <w:rFonts w:ascii="Arial" w:cs="Arial" w:eastAsia="Arial" w:hAnsi="Arial"/>
          <w:sz w:val="18"/>
          <w:szCs w:val="18"/>
          <w:color w:val="auto"/>
        </w:rPr>
      </w:pPr>
    </w:p>
    <w:p>
      <w:pPr>
        <w:ind w:left="3300" w:hanging="834"/>
        <w:spacing w:after="0"/>
        <w:tabs>
          <w:tab w:leader="none" w:pos="33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right to take possession of, send notices regarding, and collect directly the Collateral, with or</w:t>
      </w:r>
    </w:p>
    <w:p>
      <w:pPr>
        <w:spacing w:after="0" w:line="38"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20"/>
          <w:szCs w:val="20"/>
          <w:color w:val="auto"/>
        </w:rPr>
        <w:t>without judicial process;</w:t>
      </w:r>
    </w:p>
    <w:p>
      <w:pPr>
        <w:spacing w:after="0" w:line="199" w:lineRule="exact"/>
        <w:rPr>
          <w:rFonts w:ascii="Arial" w:cs="Arial" w:eastAsia="Arial" w:hAnsi="Arial"/>
          <w:sz w:val="18"/>
          <w:szCs w:val="18"/>
          <w:color w:val="auto"/>
        </w:rPr>
      </w:pPr>
    </w:p>
    <w:p>
      <w:pPr>
        <w:jc w:val="both"/>
        <w:ind w:left="880" w:firstLine="1586"/>
        <w:spacing w:after="0" w:line="255" w:lineRule="auto"/>
        <w:tabs>
          <w:tab w:leader="none" w:pos="3364" w:val="left"/>
        </w:tabs>
        <w:numPr>
          <w:ilvl w:val="1"/>
          <w:numId w:val="116"/>
        </w:numPr>
        <w:rPr>
          <w:rFonts w:ascii="Arial" w:cs="Arial" w:eastAsia="Arial" w:hAnsi="Arial"/>
          <w:sz w:val="19"/>
          <w:szCs w:val="19"/>
          <w:color w:val="auto"/>
        </w:rPr>
      </w:pPr>
      <w:r>
        <w:rPr>
          <w:rFonts w:ascii="Arial" w:cs="Arial" w:eastAsia="Arial" w:hAnsi="Arial"/>
          <w:sz w:val="19"/>
          <w:szCs w:val="19"/>
          <w:color w:val="auto"/>
        </w:rPr>
        <w:t>the right to (by its own means or with judicial assistance) enter any of Borrowers’ premises and take possession of the Collateral, or render it unusable, or to render it usable or saleable, or dispose of the Collateral on such premises in compliance with subsection (iii) below and to take possession of Borrowers’ original books and records, to obtain access to Borrowers’ data processing equipment, computer hardware and software relating to the Collateral and to use all of the foregoing and the information contained therein in any manner Agent deems appropriate, without any liability for rent, storage, utilities, or other sums, and Borrowers shall not resist or interfere with such action (if Borrowers’ books and records are prepared or maintained by an accounting service, contractor or other third party agent, Borrowers hereby irrevocably authorize such service, contractor or other agent, upon notice by Agent to such Person that an Event of Default has occurred and is continuing, to deliver to Agent or its designees such books and records, and to follow Agent’s instructions with respect to further services to be rendered);</w:t>
      </w:r>
    </w:p>
    <w:p>
      <w:pPr>
        <w:spacing w:after="0" w:line="189" w:lineRule="exact"/>
        <w:rPr>
          <w:rFonts w:ascii="Arial" w:cs="Arial" w:eastAsia="Arial" w:hAnsi="Arial"/>
          <w:sz w:val="19"/>
          <w:szCs w:val="19"/>
          <w:color w:val="auto"/>
        </w:rPr>
      </w:pPr>
    </w:p>
    <w:p>
      <w:pPr>
        <w:ind w:left="880" w:firstLine="1586"/>
        <w:spacing w:after="0" w:line="260" w:lineRule="auto"/>
        <w:tabs>
          <w:tab w:leader="none" w:pos="3419" w:val="left"/>
        </w:tabs>
        <w:numPr>
          <w:ilvl w:val="1"/>
          <w:numId w:val="116"/>
        </w:numPr>
        <w:rPr>
          <w:rFonts w:ascii="Arial" w:cs="Arial" w:eastAsia="Arial" w:hAnsi="Arial"/>
          <w:sz w:val="20"/>
          <w:szCs w:val="20"/>
          <w:color w:val="auto"/>
        </w:rPr>
      </w:pPr>
      <w:r>
        <w:rPr>
          <w:rFonts w:ascii="Arial" w:cs="Arial" w:eastAsia="Arial" w:hAnsi="Arial"/>
          <w:sz w:val="20"/>
          <w:szCs w:val="20"/>
          <w:color w:val="auto"/>
        </w:rPr>
        <w:t>the right to require Borrowers at Borrowers’ expense to assemble all or any part of the Collateral and make it available to Agent at any place designated by Lender;</w:t>
      </w:r>
    </w:p>
    <w:p>
      <w:pPr>
        <w:spacing w:after="0" w:line="176" w:lineRule="exact"/>
        <w:rPr>
          <w:rFonts w:ascii="Arial" w:cs="Arial" w:eastAsia="Arial" w:hAnsi="Arial"/>
          <w:sz w:val="20"/>
          <w:szCs w:val="20"/>
          <w:color w:val="auto"/>
        </w:rPr>
      </w:pPr>
    </w:p>
    <w:p>
      <w:pPr>
        <w:ind w:left="880" w:firstLine="1586"/>
        <w:spacing w:after="0" w:line="260" w:lineRule="auto"/>
        <w:tabs>
          <w:tab w:leader="none" w:pos="3408" w:val="left"/>
        </w:tabs>
        <w:numPr>
          <w:ilvl w:val="1"/>
          <w:numId w:val="116"/>
        </w:numPr>
        <w:rPr>
          <w:rFonts w:ascii="Arial" w:cs="Arial" w:eastAsia="Arial" w:hAnsi="Arial"/>
          <w:sz w:val="20"/>
          <w:szCs w:val="20"/>
          <w:color w:val="auto"/>
        </w:rPr>
      </w:pPr>
      <w:r>
        <w:rPr>
          <w:rFonts w:ascii="Arial" w:cs="Arial" w:eastAsia="Arial" w:hAnsi="Arial"/>
          <w:sz w:val="20"/>
          <w:szCs w:val="20"/>
          <w:color w:val="auto"/>
        </w:rPr>
        <w:t>the right to notify postal authorities to change the address for delivery of Borrowers’ mail to an address designated by Agent and to receive, open and dispose of all mail addressed to any Borrower; and/or</w:t>
      </w:r>
    </w:p>
    <w:p>
      <w:pPr>
        <w:spacing w:after="0" w:line="176" w:lineRule="exact"/>
        <w:rPr>
          <w:rFonts w:ascii="Arial" w:cs="Arial" w:eastAsia="Arial" w:hAnsi="Arial"/>
          <w:sz w:val="20"/>
          <w:szCs w:val="20"/>
          <w:color w:val="auto"/>
        </w:rPr>
      </w:pPr>
    </w:p>
    <w:p>
      <w:pPr>
        <w:jc w:val="both"/>
        <w:ind w:left="880" w:firstLine="1586"/>
        <w:spacing w:after="0" w:line="257" w:lineRule="auto"/>
        <w:tabs>
          <w:tab w:leader="none" w:pos="3353" w:val="left"/>
        </w:tabs>
        <w:numPr>
          <w:ilvl w:val="1"/>
          <w:numId w:val="116"/>
        </w:numPr>
        <w:rPr>
          <w:rFonts w:ascii="Arial" w:cs="Arial" w:eastAsia="Arial" w:hAnsi="Arial"/>
          <w:sz w:val="19"/>
          <w:szCs w:val="19"/>
          <w:color w:val="auto"/>
        </w:rPr>
      </w:pPr>
      <w:r>
        <w:rPr>
          <w:rFonts w:ascii="Arial" w:cs="Arial" w:eastAsia="Arial" w:hAnsi="Arial"/>
          <w:sz w:val="19"/>
          <w:szCs w:val="19"/>
          <w:color w:val="auto"/>
        </w:rPr>
        <w:t>the right to enforce Borrowers’ rights against Account Debtors and other obligors, including, without limitation, (i) the right to collect Accounts directly in Agent’s own name (as agent for Lenders) and to charge the collection costs and expenses, including attorneys’ fees, to Borrowers, and (ii) the right, in the name of Agent or any designee of Agent or Borrowers, to verify the validity, amount or any other matter relating to any Accounts by mail, telephone, or otherwise, including, without limitation, verification of Borrowers’ compliance with applicable Laws. Borrowers shall cooperate fully with Agent in an effort to facilitate and promptly conclude such verification process. Such verification may include contacts between Agent and applicable federal, state and local regulatory authorities having jurisdiction over the Borrowers’ affairs, all of which contacts Borrowers hereby irrevocably authorize.</w:t>
      </w:r>
    </w:p>
    <w:p>
      <w:pPr>
        <w:spacing w:after="0" w:line="180" w:lineRule="exact"/>
        <w:rPr>
          <w:rFonts w:ascii="Arial" w:cs="Arial" w:eastAsia="Arial" w:hAnsi="Arial"/>
          <w:sz w:val="19"/>
          <w:szCs w:val="19"/>
          <w:color w:val="auto"/>
        </w:rPr>
      </w:pPr>
    </w:p>
    <w:p>
      <w:pPr>
        <w:jc w:val="both"/>
        <w:ind w:right="20" w:firstLine="1735"/>
        <w:spacing w:after="0" w:line="250" w:lineRule="auto"/>
        <w:tabs>
          <w:tab w:leader="none" w:pos="2606" w:val="left"/>
        </w:tabs>
        <w:numPr>
          <w:ilvl w:val="0"/>
          <w:numId w:val="116"/>
        </w:numPr>
        <w:rPr>
          <w:rFonts w:ascii="Arial" w:cs="Arial" w:eastAsia="Arial" w:hAnsi="Arial"/>
          <w:sz w:val="20"/>
          <w:szCs w:val="20"/>
          <w:color w:val="auto"/>
        </w:rPr>
      </w:pPr>
      <w:r>
        <w:rPr>
          <w:rFonts w:ascii="Arial" w:cs="Arial" w:eastAsia="Arial" w:hAnsi="Arial"/>
          <w:sz w:val="20"/>
          <w:szCs w:val="20"/>
          <w:color w:val="auto"/>
        </w:rPr>
        <w:t>Each Borrower agrees that a notice received by it at least ten (10) days before the time of any intended public sale, or the time after which any private sale or other disposition of the Collateral is to be made, shall be deemed to be reasonable notice of such sale or other disposition. If permitted by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28" w:name="page129"/>
    <w:bookmarkEnd w:id="128"/>
    <w:p>
      <w:pPr>
        <w:jc w:val="both"/>
        <w:spacing w:after="0" w:line="255" w:lineRule="auto"/>
        <w:rPr>
          <w:sz w:val="20"/>
          <w:szCs w:val="20"/>
          <w:color w:val="auto"/>
        </w:rPr>
      </w:pPr>
      <w:r>
        <w:rPr>
          <w:rFonts w:ascii="Arial" w:cs="Arial" w:eastAsia="Arial" w:hAnsi="Arial"/>
          <w:sz w:val="19"/>
          <w:szCs w:val="19"/>
          <w:color w:val="auto"/>
        </w:rPr>
        <w:t>applicable Law, any perishable Collateral which threatens to speedily decline in value or which is sold on a recognized market may be sold immediately by Agent without prior notice to Borrowers. At any sale or disposition of Collateral, Agent may (to the extent permitted by applicable Law) purchase all or any part of the Collateral, free from any right of redemption by Borrowers, which right is hereby waived and released. Each Borrower covenants and agrees not to interfere with or impose any obstacle to Agent’s exercise of its rights and remedies with respect to the Collateral. Agent shall have no obligation to clean-up or otherwise prepare the Collateral for sale. Agent may comply with any applicable state or federal law requirements in connection with a disposition of the Collateral and compliance will not be considered to adversely affect the commercial reasonableness of any sale of the Collateral. Agent may sell the Collateral without giving any warranties as to the Collateral. Agent may specifically disclaim any warranties of title or the like. This procedure will not be considered to adversely affect the commercial reasonableness of any sale of the Collateral. If Agent sells any of the Collateral upon credit, Borrowers will be credited only with payments actually made by the purchaser, received by Agent and applied to the indebtedness of the purchaser. In the event the purchaser fails to pay for the Collateral, Agent may resell the Collateral and Borrowers shall be credited with the proceeds of the sale. Borrowers shall remain liable for any deficiency if the proceeds of any sale or disposition of the Collateral are insufficient to pay all Obligations.</w:t>
      </w:r>
    </w:p>
    <w:p>
      <w:pPr>
        <w:spacing w:after="0" w:line="182" w:lineRule="exact"/>
        <w:rPr>
          <w:sz w:val="20"/>
          <w:szCs w:val="20"/>
          <w:color w:val="auto"/>
        </w:rPr>
      </w:pPr>
    </w:p>
    <w:p>
      <w:pPr>
        <w:jc w:val="both"/>
        <w:ind w:firstLine="1735"/>
        <w:spacing w:after="0" w:line="269" w:lineRule="auto"/>
        <w:tabs>
          <w:tab w:leader="none" w:pos="2595" w:val="left"/>
        </w:tabs>
        <w:numPr>
          <w:ilvl w:val="1"/>
          <w:numId w:val="117"/>
        </w:numPr>
        <w:rPr>
          <w:rFonts w:ascii="Arial" w:cs="Arial" w:eastAsia="Arial" w:hAnsi="Arial"/>
          <w:sz w:val="18"/>
          <w:szCs w:val="18"/>
          <w:color w:val="auto"/>
        </w:rPr>
      </w:pPr>
      <w:r>
        <w:rPr>
          <w:rFonts w:ascii="Arial" w:cs="Arial" w:eastAsia="Arial" w:hAnsi="Arial"/>
          <w:sz w:val="18"/>
          <w:szCs w:val="18"/>
          <w:color w:val="auto"/>
        </w:rPr>
        <w:t>Without restricting the generality of the foregoing and for the purposes aforesaid, each Borrower hereby appoints and constitutes Agent its lawful attorney-in-fact with full power of substitution in the Collateral, upon the occurrence and during the continuance of an Event of Default, to (i) use unadvanced funds remaining under this Agreement or which may be reserved, escrowed or set aside for any purposes hereunder at any time, or to advance funds in excess of the face amount of the Notes, (ii) pay, settle or compromise all existing bills and claims, which may be Liens or security interests, or to avoid such bills and claims becoming Liens against the Collateral,</w:t>
      </w:r>
    </w:p>
    <w:p>
      <w:pPr>
        <w:spacing w:after="0" w:line="3" w:lineRule="exact"/>
        <w:rPr>
          <w:rFonts w:ascii="Arial" w:cs="Arial" w:eastAsia="Arial" w:hAnsi="Arial"/>
          <w:sz w:val="18"/>
          <w:szCs w:val="18"/>
          <w:color w:val="auto"/>
        </w:rPr>
      </w:pPr>
    </w:p>
    <w:p>
      <w:pPr>
        <w:jc w:val="both"/>
        <w:ind w:firstLine="8"/>
        <w:spacing w:after="0" w:line="260" w:lineRule="auto"/>
        <w:tabs>
          <w:tab w:leader="none" w:pos="385" w:val="left"/>
        </w:tabs>
        <w:numPr>
          <w:ilvl w:val="0"/>
          <w:numId w:val="118"/>
        </w:numPr>
        <w:rPr>
          <w:rFonts w:ascii="Arial" w:cs="Arial" w:eastAsia="Arial" w:hAnsi="Arial"/>
          <w:sz w:val="19"/>
          <w:szCs w:val="19"/>
          <w:color w:val="auto"/>
        </w:rPr>
      </w:pPr>
      <w:r>
        <w:rPr>
          <w:rFonts w:ascii="Arial" w:cs="Arial" w:eastAsia="Arial" w:hAnsi="Arial"/>
          <w:sz w:val="19"/>
          <w:szCs w:val="19"/>
          <w:color w:val="auto"/>
        </w:rPr>
        <w:t>execute all applications and certificates in the name of such Borrower and to prosecute and defend all actions or proceedings in connection with the Collateral, and (iv) do any and every act which such Borrower might do in its own behalf; it being understood and agreed that this power of attorney in this subsection (c) shall be a power coupled with an interest and cannot be revoked.</w:t>
      </w:r>
    </w:p>
    <w:p>
      <w:pPr>
        <w:spacing w:after="0" w:line="178" w:lineRule="exact"/>
        <w:rPr>
          <w:rFonts w:ascii="Arial" w:cs="Arial" w:eastAsia="Arial" w:hAnsi="Arial"/>
          <w:sz w:val="19"/>
          <w:szCs w:val="19"/>
          <w:color w:val="auto"/>
        </w:rPr>
      </w:pPr>
    </w:p>
    <w:p>
      <w:pPr>
        <w:jc w:val="both"/>
        <w:ind w:firstLine="1735"/>
        <w:spacing w:after="0" w:line="244" w:lineRule="auto"/>
        <w:tabs>
          <w:tab w:leader="none" w:pos="2606" w:val="left"/>
        </w:tabs>
        <w:numPr>
          <w:ilvl w:val="1"/>
          <w:numId w:val="118"/>
        </w:numPr>
        <w:rPr>
          <w:rFonts w:ascii="Arial" w:cs="Arial" w:eastAsia="Arial" w:hAnsi="Arial"/>
          <w:sz w:val="20"/>
          <w:szCs w:val="20"/>
          <w:color w:val="auto"/>
        </w:rPr>
      </w:pPr>
      <w:r>
        <w:rPr>
          <w:rFonts w:ascii="Arial" w:cs="Arial" w:eastAsia="Arial" w:hAnsi="Arial"/>
          <w:sz w:val="20"/>
          <w:szCs w:val="20"/>
          <w:color w:val="auto"/>
        </w:rPr>
        <w:t>Agent and each Lender is hereby granted a non-exclusive, royalty-free license or other right to use, without charge, Borrowers’ labels, mask works, rights of use of any name, any other Intellectual Property and advertising matter, and any similar property as it pertains to the Collateral, in completing production of, advertising for sale, and selling any Collateral pursuant to this Section and, in connection with Agent’s exercise of its rights under this Section, Borrowers’ rights under all licenses (whether as licensor or licensee) and all franchise agreements inure to Agent’s and each Lender’s benefit.</w:t>
      </w:r>
    </w:p>
    <w:p>
      <w:pPr>
        <w:spacing w:after="0" w:line="188"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0"/>
          <w:szCs w:val="20"/>
          <w:b w:val="1"/>
          <w:bCs w:val="1"/>
          <w:color w:val="auto"/>
        </w:rPr>
        <w:t>Section 10.4</w:t>
      </w:r>
      <w:r>
        <w:rPr>
          <w:sz w:val="20"/>
          <w:szCs w:val="20"/>
          <w:color w:val="auto"/>
        </w:rPr>
        <w:tab/>
      </w:r>
      <w:r>
        <w:rPr>
          <w:rFonts w:ascii="Arial" w:cs="Arial" w:eastAsia="Arial" w:hAnsi="Arial"/>
          <w:sz w:val="16"/>
          <w:szCs w:val="16"/>
          <w:u w:val="single" w:color="auto"/>
          <w:color w:val="auto"/>
        </w:rPr>
        <w:t>Reserved.</w:t>
      </w:r>
    </w:p>
    <w:p>
      <w:pPr>
        <w:spacing w:after="0" w:line="21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b w:val="1"/>
          <w:bCs w:val="1"/>
          <w:color w:val="auto"/>
        </w:rPr>
        <w:t xml:space="preserve">Section 10.5 </w:t>
      </w:r>
      <w:r>
        <w:rPr>
          <w:rFonts w:ascii="Arial" w:cs="Arial" w:eastAsia="Arial" w:hAnsi="Arial"/>
          <w:sz w:val="20"/>
          <w:szCs w:val="20"/>
          <w:u w:val="single" w:color="auto"/>
          <w:color w:val="auto"/>
        </w:rPr>
        <w:t>Default Rate of Interest</w:t>
      </w:r>
      <w:r>
        <w:rPr>
          <w:rFonts w:ascii="Arial" w:cs="Arial" w:eastAsia="Arial" w:hAnsi="Arial"/>
          <w:sz w:val="20"/>
          <w:szCs w:val="20"/>
          <w:color w:val="auto"/>
        </w:rPr>
        <w:t>. At the election of Agent or Required Lenders, after the occurrence of an Event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Default and for so long as it continues, the Loans and other Obligations shall bear interest at rates that are three percent (3.0%) per annum in excess of the rates otherwise payable under this Agreement; </w:t>
      </w:r>
      <w:r>
        <w:rPr>
          <w:rFonts w:ascii="Arial" w:cs="Arial" w:eastAsia="Arial" w:hAnsi="Arial"/>
          <w:sz w:val="20"/>
          <w:szCs w:val="20"/>
          <w:i w:val="1"/>
          <w:iCs w:val="1"/>
          <w:color w:val="auto"/>
        </w:rPr>
        <w:t>provided, however</w:t>
      </w:r>
      <w:r>
        <w:rPr>
          <w:rFonts w:ascii="Arial" w:cs="Arial" w:eastAsia="Arial" w:hAnsi="Arial"/>
          <w:sz w:val="20"/>
          <w:szCs w:val="20"/>
          <w:color w:val="auto"/>
        </w:rPr>
        <w:t>, that in the case of any Event of Default specified in Section 10.1(e) or 10.1(f) above, such default rate shall apply immediately and automatically without the need for any election or action of any kind on the part of Agent or any Lender.</w:t>
      </w:r>
    </w:p>
    <w:p>
      <w:pPr>
        <w:spacing w:after="0" w:line="185"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b w:val="1"/>
          <w:bCs w:val="1"/>
          <w:color w:val="auto"/>
        </w:rPr>
        <w:t xml:space="preserve">Section 10.6 </w:t>
      </w:r>
      <w:r>
        <w:rPr>
          <w:rFonts w:ascii="Arial" w:cs="Arial" w:eastAsia="Arial" w:hAnsi="Arial"/>
          <w:sz w:val="20"/>
          <w:szCs w:val="20"/>
          <w:u w:val="single" w:color="auto"/>
          <w:color w:val="auto"/>
        </w:rPr>
        <w:t>Setoff Rights</w:t>
      </w:r>
      <w:r>
        <w:rPr>
          <w:rFonts w:ascii="Arial" w:cs="Arial" w:eastAsia="Arial" w:hAnsi="Arial"/>
          <w:sz w:val="20"/>
          <w:szCs w:val="20"/>
          <w:color w:val="auto"/>
        </w:rPr>
        <w:t>. Upon the occurrence and during the continuance of any Event of Default, each Lender is</w:t>
      </w:r>
      <w:r>
        <w:rPr>
          <w:rFonts w:ascii="Arial" w:cs="Arial" w:eastAsia="Arial" w:hAnsi="Arial"/>
          <w:sz w:val="20"/>
          <w:szCs w:val="20"/>
          <w:b w:val="1"/>
          <w:bCs w:val="1"/>
          <w:color w:val="auto"/>
        </w:rPr>
        <w:t xml:space="preserve"> </w:t>
      </w:r>
      <w:r>
        <w:rPr>
          <w:rFonts w:ascii="Arial" w:cs="Arial" w:eastAsia="Arial" w:hAnsi="Arial"/>
          <w:sz w:val="20"/>
          <w:szCs w:val="20"/>
          <w:color w:val="auto"/>
        </w:rPr>
        <w:t>hereby authorized by each Borrower at any time or from time to time, with reasonably prompt subsequent notice to such Borrower (any prior or contemporaneous notice being hereby expressly waived) to set off and to appropriate and to apply any and all (a) balances held by such Lender or any of such Lender’s Affiliates at any of its offices for the account of such Borrower or any of its Subsidiaries (regardless of whether such balances are then due to such Borrower or its Subsidiaries), and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29" w:name="page130"/>
    <w:bookmarkEnd w:id="129"/>
    <w:p>
      <w:pPr>
        <w:jc w:val="both"/>
        <w:ind w:firstLine="8"/>
        <w:spacing w:after="0" w:line="316" w:lineRule="auto"/>
        <w:tabs>
          <w:tab w:leader="none" w:pos="281" w:val="left"/>
        </w:tabs>
        <w:numPr>
          <w:ilvl w:val="0"/>
          <w:numId w:val="119"/>
        </w:numPr>
        <w:rPr>
          <w:rFonts w:ascii="Arial" w:cs="Arial" w:eastAsia="Arial" w:hAnsi="Arial"/>
          <w:sz w:val="16"/>
          <w:szCs w:val="16"/>
          <w:color w:val="auto"/>
        </w:rPr>
      </w:pPr>
      <w:r>
        <w:rPr>
          <w:rFonts w:ascii="Arial" w:cs="Arial" w:eastAsia="Arial" w:hAnsi="Arial"/>
          <w:sz w:val="16"/>
          <w:szCs w:val="16"/>
          <w:color w:val="auto"/>
        </w:rPr>
        <w:t>other property at any time held or owing by such Lender to or for the credit or for the account of such Borrower or any of its Subsidiaries, against and on account of any of the Obligations; except that no Lender shall exercise any such right without the prior written consent of Agent. Any Lender exercising a right to set off shall purchase for cash (and the other Lenders shall sell) interests in each of such other Lender’s Pro Rata Share of the Obligations as would be necessary to cause all Lenders to share the amount so set off with each other Lender in accordance with their respective Pro Rata Share of the Obligations. Each Borrower agrees, to the fullest extent permitted by law, that any Lender and any of such Lender’s Affiliates may exercise its right to set off with respect to the Obligations as provided in this Section 10.6.</w:t>
      </w:r>
    </w:p>
    <w:p>
      <w:pPr>
        <w:spacing w:after="0" w:line="134"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0"/>
          <w:szCs w:val="20"/>
          <w:b w:val="1"/>
          <w:bCs w:val="1"/>
          <w:color w:val="auto"/>
        </w:rPr>
        <w:t>Section 10.7</w:t>
      </w:r>
      <w:r>
        <w:rPr>
          <w:sz w:val="20"/>
          <w:szCs w:val="20"/>
          <w:color w:val="auto"/>
        </w:rPr>
        <w:tab/>
      </w:r>
      <w:r>
        <w:rPr>
          <w:rFonts w:ascii="Arial" w:cs="Arial" w:eastAsia="Arial" w:hAnsi="Arial"/>
          <w:sz w:val="18"/>
          <w:szCs w:val="18"/>
          <w:u w:val="single" w:color="auto"/>
          <w:color w:val="auto"/>
        </w:rPr>
        <w:t>Application of Proceeds</w:t>
      </w:r>
      <w:r>
        <w:rPr>
          <w:rFonts w:ascii="Arial" w:cs="Arial" w:eastAsia="Arial" w:hAnsi="Arial"/>
          <w:sz w:val="18"/>
          <w:szCs w:val="18"/>
          <w:color w:val="auto"/>
        </w:rPr>
        <w:t>.</w:t>
      </w:r>
    </w:p>
    <w:p>
      <w:pPr>
        <w:spacing w:after="0" w:line="222" w:lineRule="exact"/>
        <w:rPr>
          <w:sz w:val="20"/>
          <w:szCs w:val="20"/>
          <w:color w:val="auto"/>
        </w:rPr>
      </w:pPr>
    </w:p>
    <w:p>
      <w:pPr>
        <w:jc w:val="both"/>
        <w:ind w:firstLine="1735"/>
        <w:spacing w:after="0" w:line="243" w:lineRule="auto"/>
        <w:tabs>
          <w:tab w:leader="none" w:pos="2595" w:val="left"/>
        </w:tabs>
        <w:numPr>
          <w:ilvl w:val="0"/>
          <w:numId w:val="120"/>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in this Agreement, upon the occurrence and during the continuance of an Event of Default, each Borrower irrevocably waives the right to direct the application of any and all payments at any time or times thereafter received by Agent from or on behalf of such Borrower or any Guarantor of all or any part of the Obligations, and, as between Borrowers on the one hand and Agent and Lenders on the other, Agent shall have the continuing and exclusive right to apply and to reapply any and all payments received against the Obligations in such manner as Agent may deem advisable notwithstanding any previous application by Agent.</w:t>
      </w:r>
    </w:p>
    <w:p>
      <w:pPr>
        <w:spacing w:after="0" w:line="195" w:lineRule="exact"/>
        <w:rPr>
          <w:rFonts w:ascii="Arial" w:cs="Arial" w:eastAsia="Arial" w:hAnsi="Arial"/>
          <w:sz w:val="20"/>
          <w:szCs w:val="20"/>
          <w:color w:val="auto"/>
        </w:rPr>
      </w:pPr>
    </w:p>
    <w:p>
      <w:pPr>
        <w:jc w:val="both"/>
        <w:ind w:firstLine="1735"/>
        <w:spacing w:after="0" w:line="250" w:lineRule="auto"/>
        <w:tabs>
          <w:tab w:leader="none" w:pos="2606" w:val="left"/>
        </w:tabs>
        <w:numPr>
          <w:ilvl w:val="0"/>
          <w:numId w:val="120"/>
        </w:numPr>
        <w:rPr>
          <w:rFonts w:ascii="Arial" w:cs="Arial" w:eastAsia="Arial" w:hAnsi="Arial"/>
          <w:sz w:val="20"/>
          <w:szCs w:val="20"/>
          <w:color w:val="auto"/>
        </w:rPr>
      </w:pPr>
      <w:r>
        <w:rPr>
          <w:rFonts w:ascii="Arial" w:cs="Arial" w:eastAsia="Arial" w:hAnsi="Arial"/>
          <w:sz w:val="20"/>
          <w:szCs w:val="20"/>
          <w:color w:val="auto"/>
        </w:rPr>
        <w:t>Following the occurrence and continuance of an Event of Default, but absent the occurrence and continuance of an Acceleration Event, Agent shall apply any and all payments received by Agent in respect of the Obligations, and any and all proceeds of Collateral received by Agent, in such order as Agent may from time to time elect.</w:t>
      </w:r>
    </w:p>
    <w:p>
      <w:pPr>
        <w:spacing w:after="0" w:line="185" w:lineRule="exact"/>
        <w:rPr>
          <w:rFonts w:ascii="Arial" w:cs="Arial" w:eastAsia="Arial" w:hAnsi="Arial"/>
          <w:sz w:val="20"/>
          <w:szCs w:val="20"/>
          <w:color w:val="auto"/>
        </w:rPr>
      </w:pPr>
    </w:p>
    <w:p>
      <w:pPr>
        <w:jc w:val="both"/>
        <w:ind w:firstLine="1735"/>
        <w:spacing w:after="0" w:line="270" w:lineRule="auto"/>
        <w:tabs>
          <w:tab w:leader="none" w:pos="259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Agreement, if an Acceleration Event shall have occurred, and so long as it continues, Agent shall apply any and all payments received by Agent in respect of the Obligations, and any and all proceeds of Collateral received by Agent, in the following order: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all fees, costs, indemnities, liabilities, obligations and expenses incurred by or owing to Agent with respect to this Agreement, the other Financing Documents or the Collateral; </w:t>
      </w:r>
      <w:r>
        <w:rPr>
          <w:rFonts w:ascii="Arial" w:cs="Arial" w:eastAsia="Arial" w:hAnsi="Arial"/>
          <w:sz w:val="18"/>
          <w:szCs w:val="18"/>
          <w:i w:val="1"/>
          <w:iCs w:val="1"/>
          <w:color w:val="auto"/>
        </w:rPr>
        <w:t>second</w:t>
      </w:r>
      <w:r>
        <w:rPr>
          <w:rFonts w:ascii="Arial" w:cs="Arial" w:eastAsia="Arial" w:hAnsi="Arial"/>
          <w:sz w:val="18"/>
          <w:szCs w:val="18"/>
          <w:color w:val="auto"/>
        </w:rPr>
        <w:t xml:space="preserve">, to all fees, costs, indemnities, liabilities, obligations and expenses incurred by or owing to any Lender with respect to this Agreement, the other Financing Documents or the Collateral; </w:t>
      </w:r>
      <w:r>
        <w:rPr>
          <w:rFonts w:ascii="Arial" w:cs="Arial" w:eastAsia="Arial" w:hAnsi="Arial"/>
          <w:sz w:val="18"/>
          <w:szCs w:val="18"/>
          <w:i w:val="1"/>
          <w:iCs w:val="1"/>
          <w:color w:val="auto"/>
        </w:rPr>
        <w:t>third</w:t>
      </w:r>
      <w:r>
        <w:rPr>
          <w:rFonts w:ascii="Arial" w:cs="Arial" w:eastAsia="Arial" w:hAnsi="Arial"/>
          <w:sz w:val="18"/>
          <w:szCs w:val="18"/>
          <w:color w:val="auto"/>
        </w:rPr>
        <w:t xml:space="preserve">, to accrued and unpaid interest on the Obligations (including any interest which, but for the provisions of the Bankruptcy Code, would have accrued on such amounts); </w:t>
      </w:r>
      <w:r>
        <w:rPr>
          <w:rFonts w:ascii="Arial" w:cs="Arial" w:eastAsia="Arial" w:hAnsi="Arial"/>
          <w:sz w:val="18"/>
          <w:szCs w:val="18"/>
          <w:i w:val="1"/>
          <w:iCs w:val="1"/>
          <w:color w:val="auto"/>
        </w:rPr>
        <w:t>fourth</w:t>
      </w:r>
      <w:r>
        <w:rPr>
          <w:rFonts w:ascii="Arial" w:cs="Arial" w:eastAsia="Arial" w:hAnsi="Arial"/>
          <w:sz w:val="18"/>
          <w:szCs w:val="18"/>
          <w:color w:val="auto"/>
        </w:rPr>
        <w:t xml:space="preserve">, to the principal amount of the Obligations outstanding; and </w:t>
      </w:r>
      <w:r>
        <w:rPr>
          <w:rFonts w:ascii="Arial" w:cs="Arial" w:eastAsia="Arial" w:hAnsi="Arial"/>
          <w:sz w:val="18"/>
          <w:szCs w:val="18"/>
          <w:i w:val="1"/>
          <w:iCs w:val="1"/>
          <w:color w:val="auto"/>
        </w:rPr>
        <w:t>fifth</w:t>
      </w:r>
      <w:r>
        <w:rPr>
          <w:rFonts w:ascii="Arial" w:cs="Arial" w:eastAsia="Arial" w:hAnsi="Arial"/>
          <w:sz w:val="18"/>
          <w:szCs w:val="18"/>
          <w:color w:val="auto"/>
        </w:rPr>
        <w:t xml:space="preserve"> to any other indebtedness or obligations of Borrowers owing to Agent or any Lender under the Financing Documents. Any balance remaining shall be delivered to Borrowers or to whomever may be lawfully entitled to receive such balance or as a court of competent jurisdiction may direct. In carrying out the foregoing, (y) amounts received shall be applied in the numerical order provided until exhausted prior to the application to the next succeeding category, and (z) each of the Persons entitled to receive a payment in any particular category shall receive an amount equal to its Pro Rata Share of amounts available to be applied pursuant thereto for such category.</w:t>
      </w:r>
    </w:p>
    <w:p>
      <w:pPr>
        <w:spacing w:after="0" w:line="170"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0"/>
          <w:szCs w:val="20"/>
          <w:b w:val="1"/>
          <w:bCs w:val="1"/>
          <w:color w:val="auto"/>
        </w:rPr>
        <w:t>Section 10.8</w:t>
      </w:r>
      <w:r>
        <w:rPr>
          <w:sz w:val="20"/>
          <w:szCs w:val="20"/>
          <w:color w:val="auto"/>
        </w:rPr>
        <w:tab/>
      </w:r>
      <w:r>
        <w:rPr>
          <w:rFonts w:ascii="Arial" w:cs="Arial" w:eastAsia="Arial" w:hAnsi="Arial"/>
          <w:sz w:val="16"/>
          <w:szCs w:val="16"/>
          <w:u w:val="single" w:color="auto"/>
          <w:color w:val="auto"/>
        </w:rPr>
        <w:t>Waivers</w:t>
      </w:r>
      <w:r>
        <w:rPr>
          <w:rFonts w:ascii="Arial" w:cs="Arial" w:eastAsia="Arial" w:hAnsi="Arial"/>
          <w:sz w:val="16"/>
          <w:szCs w:val="16"/>
          <w:color w:val="auto"/>
        </w:rPr>
        <w:t>.</w:t>
      </w:r>
    </w:p>
    <w:p>
      <w:pPr>
        <w:spacing w:after="0" w:line="222" w:lineRule="exact"/>
        <w:rPr>
          <w:sz w:val="20"/>
          <w:szCs w:val="20"/>
          <w:color w:val="auto"/>
        </w:rPr>
      </w:pPr>
    </w:p>
    <w:p>
      <w:pPr>
        <w:jc w:val="both"/>
        <w:ind w:firstLine="1735"/>
        <w:spacing w:after="0" w:line="243" w:lineRule="auto"/>
        <w:tabs>
          <w:tab w:leader="none" w:pos="2595" w:val="left"/>
        </w:tabs>
        <w:numPr>
          <w:ilvl w:val="0"/>
          <w:numId w:val="121"/>
        </w:numPr>
        <w:rPr>
          <w:rFonts w:ascii="Arial" w:cs="Arial" w:eastAsia="Arial" w:hAnsi="Arial"/>
          <w:sz w:val="20"/>
          <w:szCs w:val="20"/>
          <w:color w:val="auto"/>
        </w:rPr>
      </w:pPr>
      <w:r>
        <w:rPr>
          <w:rFonts w:ascii="Arial" w:cs="Arial" w:eastAsia="Arial" w:hAnsi="Arial"/>
          <w:sz w:val="20"/>
          <w:szCs w:val="20"/>
          <w:color w:val="auto"/>
        </w:rPr>
        <w:t>Except as otherwise provided for in this Agreement and to the fullest extent permitted by applicable Law, each Borrower waives: (i) presentment, demand and protest, and notice of presentment, dishonor, intent to accelerate, acceleration, protest, default, nonpayment, maturity, release, compromise, settlement, extension or renewal of any or all Financing Documents, the Notes or any other notes, commercial paper, accounts, contracts, documents, Instruments, Chattel Paper and Guarantees at any time held by Lenders on which any Borrower may in any way be liable, and hereby ratifies and confirms whatever Lenders may do in this regard; (ii) all rights to notice and a hearing prior to Agent’s or any Lender’s taking possession or control of, or to Agent’s or any Lender’s replevy, attachment or levy upon,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30" w:name="page131"/>
    <w:bookmarkEnd w:id="130"/>
    <w:p>
      <w:pPr>
        <w:jc w:val="both"/>
        <w:spacing w:after="0" w:line="246" w:lineRule="auto"/>
        <w:rPr>
          <w:sz w:val="20"/>
          <w:szCs w:val="20"/>
          <w:color w:val="auto"/>
        </w:rPr>
      </w:pPr>
      <w:r>
        <w:rPr>
          <w:rFonts w:ascii="Arial" w:cs="Arial" w:eastAsia="Arial" w:hAnsi="Arial"/>
          <w:sz w:val="20"/>
          <w:szCs w:val="20"/>
          <w:color w:val="auto"/>
        </w:rPr>
        <w:t>any Collateral or any bond or security which might be required by any court prior to allowing Agent or any Lender to exercise any of its remedies; and (iii) the benefit of all valuation, appraisal and exemption Laws. Each Borrower acknowledges that it has been advised by counsel of its choices and decisions with respect to this Agreement, the other Financing Documents and the transactions evidenced hereby and thereby.</w:t>
      </w:r>
    </w:p>
    <w:p>
      <w:pPr>
        <w:spacing w:after="0" w:line="191" w:lineRule="exact"/>
        <w:rPr>
          <w:sz w:val="20"/>
          <w:szCs w:val="20"/>
          <w:color w:val="auto"/>
        </w:rPr>
      </w:pPr>
    </w:p>
    <w:p>
      <w:pPr>
        <w:jc w:val="both"/>
        <w:ind w:firstLine="1735"/>
        <w:spacing w:after="0" w:line="268" w:lineRule="auto"/>
        <w:tabs>
          <w:tab w:leader="none" w:pos="2606" w:val="left"/>
        </w:tabs>
        <w:numPr>
          <w:ilvl w:val="1"/>
          <w:numId w:val="122"/>
        </w:numPr>
        <w:rPr>
          <w:rFonts w:ascii="Arial" w:cs="Arial" w:eastAsia="Arial" w:hAnsi="Arial"/>
          <w:sz w:val="18"/>
          <w:szCs w:val="18"/>
          <w:color w:val="auto"/>
        </w:rPr>
      </w:pPr>
      <w:r>
        <w:rPr>
          <w:rFonts w:ascii="Arial" w:cs="Arial" w:eastAsia="Arial" w:hAnsi="Arial"/>
          <w:sz w:val="18"/>
          <w:szCs w:val="18"/>
          <w:color w:val="auto"/>
        </w:rPr>
        <w:t>Each Borrower for itself and all its successors and assigns, (i) agrees that its liability shall not be in any manner affected by any indulgence, extension of time, renewal, waiver, or modification granted or consented to by Lender; (ii) consents to any indulgences and all extensions of time, renewals, waivers, or modifications that may be granted by Agent or any Lender with respect to the payment or other provisions of the Financing Documents, and to any substitution, exchange or release of the Collateral, or any part thereof, with or without substitution, and agrees to the addition or release of any Borrower, endorsers, guarantors, or sureties, or whether primarily or secondarily liable, without notice to any other Borrower and without affecting its liability hereunder; (iii) agrees that its liability shall be unconditional and without regard to the liability of any other Borrower, Agent or any Lender for any tax on the indebtedness; and</w:t>
      </w:r>
    </w:p>
    <w:p>
      <w:pPr>
        <w:spacing w:after="0" w:line="4" w:lineRule="exact"/>
        <w:rPr>
          <w:rFonts w:ascii="Arial" w:cs="Arial" w:eastAsia="Arial" w:hAnsi="Arial"/>
          <w:sz w:val="18"/>
          <w:szCs w:val="18"/>
          <w:color w:val="auto"/>
        </w:rPr>
      </w:pPr>
    </w:p>
    <w:p>
      <w:pPr>
        <w:ind w:firstLine="8"/>
        <w:spacing w:after="0" w:line="244" w:lineRule="auto"/>
        <w:tabs>
          <w:tab w:leader="none" w:pos="349"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to the fullest extent permitted by law, expressly waives the benefit of any statute or rule of law or equity now provided, or which may hereafter be provided, which would produce a result contrary to or in conflict with the foregoing.</w:t>
      </w:r>
    </w:p>
    <w:p>
      <w:pPr>
        <w:spacing w:after="0" w:line="191" w:lineRule="exact"/>
        <w:rPr>
          <w:rFonts w:ascii="Arial" w:cs="Arial" w:eastAsia="Arial" w:hAnsi="Arial"/>
          <w:sz w:val="20"/>
          <w:szCs w:val="20"/>
          <w:color w:val="auto"/>
        </w:rPr>
      </w:pPr>
    </w:p>
    <w:p>
      <w:pPr>
        <w:jc w:val="both"/>
        <w:ind w:firstLine="1735"/>
        <w:spacing w:after="0" w:line="270" w:lineRule="auto"/>
        <w:tabs>
          <w:tab w:leader="none" w:pos="2595"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To the extent that Agent or any Lender may have acquiesced in any noncompliance with any requirements or conditions precedent to the closing of the Loans or to any subsequent disbursement of Loan proceeds, such acquiescence shall not be deemed to constitute a waiver by Agent or any Lender of such requirements with respect to any future disbursements of Loan proceeds and Agent may at any time after such acquiescence require Borrowers to comply with all such requirements. Any forbearance by Agent or Lender in exercising any right or remedy under any of the Financing Documents, or otherwise afforded by applicable Law, including any failure to accelerate the maturity date of the Loans, shall not be a waiver of or preclude the exercise of any right or remedy nor shall it serve as a novation of the Notes or as a reinstatement of the Loans or a waiver of such right of acceleration or the right to insist upon strict compliance of the terms of the Financing Documents. Agent’s or any Lender’s acceptance of payment of any sum secured by any of the Financing Documents after the due date of such payment shall not be a waiver of Agent’s and such Lender’s right to either require prompt payment when due of all other sums so secured or to declare a default for failure to make prompt payment. The procurement of insurance or the payment of taxes or other Liens or charges by Agent as the result of an Event of Default shall not be a waiver of Agent’s right to accelerate the maturity of the Loans, nor shall Agent’s receipt of any condemnation awards, insurance proceeds, or damages under this Agreement operate to cure or waive any Credit Party’s default in payment of sums secured by any of the Financing Documents.</w:t>
      </w:r>
    </w:p>
    <w:p>
      <w:pPr>
        <w:spacing w:after="0" w:line="172" w:lineRule="exact"/>
        <w:rPr>
          <w:rFonts w:ascii="Arial" w:cs="Arial" w:eastAsia="Arial" w:hAnsi="Arial"/>
          <w:sz w:val="18"/>
          <w:szCs w:val="18"/>
          <w:color w:val="auto"/>
        </w:rPr>
      </w:pPr>
    </w:p>
    <w:p>
      <w:pPr>
        <w:jc w:val="both"/>
        <w:ind w:firstLine="1735"/>
        <w:spacing w:after="0" w:line="259" w:lineRule="auto"/>
        <w:tabs>
          <w:tab w:leader="none" w:pos="2606" w:val="left"/>
        </w:tabs>
        <w:numPr>
          <w:ilvl w:val="1"/>
          <w:numId w:val="123"/>
        </w:numPr>
        <w:rPr>
          <w:rFonts w:ascii="Arial" w:cs="Arial" w:eastAsia="Arial" w:hAnsi="Arial"/>
          <w:sz w:val="19"/>
          <w:szCs w:val="19"/>
          <w:color w:val="auto"/>
        </w:rPr>
      </w:pPr>
      <w:r>
        <w:rPr>
          <w:rFonts w:ascii="Arial" w:cs="Arial" w:eastAsia="Arial" w:hAnsi="Arial"/>
          <w:sz w:val="19"/>
          <w:szCs w:val="19"/>
          <w:color w:val="auto"/>
        </w:rPr>
        <w:t>Without limiting the generality of anything contained in this Agreement or the other Financing Documents, each Borrower agrees that if an Event of Default is continuing (i) Agent and Lenders shall not be subject to any “one action” or “election of remedies” law or rule, and (ii) all Liens and other rights, remedies or privileges provided to Agent or Lenders shall remain in full force and effect until Agent or Lenders have exhausted all remedies against the Collateral and any other properties owned by Borrowers and the Financing Documents and other security instruments or agreements securing the Loans have been foreclosed, sold and/or otherwise realized upon in satisfaction of Borrowers’ obligations under the Financing Documents.</w:t>
      </w:r>
    </w:p>
    <w:p>
      <w:pPr>
        <w:spacing w:after="0" w:line="178" w:lineRule="exact"/>
        <w:rPr>
          <w:rFonts w:ascii="Arial" w:cs="Arial" w:eastAsia="Arial" w:hAnsi="Arial"/>
          <w:sz w:val="19"/>
          <w:szCs w:val="19"/>
          <w:color w:val="auto"/>
        </w:rPr>
      </w:pPr>
    </w:p>
    <w:p>
      <w:pPr>
        <w:jc w:val="both"/>
        <w:ind w:firstLine="1735"/>
        <w:spacing w:after="0" w:line="260" w:lineRule="auto"/>
        <w:tabs>
          <w:tab w:leader="none" w:pos="2595" w:val="left"/>
        </w:tabs>
        <w:numPr>
          <w:ilvl w:val="1"/>
          <w:numId w:val="123"/>
        </w:numPr>
        <w:rPr>
          <w:rFonts w:ascii="Arial" w:cs="Arial" w:eastAsia="Arial" w:hAnsi="Arial"/>
          <w:sz w:val="19"/>
          <w:szCs w:val="19"/>
          <w:color w:val="auto"/>
        </w:rPr>
      </w:pPr>
      <w:r>
        <w:rPr>
          <w:rFonts w:ascii="Arial" w:cs="Arial" w:eastAsia="Arial" w:hAnsi="Arial"/>
          <w:sz w:val="19"/>
          <w:szCs w:val="19"/>
          <w:color w:val="auto"/>
        </w:rPr>
        <w:t>Nothing contained herein or in any other Financing Document shall be construed as requiring Agent or any Lender to resort to any part of the Collateral for the satisfaction of any of Borrowers’ obligations under the Financing Documents in preference or priority to any other Collateral, and Agent may seek satisfaction out of all of the Collateral or any part thereof, in its absolute discretion in respect of Borrowers’ obligations under the Financing Documents. In addition, Agent shall have the right from time to time to partially foreclose upon any Collateral in any manner and for any amounts secured by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31" w:name="page132"/>
    <w:bookmarkEnd w:id="131"/>
    <w:p>
      <w:pPr>
        <w:jc w:val="both"/>
        <w:spacing w:after="0" w:line="274" w:lineRule="auto"/>
        <w:rPr>
          <w:sz w:val="20"/>
          <w:szCs w:val="20"/>
          <w:color w:val="auto"/>
        </w:rPr>
      </w:pPr>
      <w:r>
        <w:rPr>
          <w:rFonts w:ascii="Arial" w:cs="Arial" w:eastAsia="Arial" w:hAnsi="Arial"/>
          <w:sz w:val="18"/>
          <w:szCs w:val="18"/>
          <w:color w:val="auto"/>
        </w:rPr>
        <w:t>the Financing Documents then due and payable as determined by Agent in its sole discretion, including, without limitation, the following circumstances: (i) in the event any Borrower defaults beyond any applicable grace period in the payment of one or more scheduled payments of principal and/or interest, Agent may foreclose upon all or any part of the Collateral to recover such delinquent payments, or (ii) in the event Agent elects to accelerate less than the entire outstanding principal balance of the Loans, Agent may foreclose all or any part of the Collateral to recover so much of the principal balance of the Loans as Lender may accelerate and such other sums secured by one or more of the Financing Documents as Agent may elect. Notwithstanding one or more partial foreclosures, any unforeclosed Collateral shall remain subject to the Financing Documents to secure payment of sums secured by the Financing Documents and not previously recovered.</w:t>
      </w:r>
    </w:p>
    <w:p>
      <w:pPr>
        <w:spacing w:after="0" w:line="168" w:lineRule="exact"/>
        <w:rPr>
          <w:sz w:val="20"/>
          <w:szCs w:val="20"/>
          <w:color w:val="auto"/>
        </w:rPr>
      </w:pPr>
    </w:p>
    <w:p>
      <w:pPr>
        <w:jc w:val="both"/>
        <w:ind w:firstLine="1735"/>
        <w:spacing w:after="0" w:line="278" w:lineRule="auto"/>
        <w:tabs>
          <w:tab w:leader="none" w:pos="257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the fullest extent permitted by law, each Borrower, for itself and its successors and assigns, waives in the event of foreclosure of any or all of the Collateral any equitable right otherwise available to any Credit Party which would require the separate sale of any of the Collateral or require Agent or Lenders to exhaust their remedies against any part of the Collateral before proceeding against any other part of the Collateral; and further in the event of such foreclosure each Borrower does hereby expressly consent to and authorize, at the option of Agent, the foreclosure and sale either separately or together of each part of the Collateral.</w:t>
      </w:r>
    </w:p>
    <w:p>
      <w:pPr>
        <w:spacing w:after="0" w:line="159"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8"/>
          <w:szCs w:val="18"/>
          <w:b w:val="1"/>
          <w:bCs w:val="1"/>
          <w:color w:val="auto"/>
        </w:rPr>
        <w:t xml:space="preserve">Section 10.9 </w:t>
      </w:r>
      <w:r>
        <w:rPr>
          <w:rFonts w:ascii="Arial" w:cs="Arial" w:eastAsia="Arial" w:hAnsi="Arial"/>
          <w:sz w:val="18"/>
          <w:szCs w:val="18"/>
          <w:u w:val="single" w:color="auto"/>
          <w:color w:val="auto"/>
        </w:rPr>
        <w:t>Injunctive Relief</w:t>
      </w:r>
      <w:r>
        <w:rPr>
          <w:rFonts w:ascii="Arial" w:cs="Arial" w:eastAsia="Arial" w:hAnsi="Arial"/>
          <w:sz w:val="18"/>
          <w:szCs w:val="18"/>
          <w:color w:val="auto"/>
        </w:rPr>
        <w:t>. The parties acknowledge and agree that, in the event of a breach or threatened breach of</w:t>
      </w:r>
      <w:r>
        <w:rPr>
          <w:rFonts w:ascii="Arial" w:cs="Arial" w:eastAsia="Arial" w:hAnsi="Arial"/>
          <w:sz w:val="18"/>
          <w:szCs w:val="18"/>
          <w:b w:val="1"/>
          <w:bCs w:val="1"/>
          <w:color w:val="auto"/>
        </w:rPr>
        <w:t xml:space="preserve"> </w:t>
      </w:r>
      <w:r>
        <w:rPr>
          <w:rFonts w:ascii="Arial" w:cs="Arial" w:eastAsia="Arial" w:hAnsi="Arial"/>
          <w:sz w:val="18"/>
          <w:szCs w:val="18"/>
          <w:color w:val="auto"/>
        </w:rPr>
        <w:t>any Credit Party’s obligations under any Financing Documents, Agent and Lenders may have no adequate remedy in money damages and, accordingly, shall be entitled to an injunction (including, without limitation, a temporary restraining order, preliminary injunction, writ of attachment, or order compelling an audit) against such breach or threatened breach, including, without limitation, maintaining any cash management and collection procedure described herein. However, no specification in this Agreement of a specific legal or equitable remedy shall be construed as a waiver or prohibition against any other legal or equitable remedies in the event of a breach or threatened breach of any provision of this Agreement. Each Credit Party waives, to the fullest extent permitted by law, the requirement of the posting of any bond in connection with such injunctive relief. By joining in the Financing Documents as a Credit Party, each Credit Party specifically joins in this Section as if this Section were a part of each Financing Document executed by such Credit Party.</w:t>
      </w:r>
    </w:p>
    <w:p>
      <w:pPr>
        <w:spacing w:after="0" w:line="163"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9"/>
          <w:szCs w:val="19"/>
          <w:b w:val="1"/>
          <w:bCs w:val="1"/>
          <w:color w:val="auto"/>
        </w:rPr>
        <w:t xml:space="preserve">Section 10.10 </w:t>
      </w:r>
      <w:r>
        <w:rPr>
          <w:rFonts w:ascii="Arial" w:cs="Arial" w:eastAsia="Arial" w:hAnsi="Arial"/>
          <w:sz w:val="19"/>
          <w:szCs w:val="19"/>
          <w:u w:val="single" w:color="auto"/>
          <w:color w:val="auto"/>
        </w:rPr>
        <w:t>Marshalling; Payments Set Aside</w:t>
      </w:r>
      <w:r>
        <w:rPr>
          <w:rFonts w:ascii="Arial" w:cs="Arial" w:eastAsia="Arial" w:hAnsi="Arial"/>
          <w:sz w:val="19"/>
          <w:szCs w:val="19"/>
          <w:color w:val="auto"/>
        </w:rPr>
        <w:t>. Neither Agent nor any Lender shall be under any obligation to marshal</w:t>
      </w:r>
      <w:r>
        <w:rPr>
          <w:rFonts w:ascii="Arial" w:cs="Arial" w:eastAsia="Arial" w:hAnsi="Arial"/>
          <w:sz w:val="19"/>
          <w:szCs w:val="19"/>
          <w:b w:val="1"/>
          <w:bCs w:val="1"/>
          <w:color w:val="auto"/>
        </w:rPr>
        <w:t xml:space="preserve"> </w:t>
      </w:r>
      <w:r>
        <w:rPr>
          <w:rFonts w:ascii="Arial" w:cs="Arial" w:eastAsia="Arial" w:hAnsi="Arial"/>
          <w:sz w:val="19"/>
          <w:szCs w:val="19"/>
          <w:color w:val="auto"/>
        </w:rPr>
        <w:t>any assets in payment of any or all of the Obligations. To the extent that Borrower makes any payment or Agent enforces its Liens or Agent or any Lender exercises its right of set-off, and such payment or the proceeds of such enforcement or set-off is subsequently invalidated, declared to be fraudulent or preferential, set aside, or required to be repaid by anyone, then to the extent of such recovery, the Obligations or part thereof originally intended to be satisfied, and all Liens, rights and remedies therefor, shall be revived and continued in full force and effect as if such payment had not been made or such enforcement or set-off had not occurred.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11 - AGENT</w:t>
      </w:r>
    </w:p>
    <w:p>
      <w:pPr>
        <w:spacing w:after="0" w:line="216"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0"/>
          <w:szCs w:val="20"/>
          <w:b w:val="1"/>
          <w:bCs w:val="1"/>
          <w:color w:val="auto"/>
        </w:rPr>
        <w:t>Section 11.1</w:t>
      </w:r>
      <w:r>
        <w:rPr>
          <w:sz w:val="20"/>
          <w:szCs w:val="20"/>
          <w:color w:val="auto"/>
        </w:rPr>
        <w:tab/>
      </w:r>
      <w:r>
        <w:rPr>
          <w:rFonts w:ascii="Arial" w:cs="Arial" w:eastAsia="Arial" w:hAnsi="Arial"/>
          <w:sz w:val="18"/>
          <w:szCs w:val="18"/>
          <w:u w:val="single" w:color="auto"/>
          <w:color w:val="auto"/>
        </w:rPr>
        <w:t>Appointment and Authorization</w:t>
      </w:r>
      <w:r>
        <w:rPr>
          <w:rFonts w:ascii="Arial" w:cs="Arial" w:eastAsia="Arial" w:hAnsi="Arial"/>
          <w:sz w:val="18"/>
          <w:szCs w:val="18"/>
          <w:color w:val="auto"/>
        </w:rPr>
        <w:t>. Each Lender hereby irrevocably appoints and authorizes Agent to enter into</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each of the Financing Documents to which it is a party (other than this Agreement) on its behalf and to take such actions as Agent on its behalf and to exercise such powers under the Financing Documents as are delegated to Agent by the terms thereof, together with all such powers as are reasonably incidental thereto. Subject to the terms of Section 11.16 and to the terms of the other Financing Documents, Agent is authorized and empowered to amend, modify, or waive any provisions of this Agreement or the other Financing Documents on behalf of Lenders. The provisions of this Article 11 are solely for the benefit of Agent and Lenders and neither any Borrower nor any other Credit Party shall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32" w:name="page133"/>
    <w:bookmarkEnd w:id="132"/>
    <w:p>
      <w:pPr>
        <w:jc w:val="both"/>
        <w:spacing w:after="0" w:line="282" w:lineRule="auto"/>
        <w:rPr>
          <w:sz w:val="20"/>
          <w:szCs w:val="20"/>
          <w:color w:val="auto"/>
        </w:rPr>
      </w:pPr>
      <w:r>
        <w:rPr>
          <w:rFonts w:ascii="Arial" w:cs="Arial" w:eastAsia="Arial" w:hAnsi="Arial"/>
          <w:sz w:val="18"/>
          <w:szCs w:val="18"/>
          <w:color w:val="auto"/>
        </w:rPr>
        <w:t>have any rights as a third party beneficiary of any of the provisions hereof. In performing its functions and duties under this Agreement, Agent shall act solely as agent of Lenders and does not assume and shall not be deemed to have assumed any obligation toward or relationship of agency or trust with or for any Borrower or any other Credit Party. Agent may perform any of its duties hereunder, or under the Financing Documents, by or through its agents, servicers, trustees, investment managers or employees.</w:t>
      </w:r>
    </w:p>
    <w:p>
      <w:pPr>
        <w:spacing w:after="0" w:line="155"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b w:val="1"/>
          <w:bCs w:val="1"/>
          <w:color w:val="auto"/>
        </w:rPr>
        <w:t xml:space="preserve">Section 11.2 </w:t>
      </w:r>
      <w:r>
        <w:rPr>
          <w:rFonts w:ascii="Arial" w:cs="Arial" w:eastAsia="Arial" w:hAnsi="Arial"/>
          <w:sz w:val="20"/>
          <w:szCs w:val="20"/>
          <w:u w:val="single" w:color="auto"/>
          <w:color w:val="auto"/>
        </w:rPr>
        <w:t>Agent and Affiliates</w:t>
      </w:r>
      <w:r>
        <w:rPr>
          <w:rFonts w:ascii="Arial" w:cs="Arial" w:eastAsia="Arial" w:hAnsi="Arial"/>
          <w:sz w:val="20"/>
          <w:szCs w:val="20"/>
          <w:color w:val="auto"/>
        </w:rPr>
        <w:t>. Agent shall have the same rights and powers under the Financing Documents as any</w:t>
      </w:r>
      <w:r>
        <w:rPr>
          <w:rFonts w:ascii="Arial" w:cs="Arial" w:eastAsia="Arial" w:hAnsi="Arial"/>
          <w:sz w:val="20"/>
          <w:szCs w:val="20"/>
          <w:b w:val="1"/>
          <w:bCs w:val="1"/>
          <w:color w:val="auto"/>
        </w:rPr>
        <w:t xml:space="preserve"> </w:t>
      </w:r>
      <w:r>
        <w:rPr>
          <w:rFonts w:ascii="Arial" w:cs="Arial" w:eastAsia="Arial" w:hAnsi="Arial"/>
          <w:sz w:val="20"/>
          <w:szCs w:val="20"/>
          <w:color w:val="auto"/>
        </w:rPr>
        <w:t>other Lender and may exercise or refrain from exercising the same as though it were not Agent, and Agent and its Affiliates may lend money to, invest in and generally engage in any kind of business with each Credit Party or Affiliate of any Credit Party as if it were not Agent hereunder.</w:t>
      </w:r>
    </w:p>
    <w:p>
      <w:pPr>
        <w:spacing w:after="0" w:line="183"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b w:val="1"/>
          <w:bCs w:val="1"/>
          <w:color w:val="auto"/>
        </w:rPr>
        <w:t xml:space="preserve">Section 11.3 </w:t>
      </w:r>
      <w:r>
        <w:rPr>
          <w:rFonts w:ascii="Arial" w:cs="Arial" w:eastAsia="Arial" w:hAnsi="Arial"/>
          <w:sz w:val="20"/>
          <w:szCs w:val="20"/>
          <w:u w:val="single" w:color="auto"/>
          <w:color w:val="auto"/>
        </w:rPr>
        <w:t>Action by Agent</w:t>
      </w:r>
      <w:r>
        <w:rPr>
          <w:rFonts w:ascii="Arial" w:cs="Arial" w:eastAsia="Arial" w:hAnsi="Arial"/>
          <w:sz w:val="20"/>
          <w:szCs w:val="20"/>
          <w:color w:val="auto"/>
        </w:rPr>
        <w:t>. The duties of Agent shall be mechanical and administrative in nature. Agent shall not have</w:t>
      </w:r>
      <w:r>
        <w:rPr>
          <w:rFonts w:ascii="Arial" w:cs="Arial" w:eastAsia="Arial" w:hAnsi="Arial"/>
          <w:sz w:val="20"/>
          <w:szCs w:val="20"/>
          <w:b w:val="1"/>
          <w:bCs w:val="1"/>
          <w:color w:val="auto"/>
        </w:rPr>
        <w:t xml:space="preserve"> </w:t>
      </w:r>
      <w:r>
        <w:rPr>
          <w:rFonts w:ascii="Arial" w:cs="Arial" w:eastAsia="Arial" w:hAnsi="Arial"/>
          <w:sz w:val="20"/>
          <w:szCs w:val="20"/>
          <w:color w:val="auto"/>
        </w:rPr>
        <w:t>by reason of this Agreement a fiduciary relationship in respect of any Lender. Nothing in this Agreement or any of the Financing Documents is intended to or shall be construed to impose upon Agent any obligations in respect of this Agreement or any of the Financing Documents except as expressly set forth herein or therein.</w:t>
      </w:r>
    </w:p>
    <w:p>
      <w:pPr>
        <w:spacing w:after="0" w:line="183"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 xml:space="preserve">Section 11.4 </w:t>
      </w:r>
      <w:r>
        <w:rPr>
          <w:rFonts w:ascii="Arial" w:cs="Arial" w:eastAsia="Arial" w:hAnsi="Arial"/>
          <w:sz w:val="20"/>
          <w:szCs w:val="20"/>
          <w:u w:val="single" w:color="auto"/>
          <w:color w:val="auto"/>
        </w:rPr>
        <w:t>Consultation with Experts</w:t>
      </w:r>
      <w:r>
        <w:rPr>
          <w:rFonts w:ascii="Arial" w:cs="Arial" w:eastAsia="Arial" w:hAnsi="Arial"/>
          <w:sz w:val="20"/>
          <w:szCs w:val="20"/>
          <w:color w:val="auto"/>
        </w:rPr>
        <w:t>. Agent may consult with legal counsel, independent public accountants and other</w:t>
      </w:r>
      <w:r>
        <w:rPr>
          <w:rFonts w:ascii="Arial" w:cs="Arial" w:eastAsia="Arial" w:hAnsi="Arial"/>
          <w:sz w:val="20"/>
          <w:szCs w:val="20"/>
          <w:b w:val="1"/>
          <w:bCs w:val="1"/>
          <w:color w:val="auto"/>
        </w:rPr>
        <w:t xml:space="preserve"> </w:t>
      </w:r>
      <w:r>
        <w:rPr>
          <w:rFonts w:ascii="Arial" w:cs="Arial" w:eastAsia="Arial" w:hAnsi="Arial"/>
          <w:sz w:val="20"/>
          <w:szCs w:val="20"/>
          <w:color w:val="auto"/>
        </w:rPr>
        <w:t>experts selected by it and shall not be liable for any action taken or omitted to be taken by it in good faith in accordance with the advice of such counsel, accountants or experts.</w:t>
      </w:r>
    </w:p>
    <w:p>
      <w:pPr>
        <w:spacing w:after="0" w:line="177"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8"/>
          <w:szCs w:val="18"/>
          <w:b w:val="1"/>
          <w:bCs w:val="1"/>
          <w:color w:val="auto"/>
        </w:rPr>
        <w:t xml:space="preserve">Section 11.5 </w:t>
      </w:r>
      <w:r>
        <w:rPr>
          <w:rFonts w:ascii="Arial" w:cs="Arial" w:eastAsia="Arial" w:hAnsi="Arial"/>
          <w:sz w:val="18"/>
          <w:szCs w:val="18"/>
          <w:u w:val="single" w:color="auto"/>
          <w:color w:val="auto"/>
        </w:rPr>
        <w:t>Liability of Agent</w:t>
      </w:r>
      <w:r>
        <w:rPr>
          <w:rFonts w:ascii="Arial" w:cs="Arial" w:eastAsia="Arial" w:hAnsi="Arial"/>
          <w:sz w:val="18"/>
          <w:szCs w:val="18"/>
          <w:color w:val="auto"/>
        </w:rPr>
        <w:t>. Neither Agent nor any of its directors, officers, agents, trustees, investment managers,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servicers or employees shall be liable to any Lender for any action taken or not taken by it in connection with the Financing Documents, except that Agent shall be liable with respect to its specific duties set forth hereunder but only to the extent of its own gross negligence or willful misconduct in the discharge thereof as determined by a final non-appealable judgment of a court of competent jurisdiction. Neither Agent nor any of its directors, officers, agents, trustees, investment managers, servicers or employees shall be responsible for or have any duty to ascertain, inquire into or verify (a) any statement, warranty or representation made in connection with any Financing Document or any borrowing hereunder; (b) the performance or observance of any of the covenants or agreements specified in any Financing Document;</w:t>
      </w:r>
    </w:p>
    <w:p>
      <w:pPr>
        <w:spacing w:after="0" w:line="5" w:lineRule="exact"/>
        <w:rPr>
          <w:sz w:val="20"/>
          <w:szCs w:val="20"/>
          <w:color w:val="auto"/>
        </w:rPr>
      </w:pPr>
    </w:p>
    <w:p>
      <w:pPr>
        <w:jc w:val="both"/>
        <w:ind w:firstLine="8"/>
        <w:spacing w:after="0" w:line="270" w:lineRule="auto"/>
        <w:tabs>
          <w:tab w:leader="none" w:pos="28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satisfaction of any condition specified in any Financing Document; (d) the validity, effectiveness, sufficiency or genuineness of any Financing Document, any Lien purported to be created or perfected thereby or any other instrument or writing furnished in connection therewith; (e) the existence or non-existence of any Default or Event of Default; or (f) the financial condition of any Credit Party. Agent shall not incur any liability by acting in reliance upon any notice, consent, certificate, statement, or other writing (which may be a bank wire, facsimile or electronic transmission or similar writing) believed by it to be genuine or to be signed by the proper party or parties. Agent shall not be liable for any apportionment or distribution of payments made by it in good faith and if any such apportionment or distribution is subsequently determined to have been made in error the sole recourse of any Lender to whom payment was due but not made, shall be to recover from other Lenders any payment in excess of the amount to which they are determined to be entitled (and such other Lenders hereby agree to return to such Lender any such erroneous payments received by them).</w:t>
      </w:r>
    </w:p>
    <w:p>
      <w:pPr>
        <w:spacing w:after="0" w:line="164"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0"/>
          <w:szCs w:val="20"/>
          <w:b w:val="1"/>
          <w:bCs w:val="1"/>
          <w:color w:val="auto"/>
        </w:rPr>
        <w:t xml:space="preserve">Section 11.6 </w:t>
      </w:r>
      <w:r>
        <w:rPr>
          <w:rFonts w:ascii="Arial" w:cs="Arial" w:eastAsia="Arial" w:hAnsi="Arial"/>
          <w:sz w:val="20"/>
          <w:szCs w:val="20"/>
          <w:u w:val="single" w:color="auto"/>
          <w:color w:val="auto"/>
        </w:rPr>
        <w:t>Indemnification</w:t>
      </w:r>
      <w:r>
        <w:rPr>
          <w:rFonts w:ascii="Arial" w:cs="Arial" w:eastAsia="Arial" w:hAnsi="Arial"/>
          <w:sz w:val="20"/>
          <w:szCs w:val="20"/>
          <w:color w:val="auto"/>
        </w:rPr>
        <w:t>. Each Lender shall, in accordance with its Pro Rata Share, indemnify Agent (to the extent</w:t>
      </w:r>
      <w:r>
        <w:rPr>
          <w:rFonts w:ascii="Arial" w:cs="Arial" w:eastAsia="Arial" w:hAnsi="Arial"/>
          <w:sz w:val="20"/>
          <w:szCs w:val="20"/>
          <w:b w:val="1"/>
          <w:bCs w:val="1"/>
          <w:color w:val="auto"/>
        </w:rPr>
        <w:t xml:space="preserve"> </w:t>
      </w:r>
      <w:r>
        <w:rPr>
          <w:rFonts w:ascii="Arial" w:cs="Arial" w:eastAsia="Arial" w:hAnsi="Arial"/>
          <w:sz w:val="20"/>
          <w:szCs w:val="20"/>
          <w:color w:val="auto"/>
        </w:rPr>
        <w:t>not reimbursed by Borrowers) upon demand against any cost, expense (including counsel fees and disbursements), claim, demand, action, loss or liability (except such as result from Agent’s gross negligence or willful misconduct as determined by a final non-appealable judgment of a court of competent jurisdiction) that Agent may suffer or incur in connection with the Financing Documents or any action taken or omitted by Agent hereunder or thereunder. If any indemnity furnished to Agent for any purpose shall, in the opinion of Agent, be insufficient or become impaired, Agent may call</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33" w:name="page134"/>
    <w:bookmarkEnd w:id="133"/>
    <w:p>
      <w:pPr>
        <w:jc w:val="both"/>
        <w:spacing w:after="0" w:line="260" w:lineRule="auto"/>
        <w:rPr>
          <w:sz w:val="20"/>
          <w:szCs w:val="20"/>
          <w:color w:val="auto"/>
        </w:rPr>
      </w:pPr>
      <w:r>
        <w:rPr>
          <w:rFonts w:ascii="Arial" w:cs="Arial" w:eastAsia="Arial" w:hAnsi="Arial"/>
          <w:sz w:val="20"/>
          <w:szCs w:val="20"/>
          <w:color w:val="auto"/>
        </w:rPr>
        <w:t>for additional indemnity and cease, or not commence, to do the acts indemnified against even if so directed by Required Lenders until such additional indemnity is furnished.</w:t>
      </w:r>
    </w:p>
    <w:p>
      <w:pPr>
        <w:spacing w:after="0" w:line="171"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b w:val="1"/>
          <w:bCs w:val="1"/>
          <w:color w:val="auto"/>
        </w:rPr>
        <w:t xml:space="preserve">Section 11.7 </w:t>
      </w:r>
      <w:r>
        <w:rPr>
          <w:rFonts w:ascii="Arial" w:cs="Arial" w:eastAsia="Arial" w:hAnsi="Arial"/>
          <w:sz w:val="18"/>
          <w:szCs w:val="18"/>
          <w:u w:val="single" w:color="auto"/>
          <w:color w:val="auto"/>
        </w:rPr>
        <w:t>Right to Request and Act on Instructions</w:t>
      </w:r>
      <w:r>
        <w:rPr>
          <w:rFonts w:ascii="Arial" w:cs="Arial" w:eastAsia="Arial" w:hAnsi="Arial"/>
          <w:sz w:val="18"/>
          <w:szCs w:val="18"/>
          <w:color w:val="auto"/>
        </w:rPr>
        <w:t>. Agent may at any time request instructions from Lenders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any actions or approvals which by the terms of this Agreement or of any of the Financing Documents Agent is permitted or desires to take or to grant, and if such instructions are promptly requested, Agent shall be absolutely entitled to refrain from taking any action or to withhold any approval and shall not be under any liability whatsoever to any Person for refraining from any action or withholding any approval under any of the Financing Documents until it shall have received such instructions from Required Lenders or all or such other portion of the Lenders as shall be prescribed by this Agreement. Without limiting the foregoing, no Lender shall have any right of action whatsoever against Agent as a result of Agent acting or refraining from acting under this Agreement or any of the other Financing Documents in accordance with the instructions of Required Lenders (or all or such other portion of the Lenders as shall be prescribed by this Agreement) and, notwithstanding the instructions of Required Lenders (or such other applicable portion of the Lenders), Agent shall have no obligation to take any action if it believes, in good faith, that such action would violate applicable Law or exposes Agent to any liability for which it has not received satisfactory indemnification in accordance with the provisions of Section 11.6.</w:t>
      </w:r>
    </w:p>
    <w:p>
      <w:pPr>
        <w:spacing w:after="0" w:line="170"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b w:val="1"/>
          <w:bCs w:val="1"/>
          <w:color w:val="auto"/>
        </w:rPr>
        <w:t xml:space="preserve">Section 11.8 </w:t>
      </w:r>
      <w:r>
        <w:rPr>
          <w:rFonts w:ascii="Arial" w:cs="Arial" w:eastAsia="Arial" w:hAnsi="Arial"/>
          <w:sz w:val="20"/>
          <w:szCs w:val="20"/>
          <w:u w:val="single" w:color="auto"/>
          <w:color w:val="auto"/>
        </w:rPr>
        <w:t>Credit Decision</w:t>
      </w:r>
      <w:r>
        <w:rPr>
          <w:rFonts w:ascii="Arial" w:cs="Arial" w:eastAsia="Arial" w:hAnsi="Arial"/>
          <w:sz w:val="20"/>
          <w:szCs w:val="20"/>
          <w:color w:val="auto"/>
        </w:rPr>
        <w:t>. Each Lender acknowledges that it has, independently and without reliance upon Agent or</w:t>
      </w:r>
      <w:r>
        <w:rPr>
          <w:rFonts w:ascii="Arial" w:cs="Arial" w:eastAsia="Arial" w:hAnsi="Arial"/>
          <w:sz w:val="20"/>
          <w:szCs w:val="20"/>
          <w:b w:val="1"/>
          <w:bCs w:val="1"/>
          <w:color w:val="auto"/>
        </w:rPr>
        <w:t xml:space="preserve"> </w:t>
      </w:r>
      <w:r>
        <w:rPr>
          <w:rFonts w:ascii="Arial" w:cs="Arial" w:eastAsia="Arial" w:hAnsi="Arial"/>
          <w:sz w:val="20"/>
          <w:szCs w:val="20"/>
          <w:color w:val="auto"/>
        </w:rPr>
        <w:t>any other Lender, and based on such documents and information as it has deemed appropriate, made its own credit analysis and decision to enter into this Agreement. Each Lender also acknowledges that it will, independently and without reliance upon Agent or any other Lender, and based on such documents and information as it shall deem appropriate at the time, continue to make its own credit decisions in taking or not taking any action under the Financing Documents.</w:t>
      </w:r>
    </w:p>
    <w:p>
      <w:pPr>
        <w:spacing w:after="0" w:line="185"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b w:val="1"/>
          <w:bCs w:val="1"/>
          <w:color w:val="auto"/>
        </w:rPr>
        <w:t xml:space="preserve">Section 11.9 </w:t>
      </w:r>
      <w:r>
        <w:rPr>
          <w:rFonts w:ascii="Arial" w:cs="Arial" w:eastAsia="Arial" w:hAnsi="Arial"/>
          <w:sz w:val="18"/>
          <w:szCs w:val="18"/>
          <w:u w:val="single" w:color="auto"/>
          <w:color w:val="auto"/>
        </w:rPr>
        <w:t>Collateral Matters</w:t>
      </w:r>
      <w:r>
        <w:rPr>
          <w:rFonts w:ascii="Arial" w:cs="Arial" w:eastAsia="Arial" w:hAnsi="Arial"/>
          <w:sz w:val="18"/>
          <w:szCs w:val="18"/>
          <w:color w:val="auto"/>
        </w:rPr>
        <w:t>. Lenders irrevocably authorize Agent, at its option and in its discretion, to (a) release any</w:t>
      </w:r>
      <w:r>
        <w:rPr>
          <w:rFonts w:ascii="Arial" w:cs="Arial" w:eastAsia="Arial" w:hAnsi="Arial"/>
          <w:sz w:val="18"/>
          <w:szCs w:val="18"/>
          <w:b w:val="1"/>
          <w:bCs w:val="1"/>
          <w:color w:val="auto"/>
        </w:rPr>
        <w:t xml:space="preserve"> </w:t>
      </w:r>
      <w:r>
        <w:rPr>
          <w:rFonts w:ascii="Arial" w:cs="Arial" w:eastAsia="Arial" w:hAnsi="Arial"/>
          <w:sz w:val="18"/>
          <w:szCs w:val="18"/>
          <w:color w:val="auto"/>
        </w:rPr>
        <w:t>Lien granted to or held by Agent under any Security Document (i) upon termination of the Term Loan Commitment and payment in full of all Obligations; or (ii) constituting property sold or disposed of as part of or in connection with any disposition permitted under any Financing Document (it being understood and agreed that Agent may conclusively rely without further inquiry on a certificate of a Responsible Officer as to the sale or other disposition of property being made in full compliance with the provisions of the Financing Documents); and</w:t>
      </w:r>
    </w:p>
    <w:p>
      <w:pPr>
        <w:spacing w:after="0" w:line="1" w:lineRule="exact"/>
        <w:rPr>
          <w:sz w:val="20"/>
          <w:szCs w:val="20"/>
          <w:color w:val="auto"/>
        </w:rPr>
      </w:pPr>
    </w:p>
    <w:p>
      <w:pPr>
        <w:jc w:val="both"/>
        <w:ind w:firstLine="8"/>
        <w:spacing w:after="0" w:line="260" w:lineRule="auto"/>
        <w:tabs>
          <w:tab w:leader="none" w:pos="287" w:val="left"/>
        </w:tabs>
        <w:numPr>
          <w:ilvl w:val="0"/>
          <w:numId w:val="126"/>
        </w:numPr>
        <w:rPr>
          <w:rFonts w:ascii="Arial" w:cs="Arial" w:eastAsia="Arial" w:hAnsi="Arial"/>
          <w:sz w:val="19"/>
          <w:szCs w:val="19"/>
          <w:color w:val="auto"/>
        </w:rPr>
      </w:pPr>
      <w:r>
        <w:rPr>
          <w:rFonts w:ascii="Arial" w:cs="Arial" w:eastAsia="Arial" w:hAnsi="Arial"/>
          <w:sz w:val="19"/>
          <w:szCs w:val="19"/>
          <w:color w:val="auto"/>
        </w:rPr>
        <w:t>subordinate any Lien granted to or held by Agent under any Security Document to a Permitted Lien that is allowed to have priority over the Liens granted to or held by Agent pursuant to the definition of “Permitted Liens”. Upon request by Agent at any time, Lenders will confirm Agent’s authority to release and/or subordinate particular types or items of Collateral pursuant to this Section 11.9.</w:t>
      </w:r>
    </w:p>
    <w:p>
      <w:pPr>
        <w:spacing w:after="0" w:line="172"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8"/>
          <w:szCs w:val="18"/>
          <w:b w:val="1"/>
          <w:bCs w:val="1"/>
          <w:color w:val="auto"/>
        </w:rPr>
        <w:t xml:space="preserve">Section 11.10 </w:t>
      </w:r>
      <w:r>
        <w:rPr>
          <w:rFonts w:ascii="Arial" w:cs="Arial" w:eastAsia="Arial" w:hAnsi="Arial"/>
          <w:sz w:val="18"/>
          <w:szCs w:val="18"/>
          <w:u w:val="single" w:color="auto"/>
          <w:color w:val="auto"/>
        </w:rPr>
        <w:t>Agency for Perfection</w:t>
      </w:r>
      <w:r>
        <w:rPr>
          <w:rFonts w:ascii="Arial" w:cs="Arial" w:eastAsia="Arial" w:hAnsi="Arial"/>
          <w:sz w:val="18"/>
          <w:szCs w:val="18"/>
          <w:color w:val="auto"/>
        </w:rPr>
        <w:t>. Agent and each Lender hereby appoint each other Lender as agent for the purpose of</w:t>
      </w:r>
      <w:r>
        <w:rPr>
          <w:rFonts w:ascii="Arial" w:cs="Arial" w:eastAsia="Arial" w:hAnsi="Arial"/>
          <w:sz w:val="18"/>
          <w:szCs w:val="18"/>
          <w:b w:val="1"/>
          <w:bCs w:val="1"/>
          <w:color w:val="auto"/>
        </w:rPr>
        <w:t xml:space="preserve"> </w:t>
      </w:r>
      <w:r>
        <w:rPr>
          <w:rFonts w:ascii="Arial" w:cs="Arial" w:eastAsia="Arial" w:hAnsi="Arial"/>
          <w:sz w:val="18"/>
          <w:szCs w:val="18"/>
          <w:color w:val="auto"/>
        </w:rPr>
        <w:t>perfecting Agent’s security interest in assets which, in accordance with the Uniform Commercial Code in any applicable jurisdiction, can be perfected by possession or control. Should any Lender (other than Agent) obtain possession or control of any such assets, such Lender shall notify Agent thereof, and, promptly upon Agent’s request therefor, shall deliver such assets to Agent or in accordance with Agent’s instructions or transfer control to Agent in accordance with Agent’s instructions. Each Lender agrees that it will not have any right individually to enforce or seek to enforce any Security Document or to realize upon any Collateral for the Loan unless instructed to do so by Agent (or consented to by Agent), it being understood and agreed that such rights and remedies may be exercised only by Agent.</w:t>
      </w:r>
    </w:p>
    <w:p>
      <w:pPr>
        <w:spacing w:after="0" w:line="162"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b w:val="1"/>
          <w:bCs w:val="1"/>
          <w:color w:val="auto"/>
        </w:rPr>
        <w:t xml:space="preserve">Section 11.11 </w:t>
      </w:r>
      <w:r>
        <w:rPr>
          <w:rFonts w:ascii="Arial" w:cs="Arial" w:eastAsia="Arial" w:hAnsi="Arial"/>
          <w:sz w:val="20"/>
          <w:szCs w:val="20"/>
          <w:u w:val="single" w:color="auto"/>
          <w:color w:val="auto"/>
        </w:rPr>
        <w:t>Notice of Default</w:t>
      </w:r>
      <w:r>
        <w:rPr>
          <w:rFonts w:ascii="Arial" w:cs="Arial" w:eastAsia="Arial" w:hAnsi="Arial"/>
          <w:sz w:val="20"/>
          <w:szCs w:val="20"/>
          <w:color w:val="auto"/>
        </w:rPr>
        <w:t>. Agent shall not be deemed to have knowledge or notice of the occurrence of any Default</w:t>
      </w:r>
      <w:r>
        <w:rPr>
          <w:rFonts w:ascii="Arial" w:cs="Arial" w:eastAsia="Arial" w:hAnsi="Arial"/>
          <w:sz w:val="20"/>
          <w:szCs w:val="20"/>
          <w:b w:val="1"/>
          <w:bCs w:val="1"/>
          <w:color w:val="auto"/>
        </w:rPr>
        <w:t xml:space="preserve"> </w:t>
      </w:r>
      <w:r>
        <w:rPr>
          <w:rFonts w:ascii="Arial" w:cs="Arial" w:eastAsia="Arial" w:hAnsi="Arial"/>
          <w:sz w:val="20"/>
          <w:szCs w:val="20"/>
          <w:color w:val="auto"/>
        </w:rPr>
        <w:t>or Event of Default except with respect to defaults in the payment of principal, interest and fees required to be paid to Agent for the account of Lenders, unless Agent shall have received written notice from a Lender or a Borrower referring to this Agreement, describing such Default or Event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34" w:name="page135"/>
    <w:bookmarkEnd w:id="134"/>
    <w:p>
      <w:pPr>
        <w:jc w:val="both"/>
        <w:spacing w:after="0" w:line="244" w:lineRule="auto"/>
        <w:rPr>
          <w:sz w:val="20"/>
          <w:szCs w:val="20"/>
          <w:color w:val="auto"/>
        </w:rPr>
      </w:pPr>
      <w:r>
        <w:rPr>
          <w:rFonts w:ascii="Arial" w:cs="Arial" w:eastAsia="Arial" w:hAnsi="Arial"/>
          <w:sz w:val="20"/>
          <w:szCs w:val="20"/>
          <w:color w:val="auto"/>
        </w:rPr>
        <w:t>of Default and stating that such notice is a “notice of default”. Agent will notify each Lender of its receipt of any such notice. Agent shall take such action with respect to such Default or Event of Default as may be requested by Required Lenders (or all or such other portion of the Lenders as shall be prescribed by this Agreement) in accordance with the terms hereof. Unless and until Agent has received any such request, Agent may (but shall not be obligated to) take such action, or refrain from taking such action, with respect to such Default or Event of Default as it shall deem advisable or in the best interests of Lenders.</w:t>
      </w:r>
    </w:p>
    <w:p>
      <w:pPr>
        <w:spacing w:after="0" w:line="188"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0"/>
          <w:szCs w:val="20"/>
          <w:b w:val="1"/>
          <w:bCs w:val="1"/>
          <w:color w:val="auto"/>
        </w:rPr>
        <w:t>Section 11.12</w:t>
      </w:r>
      <w:r>
        <w:rPr>
          <w:sz w:val="20"/>
          <w:szCs w:val="20"/>
          <w:color w:val="auto"/>
        </w:rPr>
        <w:tab/>
      </w:r>
      <w:r>
        <w:rPr>
          <w:rFonts w:ascii="Arial" w:cs="Arial" w:eastAsia="Arial" w:hAnsi="Arial"/>
          <w:sz w:val="18"/>
          <w:szCs w:val="18"/>
          <w:u w:val="single" w:color="auto"/>
          <w:color w:val="auto"/>
        </w:rPr>
        <w:t>Assignment by Agent; Resignation of Agent; Successor Agent</w:t>
      </w:r>
      <w:r>
        <w:rPr>
          <w:rFonts w:ascii="Arial" w:cs="Arial" w:eastAsia="Arial" w:hAnsi="Arial"/>
          <w:sz w:val="18"/>
          <w:szCs w:val="18"/>
          <w:color w:val="auto"/>
        </w:rPr>
        <w:t>.</w:t>
      </w:r>
    </w:p>
    <w:p>
      <w:pPr>
        <w:spacing w:after="0" w:line="222" w:lineRule="exact"/>
        <w:rPr>
          <w:sz w:val="20"/>
          <w:szCs w:val="20"/>
          <w:color w:val="auto"/>
        </w:rPr>
      </w:pPr>
    </w:p>
    <w:p>
      <w:pPr>
        <w:jc w:val="both"/>
        <w:ind w:firstLine="1735"/>
        <w:spacing w:after="0" w:line="276" w:lineRule="auto"/>
        <w:tabs>
          <w:tab w:leader="none" w:pos="259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Agent may at any time assign its rights, powers, privileges and duties hereunder to (i) another Lender or an Affiliate of Agent or any Lender or any Approved Fund, or (ii) any Person to whom Agent, in its capacity as a Lender, has assigned (or will assign, in conjunction with such assignment of agency rights hereunder) 50% or more of its Loan in accordance with Section 11.17(a), in each case without the consent of Lenders or Borrowers. Following any such assignment, Agent shall give notice to Lenders and Borrowers. Failure to give such notice shall affect such assignment in any way or cause the assignment to be ineffective. An assignment by Agent pursuant to this subsection (a) shall not be deemed a resignation by Agent for purposes of subsection (b) below.</w:t>
      </w:r>
    </w:p>
    <w:p>
      <w:pPr>
        <w:spacing w:after="0" w:line="164" w:lineRule="exact"/>
        <w:rPr>
          <w:rFonts w:ascii="Arial" w:cs="Arial" w:eastAsia="Arial" w:hAnsi="Arial"/>
          <w:sz w:val="18"/>
          <w:szCs w:val="18"/>
          <w:color w:val="auto"/>
        </w:rPr>
      </w:pPr>
    </w:p>
    <w:p>
      <w:pPr>
        <w:jc w:val="both"/>
        <w:ind w:firstLine="1735"/>
        <w:spacing w:after="0" w:line="255" w:lineRule="auto"/>
        <w:tabs>
          <w:tab w:leader="none" w:pos="2606" w:val="left"/>
        </w:tabs>
        <w:numPr>
          <w:ilvl w:val="0"/>
          <w:numId w:val="127"/>
        </w:numPr>
        <w:rPr>
          <w:rFonts w:ascii="Arial" w:cs="Arial" w:eastAsia="Arial" w:hAnsi="Arial"/>
          <w:sz w:val="19"/>
          <w:szCs w:val="19"/>
          <w:color w:val="auto"/>
        </w:rPr>
      </w:pPr>
      <w:r>
        <w:rPr>
          <w:rFonts w:ascii="Arial" w:cs="Arial" w:eastAsia="Arial" w:hAnsi="Arial"/>
          <w:sz w:val="19"/>
          <w:szCs w:val="19"/>
          <w:color w:val="auto"/>
        </w:rPr>
        <w:t xml:space="preserve">Without limiting the rights of Agent to designate an assignee pursuant to subsection (a) above, Agent may at any time give notice of its resignation to the Lenders and Borrowers. Upon receipt of any such notice of resignation, Required Lenders shall have the right to appoint a successor Agent. If no such successor shall have been so appointed by Required Lenders and shall have accepted such appointment within ten (10) Business Days after the retiring Agent gives notice of its resignation, then the retiring Agent may on behalf of Lenders, appoint a successor Agent;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Agent shall notify Borrowers and Lenders that no Person has accepted such appointment, then such resignation shall nonetheless become effective in accordance with such notice from Agent that no Person has accepted such appointment and, from and following delivery of such notice, (i) the retiring Agent shall be discharged from its duties and obligations hereunder and under the other Financing Documents, and (ii) all payments, communications and determinations provided to be made by, to or through Agent shall instead be made by or to each Lender directly, until such time as Required Lenders appoint a successor Agent as provided for above in this paragraph.</w:t>
      </w:r>
    </w:p>
    <w:p>
      <w:pPr>
        <w:spacing w:after="0" w:line="189" w:lineRule="exact"/>
        <w:rPr>
          <w:rFonts w:ascii="Arial" w:cs="Arial" w:eastAsia="Arial" w:hAnsi="Arial"/>
          <w:sz w:val="19"/>
          <w:szCs w:val="19"/>
          <w:color w:val="auto"/>
        </w:rPr>
      </w:pPr>
    </w:p>
    <w:p>
      <w:pPr>
        <w:jc w:val="both"/>
        <w:ind w:firstLine="1735"/>
        <w:spacing w:after="0" w:line="273" w:lineRule="auto"/>
        <w:tabs>
          <w:tab w:leader="none" w:pos="259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Upon (i) an assignment permitted by subsection (a) above, or (ii) the acceptance of a successor’s appointment as Agent pursuant to subsection (b) above, such successor shall succeed to and become vested with all of the rights, powers, privileges and duties of the retiring (or retired) Agent, and the retiring Agent shall be discharged from all of its duties and obligations hereunder and under the other Financing Documents (if not already discharged therefrom as provided above in this paragraph). The fees payable by Borrowers to a successor Agent shall be the same as those payable to its predecessor unless otherwise agreed between Borrowers and such successor. After the retiring Agent’s resignation hereunder and under the other Financing Documents, the provisions of this Article and Section 11.12 shall continue in effect for the benefit of such retiring Agent and its sub-agents in respect of any actions taken or omitted to be taken by any of them while the retiring Agent was acting or was continuing to act as Agent.</w:t>
      </w:r>
    </w:p>
    <w:p>
      <w:pPr>
        <w:spacing w:after="0" w:line="162"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0"/>
          <w:szCs w:val="20"/>
          <w:b w:val="1"/>
          <w:bCs w:val="1"/>
          <w:color w:val="auto"/>
        </w:rPr>
        <w:t>Section 11.13</w:t>
      </w:r>
      <w:r>
        <w:rPr>
          <w:sz w:val="20"/>
          <w:szCs w:val="20"/>
          <w:color w:val="auto"/>
        </w:rPr>
        <w:tab/>
      </w:r>
      <w:r>
        <w:rPr>
          <w:rFonts w:ascii="Arial" w:cs="Arial" w:eastAsia="Arial" w:hAnsi="Arial"/>
          <w:sz w:val="16"/>
          <w:szCs w:val="16"/>
          <w:u w:val="single" w:color="auto"/>
          <w:color w:val="auto"/>
        </w:rPr>
        <w:t>Payment and Sharing of Payment</w:t>
      </w:r>
      <w:r>
        <w:rPr>
          <w:rFonts w:ascii="Arial" w:cs="Arial" w:eastAsia="Arial" w:hAnsi="Arial"/>
          <w:sz w:val="16"/>
          <w:szCs w:val="16"/>
          <w:color w:val="auto"/>
        </w:rPr>
        <w:t>.</w:t>
      </w:r>
    </w:p>
    <w:p>
      <w:pPr>
        <w:spacing w:after="0" w:line="222" w:lineRule="exact"/>
        <w:rPr>
          <w:sz w:val="20"/>
          <w:szCs w:val="20"/>
          <w:color w:val="auto"/>
        </w:rPr>
      </w:pPr>
    </w:p>
    <w:p>
      <w:pPr>
        <w:ind w:left="2600" w:hanging="865"/>
        <w:spacing w:after="0"/>
        <w:tabs>
          <w:tab w:leader="none" w:pos="2600" w:val="left"/>
        </w:tabs>
        <w:numPr>
          <w:ilvl w:val="0"/>
          <w:numId w:val="128"/>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735"/>
        <w:spacing w:after="0" w:line="250" w:lineRule="auto"/>
        <w:tabs>
          <w:tab w:leader="none" w:pos="2606" w:val="left"/>
        </w:tabs>
        <w:numPr>
          <w:ilvl w:val="0"/>
          <w:numId w:val="128"/>
        </w:numPr>
        <w:rPr>
          <w:rFonts w:ascii="Arial" w:cs="Arial" w:eastAsia="Arial" w:hAnsi="Arial"/>
          <w:sz w:val="20"/>
          <w:szCs w:val="20"/>
          <w:color w:val="auto"/>
        </w:rPr>
      </w:pPr>
      <w:r>
        <w:rPr>
          <w:rFonts w:ascii="Arial" w:cs="Arial" w:eastAsia="Arial" w:hAnsi="Arial"/>
          <w:sz w:val="20"/>
          <w:szCs w:val="20"/>
          <w:u w:val="single" w:color="auto"/>
          <w:color w:val="auto"/>
        </w:rPr>
        <w:t>Term Loan Payments</w:t>
      </w:r>
      <w:r>
        <w:rPr>
          <w:rFonts w:ascii="Arial" w:cs="Arial" w:eastAsia="Arial" w:hAnsi="Arial"/>
          <w:sz w:val="20"/>
          <w:szCs w:val="20"/>
          <w:color w:val="auto"/>
        </w:rPr>
        <w:t>. Payments of principal, interest and fees in respect of the Term Loans will be settled on the date of receipt if received by Agent on the last Business Day of a month or on the Business Day immediately following the date of receipt if received on any day other than the last Business Day of a month.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35" w:name="page136"/>
    <w:bookmarkEnd w:id="135"/>
    <w:p>
      <w:pPr>
        <w:ind w:left="2600" w:hanging="865"/>
        <w:spacing w:after="0"/>
        <w:tabs>
          <w:tab w:leader="none" w:pos="2600"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Return of Payments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880" w:firstLine="1586"/>
        <w:spacing w:after="0" w:line="246" w:lineRule="auto"/>
        <w:tabs>
          <w:tab w:leader="none" w:pos="3309" w:val="left"/>
        </w:tabs>
        <w:numPr>
          <w:ilvl w:val="1"/>
          <w:numId w:val="129"/>
        </w:numPr>
        <w:rPr>
          <w:rFonts w:ascii="Arial" w:cs="Arial" w:eastAsia="Arial" w:hAnsi="Arial"/>
          <w:sz w:val="20"/>
          <w:szCs w:val="20"/>
          <w:color w:val="auto"/>
        </w:rPr>
      </w:pPr>
      <w:r>
        <w:rPr>
          <w:rFonts w:ascii="Arial" w:cs="Arial" w:eastAsia="Arial" w:hAnsi="Arial"/>
          <w:sz w:val="20"/>
          <w:szCs w:val="20"/>
          <w:color w:val="auto"/>
        </w:rPr>
        <w:t>If Agent pays an amount to a Lender under this Agreement in the belief or expectation that a related payment has been or will be received by Agent from a Borrower and such related payment is not received by Agent, then Agent will be entitled to recover such amount from such Lender on demand without setoff, counterclaim or deduction of any kind, together with interest accruing on a daily basis at the Federal Funds Rate.</w:t>
      </w:r>
    </w:p>
    <w:p>
      <w:pPr>
        <w:spacing w:after="0" w:line="191" w:lineRule="exact"/>
        <w:rPr>
          <w:rFonts w:ascii="Arial" w:cs="Arial" w:eastAsia="Arial" w:hAnsi="Arial"/>
          <w:sz w:val="20"/>
          <w:szCs w:val="20"/>
          <w:color w:val="auto"/>
        </w:rPr>
      </w:pPr>
    </w:p>
    <w:p>
      <w:pPr>
        <w:jc w:val="both"/>
        <w:ind w:left="880" w:firstLine="1586"/>
        <w:spacing w:after="0" w:line="259" w:lineRule="auto"/>
        <w:tabs>
          <w:tab w:leader="none" w:pos="3364" w:val="left"/>
        </w:tabs>
        <w:numPr>
          <w:ilvl w:val="1"/>
          <w:numId w:val="129"/>
        </w:numPr>
        <w:rPr>
          <w:rFonts w:ascii="Arial" w:cs="Arial" w:eastAsia="Arial" w:hAnsi="Arial"/>
          <w:sz w:val="19"/>
          <w:szCs w:val="19"/>
          <w:color w:val="auto"/>
        </w:rPr>
      </w:pPr>
      <w:r>
        <w:rPr>
          <w:rFonts w:ascii="Arial" w:cs="Arial" w:eastAsia="Arial" w:hAnsi="Arial"/>
          <w:sz w:val="19"/>
          <w:szCs w:val="19"/>
          <w:color w:val="auto"/>
        </w:rPr>
        <w:t>If Agent determines at any time that any amount received by Agent under this Agreement must be returned to any Borrower or paid to any other Person pursuant to any insolvency law or otherwise, then, notwithstanding any other term or condition of this Agreement or any other Financing Document, Agent will not be required to distribute any portion thereof to any Lender. In addition, each Lender will repay to Agent on demand any portion of such amount that Agent has distributed to such Lender, together with interest at such rate, if any, as Agent is required to pay to any Borrower or such other Person, without setoff, counterclaim or deduction of any kind.</w:t>
      </w:r>
    </w:p>
    <w:p>
      <w:pPr>
        <w:spacing w:after="0" w:line="178" w:lineRule="exact"/>
        <w:rPr>
          <w:rFonts w:ascii="Arial" w:cs="Arial" w:eastAsia="Arial" w:hAnsi="Arial"/>
          <w:sz w:val="19"/>
          <w:szCs w:val="19"/>
          <w:color w:val="auto"/>
        </w:rPr>
      </w:pPr>
    </w:p>
    <w:p>
      <w:pPr>
        <w:jc w:val="both"/>
        <w:ind w:firstLine="1735"/>
        <w:spacing w:after="0" w:line="278" w:lineRule="auto"/>
        <w:tabs>
          <w:tab w:leader="none" w:pos="2606"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Defaulted Lenders</w:t>
      </w:r>
      <w:r>
        <w:rPr>
          <w:rFonts w:ascii="Arial" w:cs="Arial" w:eastAsia="Arial" w:hAnsi="Arial"/>
          <w:sz w:val="18"/>
          <w:szCs w:val="18"/>
          <w:color w:val="auto"/>
        </w:rPr>
        <w:t>. The failure of any Defaulted Lender to make any payment required by it hereunder shall not relieve any other Lender of its obligations to make payment, but neither any other Lender nor Agent shall be responsible for the failure of any Defaulted Lender to make any payment required hereunder. Notwithstanding anything set forth herein to the contrary, a Defaulted Lender shall not have any voting or consent rights under or with respect to any Financing Document or constitute a “Lender” (or be included in the calculation of “Required Lenders” hereunder) for any voting or consent rights under or with respect to any Financing Document.</w:t>
      </w:r>
    </w:p>
    <w:p>
      <w:pPr>
        <w:spacing w:after="0" w:line="164" w:lineRule="exact"/>
        <w:rPr>
          <w:rFonts w:ascii="Arial" w:cs="Arial" w:eastAsia="Arial" w:hAnsi="Arial"/>
          <w:sz w:val="18"/>
          <w:szCs w:val="18"/>
          <w:color w:val="auto"/>
        </w:rPr>
      </w:pPr>
    </w:p>
    <w:p>
      <w:pPr>
        <w:jc w:val="both"/>
        <w:ind w:firstLine="1735"/>
        <w:spacing w:after="0" w:line="254" w:lineRule="auto"/>
        <w:tabs>
          <w:tab w:leader="none" w:pos="2595"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Sharing of Payments</w:t>
      </w:r>
      <w:r>
        <w:rPr>
          <w:rFonts w:ascii="Arial" w:cs="Arial" w:eastAsia="Arial" w:hAnsi="Arial"/>
          <w:sz w:val="19"/>
          <w:szCs w:val="19"/>
          <w:color w:val="auto"/>
        </w:rPr>
        <w:t xml:space="preserve">. If any Lender shall obtain any payment or other recovery (whether voluntary, involuntary, by application of setoff or otherwise) on account of any Loan (other than pursuant to the terms of Section 2.8(d)) in excess of its Pro Rata Share of payments entitled pursuant to the other provisions of this Section 11.13, such Lender shall purchase from the other Lenders such participations in extensions of credit made by such other Lenders (without recourse, representation or warranty) as shall be necessary to cause such purchasing Lender to share the excess payment or other recovery ratably with each of them;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all or any portion of the excess payment or other recovery is thereafter required to be returned or otherwise recovered from such purchasing Lender, such portion of such purchase shall be rescinded and each Lender which has sold a participation to the purchasing Lender shall repay to the purchasing Lender the purchase price to the ratable extent of such return or recovery, without interest. Each Borrower agrees that any Lender so purchasing a participation from another Lender pursuant to this clause (e) may, to the fullest extent permitted by law, exercise all its rights of payment (including pursuant to Section 10.6) with respect to such participation as fully as if such Lender were the direct creditor of Borrowers in the amount of such participation. If under any applicable bankruptcy, insolvency or other similar law, any Lender receives a secured claim in lieu of a setoff to which this clause (e) applies, such Lender shall, to the extent practicable, exercise its rights in respect of such secured claim in a manner consistent with the rights of the Lenders entitled under this clause (e) to share in the benefits of any recovery on such secured claim.</w:t>
      </w:r>
    </w:p>
    <w:p>
      <w:pPr>
        <w:spacing w:after="0" w:line="186"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0"/>
          <w:szCs w:val="20"/>
          <w:b w:val="1"/>
          <w:bCs w:val="1"/>
          <w:color w:val="auto"/>
        </w:rPr>
        <w:t xml:space="preserve">Section 11.14 </w:t>
      </w:r>
      <w:r>
        <w:rPr>
          <w:rFonts w:ascii="Arial" w:cs="Arial" w:eastAsia="Arial" w:hAnsi="Arial"/>
          <w:sz w:val="20"/>
          <w:szCs w:val="20"/>
          <w:u w:val="single" w:color="auto"/>
          <w:color w:val="auto"/>
        </w:rPr>
        <w:t>Right to Perform, Preserve and Protect</w:t>
      </w:r>
      <w:r>
        <w:rPr>
          <w:rFonts w:ascii="Arial" w:cs="Arial" w:eastAsia="Arial" w:hAnsi="Arial"/>
          <w:sz w:val="20"/>
          <w:szCs w:val="20"/>
          <w:color w:val="auto"/>
        </w:rPr>
        <w:t>. If any Credit Party fails to perform any obligation hereunder or</w:t>
      </w:r>
      <w:r>
        <w:rPr>
          <w:rFonts w:ascii="Arial" w:cs="Arial" w:eastAsia="Arial" w:hAnsi="Arial"/>
          <w:sz w:val="20"/>
          <w:szCs w:val="20"/>
          <w:b w:val="1"/>
          <w:bCs w:val="1"/>
          <w:color w:val="auto"/>
        </w:rPr>
        <w:t xml:space="preserve"> </w:t>
      </w:r>
      <w:r>
        <w:rPr>
          <w:rFonts w:ascii="Arial" w:cs="Arial" w:eastAsia="Arial" w:hAnsi="Arial"/>
          <w:sz w:val="20"/>
          <w:szCs w:val="20"/>
          <w:color w:val="auto"/>
        </w:rPr>
        <w:t>under any other Financing Document, Agent itself may, but shall not be obligated to, cause such obligation to be performed at Borrowers’ expense. Agent is further authorized by Borrowers and Lenders to make expenditures from time to time which Agent, in its reasonable business judgment, deems necessary or desirable to (a) preserve or protect the business conducted by Borrowers, the Collateral, or any portion thereof, and/or (b) enhance the likelihood of, or maximize the amount of, repayment of the Loan and other Obligations. Each Borrower hereby agrees to reimburse Agent on demand for any and all</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36" w:name="page137"/>
    <w:bookmarkEnd w:id="136"/>
    <w:p>
      <w:pPr>
        <w:jc w:val="both"/>
        <w:spacing w:after="0" w:line="250" w:lineRule="auto"/>
        <w:rPr>
          <w:sz w:val="20"/>
          <w:szCs w:val="20"/>
          <w:color w:val="auto"/>
        </w:rPr>
      </w:pPr>
      <w:r>
        <w:rPr>
          <w:rFonts w:ascii="Arial" w:cs="Arial" w:eastAsia="Arial" w:hAnsi="Arial"/>
          <w:sz w:val="20"/>
          <w:szCs w:val="20"/>
          <w:color w:val="auto"/>
        </w:rPr>
        <w:t>costs, liabilities and obligations incurred by Agent pursuant to this Section 11.14. Each Lender hereby agrees to indemnify Agent upon demand for any and all costs, liabilities and obligations incurred by Agent pursuant to this Section 11.14, in accordance with the provisions of Section 11.6.</w:t>
      </w:r>
    </w:p>
    <w:p>
      <w:pPr>
        <w:spacing w:after="0" w:line="18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b w:val="1"/>
          <w:bCs w:val="1"/>
          <w:color w:val="auto"/>
        </w:rPr>
        <w:t xml:space="preserve">Section 11.15 </w:t>
      </w:r>
      <w:r>
        <w:rPr>
          <w:rFonts w:ascii="Arial" w:cs="Arial" w:eastAsia="Arial" w:hAnsi="Arial"/>
          <w:sz w:val="20"/>
          <w:szCs w:val="20"/>
          <w:u w:val="single" w:color="auto"/>
          <w:color w:val="auto"/>
        </w:rPr>
        <w:t>Additional Titled Agents</w:t>
      </w:r>
      <w:r>
        <w:rPr>
          <w:rFonts w:ascii="Arial" w:cs="Arial" w:eastAsia="Arial" w:hAnsi="Arial"/>
          <w:sz w:val="20"/>
          <w:szCs w:val="20"/>
          <w:color w:val="auto"/>
        </w:rPr>
        <w:t>. Except for rights and powers, if any, expressly reserved under this Agreement to</w:t>
      </w:r>
      <w:r>
        <w:rPr>
          <w:rFonts w:ascii="Arial" w:cs="Arial" w:eastAsia="Arial" w:hAnsi="Arial"/>
          <w:sz w:val="20"/>
          <w:szCs w:val="20"/>
          <w:b w:val="1"/>
          <w:bCs w:val="1"/>
          <w:color w:val="auto"/>
        </w:rPr>
        <w:t xml:space="preserve"> </w:t>
      </w:r>
      <w:r>
        <w:rPr>
          <w:rFonts w:ascii="Arial" w:cs="Arial" w:eastAsia="Arial" w:hAnsi="Arial"/>
          <w:sz w:val="20"/>
          <w:szCs w:val="20"/>
          <w:color w:val="auto"/>
        </w:rPr>
        <w:t>any bookrunner, arranger or to any titled agent named on the cover page of this Agreement, other than Agent (collectively, the “</w:t>
      </w:r>
      <w:r>
        <w:rPr>
          <w:rFonts w:ascii="Arial" w:cs="Arial" w:eastAsia="Arial" w:hAnsi="Arial"/>
          <w:sz w:val="20"/>
          <w:szCs w:val="20"/>
          <w:b w:val="1"/>
          <w:bCs w:val="1"/>
          <w:color w:val="auto"/>
        </w:rPr>
        <w:t>Additional</w:t>
      </w:r>
      <w:r>
        <w:rPr>
          <w:rFonts w:ascii="Arial" w:cs="Arial" w:eastAsia="Arial" w:hAnsi="Arial"/>
          <w:sz w:val="20"/>
          <w:szCs w:val="20"/>
          <w:color w:val="auto"/>
        </w:rPr>
        <w:t xml:space="preserve"> </w:t>
      </w:r>
      <w:r>
        <w:rPr>
          <w:rFonts w:ascii="Arial" w:cs="Arial" w:eastAsia="Arial" w:hAnsi="Arial"/>
          <w:sz w:val="20"/>
          <w:szCs w:val="20"/>
          <w:b w:val="1"/>
          <w:bCs w:val="1"/>
          <w:color w:val="auto"/>
        </w:rPr>
        <w:t>Titled Agents</w:t>
      </w:r>
      <w:r>
        <w:rPr>
          <w:rFonts w:ascii="Arial" w:cs="Arial" w:eastAsia="Arial" w:hAnsi="Arial"/>
          <w:sz w:val="20"/>
          <w:szCs w:val="20"/>
          <w:color w:val="auto"/>
        </w:rPr>
        <w:t>”), and except for obligations, liabilities, duties and responsibilities, if any, expressly assumed under this Agreement by any</w:t>
      </w:r>
      <w:r>
        <w:rPr>
          <w:rFonts w:ascii="Arial" w:cs="Arial" w:eastAsia="Arial" w:hAnsi="Arial"/>
          <w:sz w:val="20"/>
          <w:szCs w:val="20"/>
          <w:b w:val="1"/>
          <w:bCs w:val="1"/>
          <w:color w:val="auto"/>
        </w:rPr>
        <w:t xml:space="preserve"> </w:t>
      </w:r>
      <w:r>
        <w:rPr>
          <w:rFonts w:ascii="Arial" w:cs="Arial" w:eastAsia="Arial" w:hAnsi="Arial"/>
          <w:sz w:val="20"/>
          <w:szCs w:val="20"/>
          <w:color w:val="auto"/>
        </w:rPr>
        <w:t>Additional Titled Agent, no Additional Titled Agent, in such capacity, has any rights, powers, liabilities, duties or responsibilities hereunder or under any of the other Financing Documents. Without limiting the foregoing, no Additional Titled Agent shall have nor be deemed to have a fiduciary relationship with any Lender. At any time that any Lender serving as an Additional Titled Agent shall have transferred to any other Person (other than any Affiliates) all of its interests in the Loan, such Lender shall be deemed to have concurrently resigned as such Additional Titled Agent.</w:t>
      </w:r>
    </w:p>
    <w:p>
      <w:pPr>
        <w:spacing w:after="0" w:line="189"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0"/>
          <w:szCs w:val="20"/>
          <w:b w:val="1"/>
          <w:bCs w:val="1"/>
          <w:color w:val="auto"/>
        </w:rPr>
        <w:t>Section 11.16</w:t>
      </w:r>
      <w:r>
        <w:rPr>
          <w:sz w:val="20"/>
          <w:szCs w:val="20"/>
          <w:color w:val="auto"/>
        </w:rPr>
        <w:tab/>
      </w:r>
      <w:r>
        <w:rPr>
          <w:rFonts w:ascii="Arial" w:cs="Arial" w:eastAsia="Arial" w:hAnsi="Arial"/>
          <w:sz w:val="16"/>
          <w:szCs w:val="16"/>
          <w:u w:val="single" w:color="auto"/>
          <w:color w:val="auto"/>
        </w:rPr>
        <w:t>Amendments and Waivers</w:t>
      </w:r>
      <w:r>
        <w:rPr>
          <w:rFonts w:ascii="Arial" w:cs="Arial" w:eastAsia="Arial" w:hAnsi="Arial"/>
          <w:sz w:val="16"/>
          <w:szCs w:val="16"/>
          <w:color w:val="auto"/>
        </w:rPr>
        <w:t>.</w:t>
      </w:r>
    </w:p>
    <w:p>
      <w:pPr>
        <w:spacing w:after="0" w:line="222" w:lineRule="exact"/>
        <w:rPr>
          <w:sz w:val="20"/>
          <w:szCs w:val="20"/>
          <w:color w:val="auto"/>
        </w:rPr>
      </w:pPr>
    </w:p>
    <w:p>
      <w:pPr>
        <w:jc w:val="both"/>
        <w:ind w:firstLine="1735"/>
        <w:spacing w:after="0" w:line="246" w:lineRule="auto"/>
        <w:tabs>
          <w:tab w:leader="none" w:pos="2595" w:val="left"/>
        </w:tabs>
        <w:numPr>
          <w:ilvl w:val="0"/>
          <w:numId w:val="130"/>
        </w:numPr>
        <w:rPr>
          <w:rFonts w:ascii="Arial" w:cs="Arial" w:eastAsia="Arial" w:hAnsi="Arial"/>
          <w:sz w:val="20"/>
          <w:szCs w:val="20"/>
          <w:color w:val="auto"/>
        </w:rPr>
      </w:pPr>
      <w:r>
        <w:rPr>
          <w:rFonts w:ascii="Arial" w:cs="Arial" w:eastAsia="Arial" w:hAnsi="Arial"/>
          <w:sz w:val="20"/>
          <w:szCs w:val="20"/>
          <w:color w:val="auto"/>
        </w:rPr>
        <w:t xml:space="preserve">No provision of this Agreement or any other Financing Document may be amended, waived or otherwise modified unless such amendment, waiver or other modification is in writing and is signed or otherwise approved by Borrowers, the Required Lenders and any other Lender to the extent required under Section 11.16(b); </w:t>
      </w:r>
      <w:r>
        <w:rPr>
          <w:rFonts w:ascii="Arial" w:cs="Arial" w:eastAsia="Arial" w:hAnsi="Arial"/>
          <w:sz w:val="20"/>
          <w:szCs w:val="20"/>
          <w:i w:val="1"/>
          <w:iCs w:val="1"/>
          <w:color w:val="auto"/>
        </w:rPr>
        <w:t>provided, however</w:t>
      </w:r>
      <w:r>
        <w:rPr>
          <w:rFonts w:ascii="Arial" w:cs="Arial" w:eastAsia="Arial" w:hAnsi="Arial"/>
          <w:sz w:val="20"/>
          <w:szCs w:val="20"/>
          <w:color w:val="auto"/>
        </w:rPr>
        <w:t>, the Fee Letter may be amended, or rights or privileges thereunder waived, in a writing executed only by the parties thereto.</w:t>
      </w:r>
    </w:p>
    <w:p>
      <w:pPr>
        <w:spacing w:after="0" w:line="191" w:lineRule="exact"/>
        <w:rPr>
          <w:rFonts w:ascii="Arial" w:cs="Arial" w:eastAsia="Arial" w:hAnsi="Arial"/>
          <w:sz w:val="20"/>
          <w:szCs w:val="20"/>
          <w:color w:val="auto"/>
        </w:rPr>
      </w:pPr>
    </w:p>
    <w:p>
      <w:pPr>
        <w:jc w:val="both"/>
        <w:ind w:firstLine="1735"/>
        <w:spacing w:after="0" w:line="250" w:lineRule="auto"/>
        <w:tabs>
          <w:tab w:leader="none" w:pos="2606" w:val="left"/>
        </w:tabs>
        <w:numPr>
          <w:ilvl w:val="0"/>
          <w:numId w:val="130"/>
        </w:numPr>
        <w:rPr>
          <w:rFonts w:ascii="Arial" w:cs="Arial" w:eastAsia="Arial" w:hAnsi="Arial"/>
          <w:sz w:val="20"/>
          <w:szCs w:val="20"/>
          <w:color w:val="auto"/>
        </w:rPr>
      </w:pPr>
      <w:r>
        <w:rPr>
          <w:rFonts w:ascii="Arial" w:cs="Arial" w:eastAsia="Arial" w:hAnsi="Arial"/>
          <w:sz w:val="20"/>
          <w:szCs w:val="20"/>
          <w:color w:val="auto"/>
        </w:rPr>
        <w:t>In addition to the required signatures under Section 11.16(a), no provision of this Agreement or any other Financing Document may be amended, waived or otherwise modified unless such amendment, waiver or other modification is in writing and is signed or otherwise approved by the following Persons:</w:t>
      </w:r>
    </w:p>
    <w:p>
      <w:pPr>
        <w:spacing w:after="0" w:line="185" w:lineRule="exact"/>
        <w:rPr>
          <w:rFonts w:ascii="Arial" w:cs="Arial" w:eastAsia="Arial" w:hAnsi="Arial"/>
          <w:sz w:val="20"/>
          <w:szCs w:val="20"/>
          <w:color w:val="auto"/>
        </w:rPr>
      </w:pPr>
    </w:p>
    <w:p>
      <w:pPr>
        <w:ind w:left="880" w:firstLine="1586"/>
        <w:spacing w:after="0" w:line="260" w:lineRule="auto"/>
        <w:tabs>
          <w:tab w:leader="none" w:pos="3309" w:val="left"/>
        </w:tabs>
        <w:numPr>
          <w:ilvl w:val="1"/>
          <w:numId w:val="130"/>
        </w:numPr>
        <w:rPr>
          <w:rFonts w:ascii="Arial" w:cs="Arial" w:eastAsia="Arial" w:hAnsi="Arial"/>
          <w:sz w:val="20"/>
          <w:szCs w:val="20"/>
          <w:color w:val="auto"/>
        </w:rPr>
      </w:pPr>
      <w:r>
        <w:rPr>
          <w:rFonts w:ascii="Arial" w:cs="Arial" w:eastAsia="Arial" w:hAnsi="Arial"/>
          <w:sz w:val="20"/>
          <w:szCs w:val="20"/>
          <w:color w:val="auto"/>
        </w:rPr>
        <w:t>if any amendment, waiver or other modification would increase a Lender’s funding obligations in respect of any Loan, by such Lender; and/or</w:t>
      </w:r>
    </w:p>
    <w:p>
      <w:pPr>
        <w:spacing w:after="0" w:line="176" w:lineRule="exact"/>
        <w:rPr>
          <w:rFonts w:ascii="Arial" w:cs="Arial" w:eastAsia="Arial" w:hAnsi="Arial"/>
          <w:sz w:val="20"/>
          <w:szCs w:val="20"/>
          <w:color w:val="auto"/>
        </w:rPr>
      </w:pPr>
    </w:p>
    <w:p>
      <w:pPr>
        <w:ind w:left="3360" w:hanging="894"/>
        <w:spacing w:after="0"/>
        <w:tabs>
          <w:tab w:leader="none" w:pos="3360" w:val="left"/>
        </w:tabs>
        <w:numPr>
          <w:ilvl w:val="1"/>
          <w:numId w:val="130"/>
        </w:numPr>
        <w:rPr>
          <w:rFonts w:ascii="Arial" w:cs="Arial" w:eastAsia="Arial" w:hAnsi="Arial"/>
          <w:sz w:val="20"/>
          <w:szCs w:val="20"/>
          <w:color w:val="auto"/>
        </w:rPr>
      </w:pPr>
      <w:r>
        <w:rPr>
          <w:rFonts w:ascii="Arial" w:cs="Arial" w:eastAsia="Arial" w:hAnsi="Arial"/>
          <w:sz w:val="20"/>
          <w:szCs w:val="20"/>
          <w:color w:val="auto"/>
        </w:rPr>
        <w:t>if the rights or duties of Agent are affected thereby, by Agent;</w:t>
      </w: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in each of (i) and (ii) above, no such amendment, waiver or other modification shall, unless signed or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in writing by all the Lenders directly affected thereby, (A) reduce the principal of, rate of interest on or any fees with respect to any Loan or forgive any principal, interest (other than default interest) or fees (other than late charges) with respect to any Loan; (B) postpone the date fixed for, or waive, any payment (other than any mandatory prepayment pursuant to Section 2.1(a)(ii)) of principal of any Loan, or of interest on any Loan (other than default interest) or any fees provided for hereunder (other than late charges) or postpone the date of termination of any commitment of any Lender hereunder; (C) change the definition of the term Required Lenders or the percentage of Lenders which shall be required for Lenders to take any action hereunder; (D) release all or substantially all of the Collateral, authorize any Borrower to sell or otherwise dispose of all or substantially all of the Collateral, release any Guarantor of all or any portion of the Obligations or its Guarantee obligations with respect thereto, or consent to a transfer of any of the Intellectual Property, except, in each case with respect to this clause (D), as otherwise may be provided in this Agreement or the other Financing Documents (including in connection with any disposition permitted hereunder); (E) amend, waive or otherwise modify this Section 11.16(b) or the definitions of the terms used in this Section 11.16(b) insofar as the definitions affect the substance of this Section 11.16(b); (F) consent to the assignment, delegation or other transfer by any Credit Party of any of its rights and obligations under any Financing Document or release any Borrower of its payment obligations under any Financing Document, except, in each case with respect to this clause (F), pursuant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37" w:name="page138"/>
    <w:bookmarkEnd w:id="137"/>
    <w:p>
      <w:pPr>
        <w:jc w:val="both"/>
        <w:spacing w:after="0" w:line="244" w:lineRule="auto"/>
        <w:rPr>
          <w:sz w:val="20"/>
          <w:szCs w:val="20"/>
          <w:color w:val="auto"/>
        </w:rPr>
      </w:pPr>
      <w:r>
        <w:rPr>
          <w:rFonts w:ascii="Arial" w:cs="Arial" w:eastAsia="Arial" w:hAnsi="Arial"/>
          <w:sz w:val="20"/>
          <w:szCs w:val="20"/>
          <w:color w:val="auto"/>
        </w:rPr>
        <w:t>a merger or consolidation permitted pursuant to this Agreement; or (G) amend any of the provisions of Section 10.7 or amend any of the definitions of Pro Rata Share, Term Loan Commitments, or Term Loan Commitment Percentage or that provide for the Lenders to receive their Pro Rata Shares of any fees, payments, setoffs or proceeds of Collateral hereunder. It is hereby understood and agreed that all Lenders shall be deemed directly affected by an amendment, waiver or other modification of the type described in the preceding clauses (C), (D), (E), (F) and (G) of the preceding sentence.</w:t>
      </w:r>
    </w:p>
    <w:p>
      <w:pPr>
        <w:spacing w:after="0" w:line="188"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0"/>
          <w:szCs w:val="20"/>
          <w:b w:val="1"/>
          <w:bCs w:val="1"/>
          <w:color w:val="auto"/>
        </w:rPr>
        <w:t>Section 11.17</w:t>
      </w:r>
      <w:r>
        <w:rPr>
          <w:sz w:val="20"/>
          <w:szCs w:val="20"/>
          <w:color w:val="auto"/>
        </w:rPr>
        <w:tab/>
      </w:r>
      <w:r>
        <w:rPr>
          <w:rFonts w:ascii="Arial" w:cs="Arial" w:eastAsia="Arial" w:hAnsi="Arial"/>
          <w:sz w:val="16"/>
          <w:szCs w:val="16"/>
          <w:u w:val="single" w:color="auto"/>
          <w:color w:val="auto"/>
        </w:rPr>
        <w:t>Assignments and Participations</w:t>
      </w:r>
      <w:r>
        <w:rPr>
          <w:rFonts w:ascii="Arial" w:cs="Arial" w:eastAsia="Arial" w:hAnsi="Arial"/>
          <w:sz w:val="16"/>
          <w:szCs w:val="16"/>
          <w:color w:val="auto"/>
        </w:rPr>
        <w:t>.</w:t>
      </w:r>
    </w:p>
    <w:p>
      <w:pPr>
        <w:spacing w:after="0" w:line="222" w:lineRule="exact"/>
        <w:rPr>
          <w:sz w:val="20"/>
          <w:szCs w:val="20"/>
          <w:color w:val="auto"/>
        </w:rPr>
      </w:pPr>
    </w:p>
    <w:p>
      <w:pPr>
        <w:ind w:left="2600" w:hanging="865"/>
        <w:spacing w:after="0"/>
        <w:tabs>
          <w:tab w:leader="none" w:pos="2600" w:val="left"/>
        </w:tabs>
        <w:numPr>
          <w:ilvl w:val="0"/>
          <w:numId w:val="131"/>
        </w:numPr>
        <w:rPr>
          <w:rFonts w:ascii="Arial" w:cs="Arial" w:eastAsia="Arial" w:hAnsi="Arial"/>
          <w:sz w:val="20"/>
          <w:szCs w:val="20"/>
          <w:color w:val="auto"/>
        </w:rPr>
      </w:pPr>
      <w:r>
        <w:rPr>
          <w:rFonts w:ascii="Arial" w:cs="Arial" w:eastAsia="Arial" w:hAnsi="Arial"/>
          <w:sz w:val="20"/>
          <w:szCs w:val="20"/>
          <w:u w:val="single" w:color="auto"/>
          <w:color w:val="auto"/>
        </w:rPr>
        <w:t>Assignments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880" w:firstLine="1586"/>
        <w:spacing w:after="0" w:line="271" w:lineRule="auto"/>
        <w:tabs>
          <w:tab w:leader="none" w:pos="3309" w:val="left"/>
        </w:tabs>
        <w:numPr>
          <w:ilvl w:val="1"/>
          <w:numId w:val="131"/>
        </w:numPr>
        <w:rPr>
          <w:rFonts w:ascii="Arial" w:cs="Arial" w:eastAsia="Arial" w:hAnsi="Arial"/>
          <w:sz w:val="18"/>
          <w:szCs w:val="18"/>
          <w:color w:val="auto"/>
        </w:rPr>
      </w:pPr>
      <w:r>
        <w:rPr>
          <w:rFonts w:ascii="Arial" w:cs="Arial" w:eastAsia="Arial" w:hAnsi="Arial"/>
          <w:sz w:val="18"/>
          <w:szCs w:val="18"/>
          <w:color w:val="auto"/>
        </w:rPr>
        <w:t xml:space="preserve">Any Lender may at any time assign to one or more Eligible Assignees all or any portion of such Lender’s Loan together with all related obligations of such Lender hereunder. Except as Agent may otherwise agree, the amount of any such assignment (determined as of the date of the applicable Assignment Agreement or, if a “Trade Date” is specified in such Assignment Agreement, as of such Trade Date) shall be in a minimum aggregate amount equal to $1,000,000 or, if less, the assignor’s entire interests in the outstanding Loan;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in connection with simultaneous assignments to two or more related Approved Funds, such Approved Funds shall be treated as one assignee for purposes of determining compliance with the minimum assignment size referred to above. Borrowers and Agent shall be entitled to continue to deal solely and directly with such Lender in connection with the interests so assigned to an Eligible Assignee until Agent shall have received and accepted an effective Assignment Agreement executed, delivered and fully completed by the applicable parties thereto and a processing fee of $3,500 to be paid by the assigning Lender;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only one processing fee shall be payable in connection with simultaneous assignments to two or more related Approved Funds.</w:t>
      </w:r>
    </w:p>
    <w:p>
      <w:pPr>
        <w:spacing w:after="0" w:line="169" w:lineRule="exact"/>
        <w:rPr>
          <w:rFonts w:ascii="Arial" w:cs="Arial" w:eastAsia="Arial" w:hAnsi="Arial"/>
          <w:sz w:val="18"/>
          <w:szCs w:val="18"/>
          <w:color w:val="auto"/>
        </w:rPr>
      </w:pPr>
    </w:p>
    <w:p>
      <w:pPr>
        <w:jc w:val="both"/>
        <w:ind w:left="880" w:firstLine="1586"/>
        <w:spacing w:after="0" w:line="271" w:lineRule="auto"/>
        <w:tabs>
          <w:tab w:leader="none" w:pos="3364" w:val="left"/>
        </w:tabs>
        <w:numPr>
          <w:ilvl w:val="1"/>
          <w:numId w:val="131"/>
        </w:numPr>
        <w:rPr>
          <w:rFonts w:ascii="Arial" w:cs="Arial" w:eastAsia="Arial" w:hAnsi="Arial"/>
          <w:sz w:val="18"/>
          <w:szCs w:val="18"/>
          <w:color w:val="auto"/>
        </w:rPr>
      </w:pPr>
      <w:r>
        <w:rPr>
          <w:rFonts w:ascii="Arial" w:cs="Arial" w:eastAsia="Arial" w:hAnsi="Arial"/>
          <w:sz w:val="18"/>
          <w:szCs w:val="18"/>
          <w:color w:val="auto"/>
        </w:rPr>
        <w:t>From and after the date on which the conditions described above have been met, (A) such Eligible Assignee shall be deemed automatically to have become a party hereto and, to the extent of the interests assigned to such Eligible Assignee pursuant to such Assignment Agreement, shall have the rights and obligations of a Lender hereunder, and (B) the assigning Lender, to the extent that rights and obligations hereunder have been assigned by it pursuant to such Assignment Agreement, shall be released from its rights and obligations hereunder (other than those that survive termination pursuant to Section 12.1). Upon the request of the Eligible Assignee (and, as applicable, the assigning Lender) pursuant to an effective Assignment Agreement, each Borrower shall execute and deliver to Agent for delivery to the Eligible Assignee (and, as applicable, the assigning Lender) Notes in the aggregate principal amount of the Eligible Assignee’s Loan (and, as applicable, Notes in the principal amount of that portion of the principal amount of the Loan retained by the assigning Lender). Upon receipt by the assigning Lender of such Note, the assigning Lender shall return to Borrower Representative any prior Note held by it.</w:t>
      </w:r>
    </w:p>
    <w:p>
      <w:pPr>
        <w:spacing w:after="0" w:line="173" w:lineRule="exact"/>
        <w:rPr>
          <w:rFonts w:ascii="Arial" w:cs="Arial" w:eastAsia="Arial" w:hAnsi="Arial"/>
          <w:sz w:val="18"/>
          <w:szCs w:val="18"/>
          <w:color w:val="auto"/>
        </w:rPr>
      </w:pPr>
    </w:p>
    <w:p>
      <w:pPr>
        <w:jc w:val="both"/>
        <w:ind w:left="880" w:firstLine="1586"/>
        <w:spacing w:after="0" w:line="256" w:lineRule="auto"/>
        <w:tabs>
          <w:tab w:leader="none" w:pos="3419" w:val="left"/>
        </w:tabs>
        <w:numPr>
          <w:ilvl w:val="1"/>
          <w:numId w:val="131"/>
        </w:numPr>
        <w:rPr>
          <w:rFonts w:ascii="Arial" w:cs="Arial" w:eastAsia="Arial" w:hAnsi="Arial"/>
          <w:sz w:val="19"/>
          <w:szCs w:val="19"/>
          <w:color w:val="auto"/>
        </w:rPr>
      </w:pPr>
      <w:r>
        <w:rPr>
          <w:rFonts w:ascii="Arial" w:cs="Arial" w:eastAsia="Arial" w:hAnsi="Arial"/>
          <w:sz w:val="19"/>
          <w:szCs w:val="19"/>
          <w:color w:val="auto"/>
        </w:rPr>
        <w:t>Agent, acting solely for this purpose as an agent of Borrower, shall maintain at the office of its servicer located in Bethesda, Maryland a copy of each Assignment Agreement delivered to it and a register for the recordation of the names and addresses of each Lender, and the commitments of, and principal amount of the Loan owing to, such Lender pursuant to the terms hereof (the “</w:t>
      </w:r>
      <w:r>
        <w:rPr>
          <w:rFonts w:ascii="Arial" w:cs="Arial" w:eastAsia="Arial" w:hAnsi="Arial"/>
          <w:sz w:val="19"/>
          <w:szCs w:val="19"/>
          <w:b w:val="1"/>
          <w:bCs w:val="1"/>
          <w:color w:val="auto"/>
        </w:rPr>
        <w:t>Register</w:t>
      </w:r>
      <w:r>
        <w:rPr>
          <w:rFonts w:ascii="Arial" w:cs="Arial" w:eastAsia="Arial" w:hAnsi="Arial"/>
          <w:sz w:val="19"/>
          <w:szCs w:val="19"/>
          <w:color w:val="auto"/>
        </w:rPr>
        <w:t>”). The entries in such Register shall be conclusive, absent manifest error, and Borrower, Agent and Lenders shall treat each Person whose name is recorded therein pursuant to the terms hereof as a Lender hereunder for all purposes of this Agreement. Such Register shall be available for inspection by Borrower and any Lender, at any reasonable time upon reasonable prior notice to Agent. Each Lender that sells a participation shall, acting solely for this purpose as an agent of Borrower maintain a register on which it enters the name and address of each participant and the principal amounts (and stated interest) of each participant’s interest in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38" w:name="page139"/>
    <w:bookmarkEnd w:id="138"/>
    <w:p>
      <w:pPr>
        <w:jc w:val="both"/>
        <w:ind w:left="880"/>
        <w:spacing w:after="0" w:line="257" w:lineRule="auto"/>
        <w:rPr>
          <w:sz w:val="20"/>
          <w:szCs w:val="20"/>
          <w:color w:val="auto"/>
        </w:rPr>
      </w:pPr>
      <w:r>
        <w:rPr>
          <w:rFonts w:ascii="Arial" w:cs="Arial" w:eastAsia="Arial" w:hAnsi="Arial"/>
          <w:sz w:val="19"/>
          <w:szCs w:val="19"/>
          <w:color w:val="auto"/>
        </w:rPr>
        <w:t>Obligations (each, a “Participant Register”). The entries in the Participant Registers shall be conclusive, absent manifest error. Each Participant Register shall be available for inspection by Borrower and Agent at any reasonable time upon reasonable prior notice to the applicable Lender;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Financing Document) to any Person (including Borrower) except to the extent that such disclosure is necessary to establish that such commitment, loan, letter of credit or other obligation is in registered form under Section 5f.103-1(c) of the United States Treasury Regulations. For the avoidance of doubt, Agent (in its capacity as Agent) shall have no responsibility for maintaining a Participant Register.</w:t>
      </w:r>
    </w:p>
    <w:p>
      <w:pPr>
        <w:spacing w:after="0" w:line="180" w:lineRule="exact"/>
        <w:rPr>
          <w:sz w:val="20"/>
          <w:szCs w:val="20"/>
          <w:color w:val="auto"/>
        </w:rPr>
      </w:pPr>
    </w:p>
    <w:p>
      <w:pPr>
        <w:jc w:val="both"/>
        <w:ind w:left="880" w:firstLine="1586"/>
        <w:spacing w:after="0" w:line="244" w:lineRule="auto"/>
        <w:tabs>
          <w:tab w:leader="none" w:pos="3408" w:val="left"/>
        </w:tabs>
        <w:numPr>
          <w:ilvl w:val="1"/>
          <w:numId w:val="132"/>
        </w:numPr>
        <w:rPr>
          <w:rFonts w:ascii="Arial" w:cs="Arial" w:eastAsia="Arial" w:hAnsi="Arial"/>
          <w:sz w:val="20"/>
          <w:szCs w:val="20"/>
          <w:color w:val="auto"/>
        </w:rPr>
      </w:pPr>
      <w:r>
        <w:rPr>
          <w:rFonts w:ascii="Arial" w:cs="Arial" w:eastAsia="Arial" w:hAnsi="Arial"/>
          <w:sz w:val="20"/>
          <w:szCs w:val="20"/>
          <w:color w:val="auto"/>
        </w:rPr>
        <w:t xml:space="preserve">Notwithstanding the foregoing provisions of this Section 11.17(a) or any other provision of this Agreement, any Lender may at any time pledge or assign a security interest in all or any portion of its rights under this Agreement to secure obligations of such Lender, including any pledge or assignment to secure obligations to a Federal Reserve Bank; </w:t>
      </w:r>
      <w:r>
        <w:rPr>
          <w:rFonts w:ascii="Arial" w:cs="Arial" w:eastAsia="Arial" w:hAnsi="Arial"/>
          <w:sz w:val="20"/>
          <w:szCs w:val="20"/>
          <w:i w:val="1"/>
          <w:iCs w:val="1"/>
          <w:color w:val="auto"/>
        </w:rPr>
        <w:t xml:space="preserve">provided, however, </w:t>
      </w:r>
      <w:r>
        <w:rPr>
          <w:rFonts w:ascii="Arial" w:cs="Arial" w:eastAsia="Arial" w:hAnsi="Arial"/>
          <w:sz w:val="20"/>
          <w:szCs w:val="20"/>
          <w:color w:val="auto"/>
        </w:rPr>
        <w:t>that no such pledge or assignment shall release such Lender from any of its obligations hereunder or substitute</w:t>
      </w:r>
      <w:r>
        <w:rPr>
          <w:rFonts w:ascii="Arial" w:cs="Arial" w:eastAsia="Arial" w:hAnsi="Arial"/>
          <w:sz w:val="20"/>
          <w:szCs w:val="20"/>
          <w:i w:val="1"/>
          <w:iCs w:val="1"/>
          <w:color w:val="auto"/>
        </w:rPr>
        <w:t xml:space="preserve"> </w:t>
      </w:r>
      <w:r>
        <w:rPr>
          <w:rFonts w:ascii="Arial" w:cs="Arial" w:eastAsia="Arial" w:hAnsi="Arial"/>
          <w:sz w:val="20"/>
          <w:szCs w:val="20"/>
          <w:color w:val="auto"/>
        </w:rPr>
        <w:t>any such pledgee or assignee for such Lender as a party hereto.</w:t>
      </w:r>
    </w:p>
    <w:p>
      <w:pPr>
        <w:spacing w:after="0" w:line="194" w:lineRule="exact"/>
        <w:rPr>
          <w:rFonts w:ascii="Arial" w:cs="Arial" w:eastAsia="Arial" w:hAnsi="Arial"/>
          <w:sz w:val="20"/>
          <w:szCs w:val="20"/>
          <w:color w:val="auto"/>
        </w:rPr>
      </w:pPr>
    </w:p>
    <w:p>
      <w:pPr>
        <w:jc w:val="both"/>
        <w:ind w:left="880" w:firstLine="1586"/>
        <w:spacing w:after="0" w:line="255" w:lineRule="auto"/>
        <w:tabs>
          <w:tab w:leader="none" w:pos="3353" w:val="left"/>
        </w:tabs>
        <w:numPr>
          <w:ilvl w:val="1"/>
          <w:numId w:val="132"/>
        </w:numPr>
        <w:rPr>
          <w:rFonts w:ascii="Arial" w:cs="Arial" w:eastAsia="Arial" w:hAnsi="Arial"/>
          <w:sz w:val="19"/>
          <w:szCs w:val="19"/>
          <w:color w:val="auto"/>
        </w:rPr>
      </w:pPr>
      <w:r>
        <w:rPr>
          <w:rFonts w:ascii="Arial" w:cs="Arial" w:eastAsia="Arial" w:hAnsi="Arial"/>
          <w:sz w:val="19"/>
          <w:szCs w:val="19"/>
          <w:color w:val="auto"/>
        </w:rPr>
        <w:t>Notwithstanding the foregoing provisions of this Section 11.17(a) or any other provision of this Agreement, Agent has the right, but not the obligation, to effectuate assignments of Loan via an electronic settlement system acceptable to Agent as designated in writing from time to time to Lenders by Agent (the “</w:t>
      </w:r>
      <w:r>
        <w:rPr>
          <w:rFonts w:ascii="Arial" w:cs="Arial" w:eastAsia="Arial" w:hAnsi="Arial"/>
          <w:sz w:val="19"/>
          <w:szCs w:val="19"/>
          <w:b w:val="1"/>
          <w:bCs w:val="1"/>
          <w:color w:val="auto"/>
        </w:rPr>
        <w:t>Settlement Service</w:t>
      </w:r>
      <w:r>
        <w:rPr>
          <w:rFonts w:ascii="Arial" w:cs="Arial" w:eastAsia="Arial" w:hAnsi="Arial"/>
          <w:sz w:val="19"/>
          <w:szCs w:val="19"/>
          <w:color w:val="auto"/>
        </w:rPr>
        <w:t>”). At any time when Agent elects, in its sole discretion, to implement such Settlement Service, each such assignment shall be effected by the assigning Lender and proposed assignee pursuant to the procedures then in effect under the Settlement Service, which procedures shall be consistent with the other provisions of this Section 11.17(a). Each assigning Lender and proposed Eligible Assignee shall comply with the requirements of the Settlement Service in connection with effecting any assignment of Loan pursuant to the Settlement Service. With the prior written approval of Agent, Agent’s approval of such Eligible Assignee shall be deemed to have been automatically granted with respect to any transfer effected through the Settlement Service. Assignments and assumptions of the Loan shall be effected by the provisions otherwise set forth herein until Agent notifies Lenders of the Settlement Service as set forth herein.</w:t>
      </w:r>
    </w:p>
    <w:p>
      <w:pPr>
        <w:spacing w:after="0" w:line="186" w:lineRule="exact"/>
        <w:rPr>
          <w:rFonts w:ascii="Arial" w:cs="Arial" w:eastAsia="Arial" w:hAnsi="Arial"/>
          <w:sz w:val="19"/>
          <w:szCs w:val="19"/>
          <w:color w:val="auto"/>
        </w:rPr>
      </w:pPr>
    </w:p>
    <w:p>
      <w:pPr>
        <w:jc w:val="both"/>
        <w:ind w:firstLine="1735"/>
        <w:spacing w:after="0" w:line="271" w:lineRule="auto"/>
        <w:tabs>
          <w:tab w:leader="none" w:pos="2606"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Any Lender may at any time, without the consent of, or notice to, any Borrower or Agent, sell to one or more Persons (other than any Borrower or any Borrower’s Affiliates) participating interests in its Loan, commitments or other interests hereunder (any such Person, a “</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In the event of a sale by a Lender of a participating interest to a Participant, (i) such Lender’s obligations hereunder shall remain unchanged for all purposes, (ii) Borrowers and Agent shall continue to deal solely and directly with such Lender in connection with such Lender’s rights and obligations hereunder, and (iii) all amounts payable by each Borrower shall be determined as if such Lender had not sold such participation and shall be paid directly to such Lender. Each Borrower agrees that if amounts outstanding under this Agreement are due and payable (as a result of acceleration or otherwise), each Participant shall be deemed to have the right of set-off in respect of its participating interest in amounts owing under this Agreement to the same extent as if the amount of its participating interest were owing directly to it as a Lender under this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right of set-off shall be subject to the obligation of each Participant to share with Lenders, and Lenders agree to share with each Participant, as provided in Section 11.5.</w:t>
      </w:r>
    </w:p>
    <w:p>
      <w:pPr>
        <w:spacing w:after="0" w:line="173" w:lineRule="exact"/>
        <w:rPr>
          <w:rFonts w:ascii="Arial" w:cs="Arial" w:eastAsia="Arial" w:hAnsi="Arial"/>
          <w:sz w:val="18"/>
          <w:szCs w:val="18"/>
          <w:color w:val="auto"/>
        </w:rPr>
      </w:pPr>
    </w:p>
    <w:p>
      <w:pPr>
        <w:ind w:firstLine="1735"/>
        <w:spacing w:after="0" w:line="260" w:lineRule="auto"/>
        <w:tabs>
          <w:tab w:leader="none" w:pos="2595" w:val="left"/>
        </w:tabs>
        <w:numPr>
          <w:ilvl w:val="0"/>
          <w:numId w:val="133"/>
        </w:numPr>
        <w:rPr>
          <w:rFonts w:ascii="Arial" w:cs="Arial" w:eastAsia="Arial" w:hAnsi="Arial"/>
          <w:sz w:val="20"/>
          <w:szCs w:val="20"/>
          <w:color w:val="auto"/>
        </w:rPr>
      </w:pPr>
      <w:r>
        <w:rPr>
          <w:rFonts w:ascii="Arial" w:cs="Arial" w:eastAsia="Arial" w:hAnsi="Arial"/>
          <w:sz w:val="20"/>
          <w:szCs w:val="20"/>
          <w:u w:val="single" w:color="auto"/>
          <w:color w:val="auto"/>
        </w:rPr>
        <w:t>Replacement of Lenders</w:t>
      </w:r>
      <w:r>
        <w:rPr>
          <w:rFonts w:ascii="Arial" w:cs="Arial" w:eastAsia="Arial" w:hAnsi="Arial"/>
          <w:sz w:val="20"/>
          <w:szCs w:val="20"/>
          <w:color w:val="auto"/>
        </w:rPr>
        <w:t>. Within thirty (30) days after: (i) receipt by Agent of notice and demand from any Lender for payment of additional costs as provided in Section 2.8(h), which</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39" w:name="page140"/>
    <w:bookmarkEnd w:id="139"/>
    <w:p>
      <w:pPr>
        <w:jc w:val="both"/>
        <w:spacing w:after="0" w:line="307" w:lineRule="auto"/>
        <w:rPr>
          <w:sz w:val="20"/>
          <w:szCs w:val="20"/>
          <w:color w:val="auto"/>
        </w:rPr>
      </w:pPr>
      <w:r>
        <w:rPr>
          <w:rFonts w:ascii="Arial" w:cs="Arial" w:eastAsia="Arial" w:hAnsi="Arial"/>
          <w:sz w:val="16"/>
          <w:szCs w:val="16"/>
          <w:color w:val="auto"/>
        </w:rPr>
        <w:t>demand shall not have been revoked, (ii) any Borrower is required to pay any additional amount to any Lender or any Governmental Authority for the account of any Lender pursuant to Section 2.8(a) through (h), (iii) any Lender is a Defaulted Lender, and the circumstances causing such status shall not have been cured or waived; or (iv) any failure by any Lender to consent to a requested amendment, waiver or modification to any Financing Document in which Required Lenders have already consented to such amendment, waiver or modification but the consent of each Lender, or each Lender affected thereby, is required with respect thereto (each relevant Lender in the foregoing clauses (i) through (iv) being an “</w:t>
      </w:r>
      <w:r>
        <w:rPr>
          <w:rFonts w:ascii="Arial" w:cs="Arial" w:eastAsia="Arial" w:hAnsi="Arial"/>
          <w:sz w:val="16"/>
          <w:szCs w:val="16"/>
          <w:b w:val="1"/>
          <w:bCs w:val="1"/>
          <w:color w:val="auto"/>
        </w:rPr>
        <w:t>Affected Lender</w:t>
      </w:r>
      <w:r>
        <w:rPr>
          <w:rFonts w:ascii="Arial" w:cs="Arial" w:eastAsia="Arial" w:hAnsi="Arial"/>
          <w:sz w:val="16"/>
          <w:szCs w:val="16"/>
          <w:color w:val="auto"/>
        </w:rPr>
        <w:t>”) each of Borrower Representative and Agent may, at its option, notify such Affected Lender and, in the case of Borrowers’ election, Agent, of such Person’s intention to obtain, at Borrowers’ expense, a replacement Lender (“</w:t>
      </w:r>
      <w:r>
        <w:rPr>
          <w:rFonts w:ascii="Arial" w:cs="Arial" w:eastAsia="Arial" w:hAnsi="Arial"/>
          <w:sz w:val="16"/>
          <w:szCs w:val="16"/>
          <w:b w:val="1"/>
          <w:bCs w:val="1"/>
          <w:color w:val="auto"/>
        </w:rPr>
        <w:t>Replacement</w:t>
      </w:r>
      <w:r>
        <w:rPr>
          <w:rFonts w:ascii="Arial" w:cs="Arial" w:eastAsia="Arial" w:hAnsi="Arial"/>
          <w:sz w:val="16"/>
          <w:szCs w:val="16"/>
          <w:color w:val="auto"/>
        </w:rPr>
        <w:t xml:space="preserve"> </w:t>
      </w:r>
      <w:r>
        <w:rPr>
          <w:rFonts w:ascii="Arial" w:cs="Arial" w:eastAsia="Arial" w:hAnsi="Arial"/>
          <w:sz w:val="16"/>
          <w:szCs w:val="16"/>
          <w:b w:val="1"/>
          <w:bCs w:val="1"/>
          <w:color w:val="auto"/>
        </w:rPr>
        <w:t>Lender</w:t>
      </w:r>
      <w:r>
        <w:rPr>
          <w:rFonts w:ascii="Arial" w:cs="Arial" w:eastAsia="Arial" w:hAnsi="Arial"/>
          <w:sz w:val="16"/>
          <w:szCs w:val="16"/>
          <w:color w:val="auto"/>
        </w:rPr>
        <w:t>”) for such Lender, which Replacement Lender shall be an Eligible Assignee and, in the event the Replacement Lender is to replace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 Affected Lender described in the preceding clause (iv), such Replacement Lender consents to the requested amendment, waiver or modification making the replaced Lender an Affected Lender. In the event Borrowers or Agent, as applicable, obtains a Replacement Lender within ninety (90) days following notice of its intention to do so, the Affected Lender shall sell, at par, and assign all of its Loan and funding commitments hereunder to such Replacement Lender in accordance with the procedures set forth in Section 11.17(a);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w:t>
      </w:r>
    </w:p>
    <w:p>
      <w:pPr>
        <w:spacing w:after="0" w:line="181" w:lineRule="exact"/>
        <w:rPr>
          <w:sz w:val="20"/>
          <w:szCs w:val="20"/>
          <w:color w:val="auto"/>
        </w:rPr>
      </w:pPr>
    </w:p>
    <w:p>
      <w:pPr>
        <w:jc w:val="both"/>
        <w:ind w:firstLine="8"/>
        <w:spacing w:after="0" w:line="254" w:lineRule="auto"/>
        <w:tabs>
          <w:tab w:leader="none" w:pos="338" w:val="left"/>
        </w:tabs>
        <w:numPr>
          <w:ilvl w:val="0"/>
          <w:numId w:val="134"/>
        </w:numPr>
        <w:rPr>
          <w:rFonts w:ascii="Arial" w:cs="Arial" w:eastAsia="Arial" w:hAnsi="Arial"/>
          <w:sz w:val="19"/>
          <w:szCs w:val="19"/>
          <w:color w:val="auto"/>
        </w:rPr>
      </w:pPr>
      <w:r>
        <w:rPr>
          <w:rFonts w:ascii="Arial" w:cs="Arial" w:eastAsia="Arial" w:hAnsi="Arial"/>
          <w:sz w:val="19"/>
          <w:szCs w:val="19"/>
          <w:color w:val="auto"/>
        </w:rPr>
        <w:t>Borrowers shall have reimbursed such Lender for its increased costs and additional payments for which it is entitled to reimbursement under Section 2.8(a) through (h), as applicable, of this Agreement through the date of such sale and assignment, and (B) Borrowers shall pay to Agent the $3,500 processing fee in respect of such assignment. In the event that a replaced Lender does not execute an Assignment Agreement pursuant to Section 11.17(a) within five (5) Business Days after receipt by such replaced Lender of notice of replacement pursuant to this Section 11.17(c) and presentation to such replaced Lender of an Assignment Agreement evidencing an assignment pursuant to this Section 11.17(c), such replaced Lender shall be deemed to have consented to the terms of such Assignment Agreement, and any such Assignment Agreement executed by Agent, the Replacement Lender and, to the extent required pursuant to Section 11.17(a), Borrowers, shall be effective for purposes of this Section 11.17(c) and Section 11.17(a). Upon any such assignment and payment, such replaced Lender shall no longer constitute a “</w:t>
      </w:r>
      <w:r>
        <w:rPr>
          <w:rFonts w:ascii="Arial" w:cs="Arial" w:eastAsia="Arial" w:hAnsi="Arial"/>
          <w:sz w:val="19"/>
          <w:szCs w:val="19"/>
          <w:b w:val="1"/>
          <w:bCs w:val="1"/>
          <w:color w:val="auto"/>
        </w:rPr>
        <w:t>Lender</w:t>
      </w:r>
      <w:r>
        <w:rPr>
          <w:rFonts w:ascii="Arial" w:cs="Arial" w:eastAsia="Arial" w:hAnsi="Arial"/>
          <w:sz w:val="19"/>
          <w:szCs w:val="19"/>
          <w:color w:val="auto"/>
        </w:rPr>
        <w:t>” for purposes hereof, other than with respect to such rights and obligations that survive termination as set forth in Section 12.1.</w:t>
      </w:r>
    </w:p>
    <w:p>
      <w:pPr>
        <w:spacing w:after="0" w:line="182" w:lineRule="exact"/>
        <w:rPr>
          <w:rFonts w:ascii="Arial" w:cs="Arial" w:eastAsia="Arial" w:hAnsi="Arial"/>
          <w:sz w:val="19"/>
          <w:szCs w:val="19"/>
          <w:color w:val="auto"/>
        </w:rPr>
      </w:pPr>
    </w:p>
    <w:p>
      <w:pPr>
        <w:ind w:firstLine="1735"/>
        <w:spacing w:after="0" w:line="287" w:lineRule="auto"/>
        <w:tabs>
          <w:tab w:leader="none" w:pos="2606" w:val="left"/>
        </w:tabs>
        <w:numPr>
          <w:ilvl w:val="1"/>
          <w:numId w:val="134"/>
        </w:numPr>
        <w:rPr>
          <w:rFonts w:ascii="Arial" w:cs="Arial" w:eastAsia="Arial" w:hAnsi="Arial"/>
          <w:sz w:val="19"/>
          <w:szCs w:val="19"/>
          <w:color w:val="auto"/>
        </w:rPr>
      </w:pPr>
      <w:r>
        <w:rPr>
          <w:rFonts w:ascii="Arial" w:cs="Arial" w:eastAsia="Arial" w:hAnsi="Arial"/>
          <w:sz w:val="19"/>
          <w:szCs w:val="19"/>
          <w:u w:val="single" w:color="auto"/>
          <w:color w:val="auto"/>
        </w:rPr>
        <w:t>Credit Party Assignments</w:t>
      </w:r>
      <w:r>
        <w:rPr>
          <w:rFonts w:ascii="Arial" w:cs="Arial" w:eastAsia="Arial" w:hAnsi="Arial"/>
          <w:sz w:val="19"/>
          <w:szCs w:val="19"/>
          <w:color w:val="auto"/>
        </w:rPr>
        <w:t>. No Credit Party may assign, delegate or otherwise transfer any of its rights or other obligations hereunder or under any other Financing Document without the prior written consent of Agent and each Lender.</w:t>
      </w:r>
    </w:p>
    <w:p>
      <w:pPr>
        <w:spacing w:after="0" w:line="14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9"/>
          <w:szCs w:val="19"/>
          <w:b w:val="1"/>
          <w:bCs w:val="1"/>
          <w:color w:val="auto"/>
        </w:rPr>
        <w:t xml:space="preserve">Section 11.18 </w:t>
      </w:r>
      <w:r>
        <w:rPr>
          <w:rFonts w:ascii="Arial" w:cs="Arial" w:eastAsia="Arial" w:hAnsi="Arial"/>
          <w:sz w:val="19"/>
          <w:szCs w:val="19"/>
          <w:u w:val="single" w:color="auto"/>
          <w:color w:val="auto"/>
        </w:rPr>
        <w:t>Funding and Settlement Provisions Applicable When Non-Funding Lenders Exist</w:t>
      </w:r>
      <w:r>
        <w:rPr>
          <w:rFonts w:ascii="Arial" w:cs="Arial" w:eastAsia="Arial" w:hAnsi="Arial"/>
          <w:sz w:val="19"/>
          <w:szCs w:val="19"/>
          <w:color w:val="auto"/>
        </w:rPr>
        <w:t>. So long as Agent has not</w:t>
      </w:r>
      <w:r>
        <w:rPr>
          <w:rFonts w:ascii="Arial" w:cs="Arial" w:eastAsia="Arial" w:hAnsi="Arial"/>
          <w:sz w:val="19"/>
          <w:szCs w:val="19"/>
          <w:b w:val="1"/>
          <w:bCs w:val="1"/>
          <w:color w:val="auto"/>
        </w:rPr>
        <w:t xml:space="preserve"> </w:t>
      </w:r>
      <w:r>
        <w:rPr>
          <w:rFonts w:ascii="Arial" w:cs="Arial" w:eastAsia="Arial" w:hAnsi="Arial"/>
          <w:sz w:val="19"/>
          <w:szCs w:val="19"/>
          <w:color w:val="auto"/>
        </w:rPr>
        <w:t>waived the conditions to the funding of Loans set forth in Section 7.2 or Section 2.1, any Lender may deliver a notice to Agent stating that such Lender shall not fund the Term Loan due to the non-satisfaction of one or more conditions to funding Loans set forth in Section 7.2 or Section 2.1, and specifying any such non-satisfied conditions. Any Lender delivering any such notice shall become a non-funding Lender (a “</w:t>
      </w:r>
      <w:r>
        <w:rPr>
          <w:rFonts w:ascii="Arial" w:cs="Arial" w:eastAsia="Arial" w:hAnsi="Arial"/>
          <w:sz w:val="19"/>
          <w:szCs w:val="19"/>
          <w:b w:val="1"/>
          <w:bCs w:val="1"/>
          <w:color w:val="auto"/>
        </w:rPr>
        <w:t>Non-Funding Lender</w:t>
      </w:r>
      <w:r>
        <w:rPr>
          <w:rFonts w:ascii="Arial" w:cs="Arial" w:eastAsia="Arial" w:hAnsi="Arial"/>
          <w:sz w:val="19"/>
          <w:szCs w:val="19"/>
          <w:color w:val="auto"/>
        </w:rPr>
        <w:t xml:space="preserve">”) for purposes of this Agreement commencing on the Business Day following receipt by Agent of such notice, and shall cease to be a Non-Funding Lender on the date on which such Lender has either revoked the effectiveness of such notice or acknowledged in writing to each of Agent the satisfaction of the condition(s) specified in such notice, or Required Lenders waive the conditions to the funding of such Loans giving rise to such notice by Non-Funding Lender. Each Non-Funding Lender shall remain a Lender for purposes of this Agreement to the extent that such Non-Funding Lender has Term Loans outstanding in excess of $0;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during any period of time that any Non-Funding Lender exists, and notwithstanding any provision to the contrary set forth herein, the following provisions shall apply:</w:t>
      </w:r>
    </w:p>
    <w:p>
      <w:pPr>
        <w:spacing w:after="0" w:line="183" w:lineRule="exact"/>
        <w:rPr>
          <w:sz w:val="20"/>
          <w:szCs w:val="20"/>
          <w:color w:val="auto"/>
        </w:rPr>
      </w:pPr>
    </w:p>
    <w:p>
      <w:pPr>
        <w:ind w:left="2600" w:hanging="865"/>
        <w:spacing w:after="0"/>
        <w:tabs>
          <w:tab w:leader="none" w:pos="26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Except as provided in clause (a) above, Term Loan Commitment Amount of each Non-Funding Lender shall</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be deemed to be $0.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40" w:name="page141"/>
    <w:bookmarkEnd w:id="140"/>
    <w:p>
      <w:pPr>
        <w:jc w:val="both"/>
        <w:ind w:firstLine="1735"/>
        <w:spacing w:after="0" w:line="275" w:lineRule="auto"/>
        <w:tabs>
          <w:tab w:leader="none" w:pos="2606"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Term Loan Commitment at any date of determination during such period shall be deemed to be equal to the sum of (i) the aggregate Term Loan Commitment Amounts of all Lenders, other than the Non-Funding Lenders as of such date plus</w:t>
      </w:r>
    </w:p>
    <w:p>
      <w:pPr>
        <w:ind w:left="300" w:hanging="292"/>
        <w:spacing w:after="0"/>
        <w:tabs>
          <w:tab w:leader="none" w:pos="30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the aggregate principal amount outstanding under the Term Loans of all Non-Funding Lenders as of such date.</w:t>
      </w:r>
    </w:p>
    <w:p>
      <w:pPr>
        <w:spacing w:after="0" w:line="177" w:lineRule="exact"/>
        <w:rPr>
          <w:sz w:val="20"/>
          <w:szCs w:val="20"/>
          <w:color w:val="auto"/>
        </w:rPr>
      </w:pPr>
    </w:p>
    <w:tbl>
      <w:tblPr>
        <w:tblLayout w:type="fixed"/>
        <w:tblInd w:w="880" w:type="dxa"/>
        <w:tblCellMar>
          <w:top w:w="0" w:type="dxa"/>
          <w:left w:w="0" w:type="dxa"/>
          <w:bottom w:w="0" w:type="dxa"/>
          <w:right w:w="0" w:type="dxa"/>
        </w:tblCellMar>
      </w:tblPr>
      <w:tr>
        <w:trPr>
          <w:trHeight w:val="241"/>
        </w:trPr>
        <w:tc>
          <w:tcPr>
            <w:tcW w:w="1740" w:type="dxa"/>
            <w:vAlign w:val="bottom"/>
          </w:tcPr>
          <w:p>
            <w:pPr>
              <w:spacing w:after="0"/>
              <w:rPr>
                <w:sz w:val="20"/>
                <w:szCs w:val="20"/>
                <w:color w:val="auto"/>
              </w:rPr>
            </w:pPr>
            <w:r>
              <w:rPr>
                <w:rFonts w:ascii="Arial" w:cs="Arial" w:eastAsia="Arial" w:hAnsi="Arial"/>
                <w:sz w:val="20"/>
                <w:szCs w:val="20"/>
                <w:b w:val="1"/>
                <w:bCs w:val="1"/>
                <w:color w:val="auto"/>
              </w:rPr>
              <w:t>Section 11.19</w:t>
            </w:r>
          </w:p>
        </w:tc>
        <w:tc>
          <w:tcPr>
            <w:tcW w:w="7080" w:type="dxa"/>
            <w:vAlign w:val="bottom"/>
            <w:gridSpan w:val="3"/>
          </w:tcPr>
          <w:p>
            <w:pPr>
              <w:spacing w:after="0"/>
              <w:rPr>
                <w:sz w:val="20"/>
                <w:szCs w:val="20"/>
                <w:color w:val="auto"/>
              </w:rPr>
            </w:pPr>
            <w:r>
              <w:rPr>
                <w:rFonts w:ascii="Arial" w:cs="Arial" w:eastAsia="Arial" w:hAnsi="Arial"/>
                <w:sz w:val="20"/>
                <w:szCs w:val="20"/>
                <w:color w:val="auto"/>
              </w:rPr>
              <w:t>Reserved</w:t>
            </w: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0"/>
        </w:trPr>
        <w:tc>
          <w:tcPr>
            <w:tcW w:w="1740" w:type="dxa"/>
            <w:vAlign w:val="bottom"/>
            <w:vMerge w:val="restart"/>
          </w:tcPr>
          <w:p>
            <w:pPr>
              <w:spacing w:after="0"/>
              <w:rPr>
                <w:sz w:val="20"/>
                <w:szCs w:val="20"/>
                <w:color w:val="auto"/>
              </w:rPr>
            </w:pPr>
            <w:r>
              <w:rPr>
                <w:rFonts w:ascii="Arial" w:cs="Arial" w:eastAsia="Arial" w:hAnsi="Arial"/>
                <w:sz w:val="20"/>
                <w:szCs w:val="20"/>
                <w:b w:val="1"/>
                <w:bCs w:val="1"/>
                <w:color w:val="auto"/>
              </w:rPr>
              <w:t>Section 11.20</w:t>
            </w: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740" w:type="dxa"/>
            <w:vAlign w:val="bottom"/>
            <w:vMerge w:val="continue"/>
          </w:tcPr>
          <w:p>
            <w:pPr>
              <w:spacing w:after="0"/>
              <w:rPr>
                <w:sz w:val="24"/>
                <w:szCs w:val="24"/>
                <w:color w:val="auto"/>
              </w:rPr>
            </w:pPr>
          </w:p>
        </w:tc>
        <w:tc>
          <w:tcPr>
            <w:tcW w:w="7080" w:type="dxa"/>
            <w:vAlign w:val="bottom"/>
            <w:gridSpan w:val="3"/>
          </w:tcPr>
          <w:p>
            <w:pPr>
              <w:spacing w:after="0"/>
              <w:rPr>
                <w:sz w:val="20"/>
                <w:szCs w:val="20"/>
                <w:color w:val="auto"/>
              </w:rPr>
            </w:pPr>
            <w:r>
              <w:rPr>
                <w:rFonts w:ascii="Arial" w:cs="Arial" w:eastAsia="Arial" w:hAnsi="Arial"/>
                <w:sz w:val="20"/>
                <w:szCs w:val="20"/>
                <w:color w:val="auto"/>
                <w:w w:val="92"/>
              </w:rPr>
              <w:t>Definitions. As used in this Article 11, the following terms have the following meanings:</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Approved Fund</w:t>
      </w:r>
      <w:r>
        <w:rPr>
          <w:rFonts w:ascii="Arial" w:cs="Arial" w:eastAsia="Arial" w:hAnsi="Arial"/>
          <w:sz w:val="20"/>
          <w:szCs w:val="20"/>
          <w:color w:val="auto"/>
        </w:rPr>
        <w:t>” means any (a) investment company, fund, trust, securitization vehicle or conduit that is (or will be) engaged in making, purchasing, holding or otherwise investing in commercial loans and similar extensions of credit in the Ordinary Course of Business, or (b) any Person (other than a natural person) which temporarily warehouses loans for any Lender or any entity described in the preceding clause (a) and that, with respect to each of the preceding clauses (a) and (b), is administered or managed by (i) a Lender, (ii) an Affiliate of a Lender, or (iii) a Person (other than a natural person) or an Affiliate of a Person (other than a natural person) that administers or manages a Lender.</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Assignment Agreement</w:t>
      </w:r>
      <w:r>
        <w:rPr>
          <w:rFonts w:ascii="Arial" w:cs="Arial" w:eastAsia="Arial" w:hAnsi="Arial"/>
          <w:sz w:val="20"/>
          <w:szCs w:val="20"/>
          <w:color w:val="auto"/>
        </w:rPr>
        <w:t>” means an assignment agreement in form and substance acceptable to Agent.</w:t>
      </w:r>
    </w:p>
    <w:p>
      <w:pPr>
        <w:spacing w:after="0" w:line="216"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Defaulted Lender</w:t>
      </w:r>
      <w:r>
        <w:rPr>
          <w:rFonts w:ascii="Arial" w:cs="Arial" w:eastAsia="Arial" w:hAnsi="Arial"/>
          <w:sz w:val="19"/>
          <w:szCs w:val="19"/>
          <w:color w:val="auto"/>
        </w:rPr>
        <w:t xml:space="preserve">” means any Lender that (a) has failed, within two (2) Business Days of the date required to be funded or paid, to (i) fund any portion of its Loans, or (ii) pay over to any Credit Party any other amount required to be paid by it hereunder, unless, in the case of clause (i) above, such Lender notifies Agent and Borrower Representative in writing that such failure is the result of such Lender’s good faith determination that a condition precedent to funding (specifically identified and including the particular default, if any) has not been satisfied, (b) has notified any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or the Borrower Representative, acting in good faith, to provide a certification in writing from an authorized officer of such Lender that it will comply with its obligations (and is financially able to meet such obligations) to fund prospective Loans under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Lender shall cease to be a Defaulted Lender pursuant to this clause (c) upon such Credit Party’s receipt of such certification in form and substance satisfactory to it and the Agent, or (d) has, or has a direct or indirect parent company that has, (i) become the subject of a proceeding under any bankruptcy, insolvency or other similar law, or (ii) had appointed for it a receiver, custodian, conservator, trustee, administrator, assignee for the benefit of creditors or similar Person charged with reorganization or liquidation of its business or assets. Any determination by Agent that a Lender is a Defaulted Lender under any one or more of clauses (a) through (d) above shall be conclusive and binding absent manifest error, and such Lender shall be deemed to be a Defaulted Lender upon delivery of written notice of such determination to Borrower Representative and each Lender.</w:t>
      </w:r>
    </w:p>
    <w:p>
      <w:pPr>
        <w:spacing w:after="0" w:line="185"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Eligible Assignee</w:t>
      </w:r>
      <w:r>
        <w:rPr>
          <w:rFonts w:ascii="Arial" w:cs="Arial" w:eastAsia="Arial" w:hAnsi="Arial"/>
          <w:sz w:val="20"/>
          <w:szCs w:val="20"/>
          <w:color w:val="auto"/>
        </w:rPr>
        <w:t xml:space="preserve">” means (a) a Lender, (b) an Affiliate of a Lender, (c) an Approved Fund, and (d) any other Person (other than a natural person) approved by Agent; </w:t>
      </w:r>
      <w:r>
        <w:rPr>
          <w:rFonts w:ascii="Arial" w:cs="Arial" w:eastAsia="Arial" w:hAnsi="Arial"/>
          <w:sz w:val="20"/>
          <w:szCs w:val="20"/>
          <w:i w:val="1"/>
          <w:iCs w:val="1"/>
          <w:color w:val="auto"/>
        </w:rPr>
        <w:t>provided, however</w:t>
      </w:r>
      <w:r>
        <w:rPr>
          <w:rFonts w:ascii="Arial" w:cs="Arial" w:eastAsia="Arial" w:hAnsi="Arial"/>
          <w:sz w:val="20"/>
          <w:szCs w:val="20"/>
          <w:color w:val="auto"/>
        </w:rPr>
        <w:t>, that notwithstanding the foregoing, (x) “</w:t>
      </w:r>
      <w:r>
        <w:rPr>
          <w:rFonts w:ascii="Arial" w:cs="Arial" w:eastAsia="Arial" w:hAnsi="Arial"/>
          <w:sz w:val="20"/>
          <w:szCs w:val="20"/>
          <w:b w:val="1"/>
          <w:bCs w:val="1"/>
          <w:color w:val="auto"/>
        </w:rPr>
        <w:t>Eligible Assignee</w:t>
      </w:r>
      <w:r>
        <w:rPr>
          <w:rFonts w:ascii="Arial" w:cs="Arial" w:eastAsia="Arial" w:hAnsi="Arial"/>
          <w:sz w:val="20"/>
          <w:szCs w:val="20"/>
          <w:color w:val="auto"/>
        </w:rPr>
        <w:t>” shall not include (i) any Borrower or any of a Borrower’s Affiliates or (ii) unless an Event of Default has occurred and is continuing, (A) any hedge fund or private equity fund that is primarily and directly engaged in the business of purchasing distressed debt or (B) any direct competitor of Credit Parties, in each case, as determined by Agent in its reasonable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41" w:name="page142"/>
    <w:bookmarkEnd w:id="141"/>
    <w:p>
      <w:pPr>
        <w:jc w:val="both"/>
        <w:spacing w:after="0" w:line="250" w:lineRule="auto"/>
        <w:rPr>
          <w:sz w:val="20"/>
          <w:szCs w:val="20"/>
          <w:color w:val="auto"/>
        </w:rPr>
      </w:pPr>
      <w:r>
        <w:rPr>
          <w:rFonts w:ascii="Arial" w:cs="Arial" w:eastAsia="Arial" w:hAnsi="Arial"/>
          <w:sz w:val="20"/>
          <w:szCs w:val="20"/>
          <w:color w:val="auto"/>
        </w:rPr>
        <w:t>discretion, and (y) no proposed assignee intending to assume any unfunded portion of the Term Loan Commitment shall be an Eligible Assignee unless such proposed assignee either already holds a portion of such Term Loan Commitment, or has been approved as an Eligible Assignee by Agent.</w:t>
      </w:r>
    </w:p>
    <w:p>
      <w:pPr>
        <w:spacing w:after="0" w:line="180" w:lineRule="exact"/>
        <w:rPr>
          <w:sz w:val="20"/>
          <w:szCs w:val="20"/>
          <w:color w:val="auto"/>
        </w:rPr>
      </w:pPr>
    </w:p>
    <w:p>
      <w:pPr>
        <w:jc w:val="both"/>
        <w:ind w:firstLine="864"/>
        <w:spacing w:after="0" w:line="31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Federal Funds Rate</w:t>
      </w:r>
      <w:r>
        <w:rPr>
          <w:rFonts w:ascii="Arial" w:cs="Arial" w:eastAsia="Arial" w:hAnsi="Arial"/>
          <w:sz w:val="16"/>
          <w:szCs w:val="16"/>
          <w:color w:val="auto"/>
        </w:rPr>
        <w:t xml:space="preserve">” means, for any day, the rate of interest per annum (rounded upwards, if necessary, to the nearest whole multiple of 1/100 of 1%)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6"/>
          <w:szCs w:val="16"/>
          <w:i w:val="1"/>
          <w:iCs w:val="1"/>
          <w:color w:val="auto"/>
        </w:rPr>
        <w:t>provided, however</w:t>
      </w:r>
      <w:r>
        <w:rPr>
          <w:rFonts w:ascii="Arial" w:cs="Arial" w:eastAsia="Arial" w:hAnsi="Arial"/>
          <w:sz w:val="16"/>
          <w:szCs w:val="16"/>
          <w:color w:val="auto"/>
        </w:rPr>
        <w:t>, that (a) if such day is not a Business Day, the Federal Funds Rate for such day shall be such rate on such transactions on the next preceding Business Day, and (b) if no such rate is so published on such next preceding Business Day, the Federal Funds Rate for such day shall be the average rate quoted to Agent on such day on such transactions as determined by Agent.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12 - MISCELLANEOUS</w:t>
      </w:r>
    </w:p>
    <w:p>
      <w:pPr>
        <w:spacing w:after="0" w:line="216"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0"/>
          <w:szCs w:val="20"/>
          <w:b w:val="1"/>
          <w:bCs w:val="1"/>
          <w:color w:val="auto"/>
        </w:rPr>
        <w:t xml:space="preserve">Section 12.1 </w:t>
      </w:r>
      <w:r>
        <w:rPr>
          <w:rFonts w:ascii="Arial" w:cs="Arial" w:eastAsia="Arial" w:hAnsi="Arial"/>
          <w:sz w:val="20"/>
          <w:szCs w:val="20"/>
          <w:u w:val="single" w:color="auto"/>
          <w:color w:val="auto"/>
        </w:rPr>
        <w:t>Survival</w:t>
      </w:r>
      <w:r>
        <w:rPr>
          <w:rFonts w:ascii="Arial" w:cs="Arial" w:eastAsia="Arial" w:hAnsi="Arial"/>
          <w:sz w:val="20"/>
          <w:szCs w:val="20"/>
          <w:color w:val="auto"/>
        </w:rPr>
        <w:t>. All agreements, representations and warranties made herein and in every other Financing</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 shall survive the execution and delivery of this Agreement and the other Financing Documents and the other Financing Documents. The provisions of Section 2.10 and Articles 11 and 12 shall survive the payment of the Obligations (both with respect to any Lender and all Lenders collectively) and any termination of this Agreement and any judgment with respect to any Obligations, including any final foreclosure judgment with respect to any Security Document, and no unpaid or unperformed, current or future, Obligations will merge into any such judgment.</w:t>
      </w:r>
    </w:p>
    <w:p>
      <w:pPr>
        <w:spacing w:after="0" w:line="184"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9"/>
          <w:szCs w:val="19"/>
          <w:b w:val="1"/>
          <w:bCs w:val="1"/>
          <w:color w:val="auto"/>
        </w:rPr>
        <w:t xml:space="preserve">Section 12.2 </w:t>
      </w:r>
      <w:r>
        <w:rPr>
          <w:rFonts w:ascii="Arial" w:cs="Arial" w:eastAsia="Arial" w:hAnsi="Arial"/>
          <w:sz w:val="19"/>
          <w:szCs w:val="19"/>
          <w:u w:val="single" w:color="auto"/>
          <w:color w:val="auto"/>
        </w:rPr>
        <w:t>No Waivers</w:t>
      </w:r>
      <w:r>
        <w:rPr>
          <w:rFonts w:ascii="Arial" w:cs="Arial" w:eastAsia="Arial" w:hAnsi="Arial"/>
          <w:sz w:val="19"/>
          <w:szCs w:val="19"/>
          <w:color w:val="auto"/>
        </w:rPr>
        <w:t>. No failure or delay by Agent or any Lender in exercising any right, power or privilege under</w:t>
      </w:r>
      <w:r>
        <w:rPr>
          <w:rFonts w:ascii="Arial" w:cs="Arial" w:eastAsia="Arial" w:hAnsi="Arial"/>
          <w:sz w:val="19"/>
          <w:szCs w:val="19"/>
          <w:b w:val="1"/>
          <w:bCs w:val="1"/>
          <w:color w:val="auto"/>
        </w:rPr>
        <w:t xml:space="preserve"> </w:t>
      </w:r>
      <w:r>
        <w:rPr>
          <w:rFonts w:ascii="Arial" w:cs="Arial" w:eastAsia="Arial" w:hAnsi="Arial"/>
          <w:sz w:val="19"/>
          <w:szCs w:val="19"/>
          <w:color w:val="auto"/>
        </w:rPr>
        <w:t>any Financing Document shall operate as a waiver thereof nor shall any single or partial exercise thereof preclude any other or further exercise thereof or the exercise of any other right, power or privilege. The rights and remedies herein and therein provided shall be cumulative and not exclusive of any rights or remedies provided by law. Any reference in any Financing Document to the “continuing” nature of any Event of Default shall not be construed as establishing or otherwise indicating that any Borrower or any other Credit Party has the independent right to cure any such Event of Default, but is rather presented merely for convenience should such Event of Default be waived in accordance with the terms of the applicable Financing Documents.</w:t>
      </w:r>
    </w:p>
    <w:p>
      <w:pPr>
        <w:spacing w:after="0" w:line="172"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0"/>
          <w:szCs w:val="20"/>
          <w:b w:val="1"/>
          <w:bCs w:val="1"/>
          <w:color w:val="auto"/>
        </w:rPr>
        <w:t>Section 12.3</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22" w:lineRule="exact"/>
        <w:rPr>
          <w:sz w:val="20"/>
          <w:szCs w:val="20"/>
          <w:color w:val="auto"/>
        </w:rPr>
      </w:pPr>
    </w:p>
    <w:p>
      <w:pPr>
        <w:jc w:val="both"/>
        <w:ind w:firstLine="1735"/>
        <w:spacing w:after="0" w:line="268" w:lineRule="auto"/>
        <w:tabs>
          <w:tab w:leader="none" w:pos="2595" w:val="left"/>
        </w:tabs>
        <w:numPr>
          <w:ilvl w:val="1"/>
          <w:numId w:val="138"/>
        </w:numPr>
        <w:rPr>
          <w:rFonts w:ascii="Arial" w:cs="Arial" w:eastAsia="Arial" w:hAnsi="Arial"/>
          <w:sz w:val="18"/>
          <w:szCs w:val="18"/>
          <w:color w:val="auto"/>
        </w:rPr>
      </w:pPr>
      <w:r>
        <w:rPr>
          <w:rFonts w:ascii="Arial" w:cs="Arial" w:eastAsia="Arial" w:hAnsi="Arial"/>
          <w:sz w:val="18"/>
          <w:szCs w:val="18"/>
          <w:color w:val="auto"/>
        </w:rPr>
        <w:t xml:space="preserve">All notices, requests and other communications to any party hereunder shall be in writing (including prepaid overnight courier, facsimile transmission or similar writing) and shall be given to such party at its address, facsimile number or e-mail address set forth on the signature pages hereof (or, in the case of any such Lender who becomes a Lender after the date hereof, in an assignment agreement or in a notice delivered to Borrower Representative and Agent by the assignee Lender forthwith upon such assignment) or at such other address, facsimile number or e-mail address as such party may hereafter specify for the purpose by notice to Agent and Borrower Representative;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notices, requests or other communications shall be permitted by electronic means only in accordance with the provisions of Section 12.3(b) and (c). Each such notice, request or other communication shall be effective</w:t>
      </w:r>
    </w:p>
    <w:p>
      <w:pPr>
        <w:spacing w:after="0" w:line="4" w:lineRule="exact"/>
        <w:rPr>
          <w:rFonts w:ascii="Arial" w:cs="Arial" w:eastAsia="Arial" w:hAnsi="Arial"/>
          <w:sz w:val="18"/>
          <w:szCs w:val="18"/>
          <w:color w:val="auto"/>
        </w:rPr>
      </w:pPr>
    </w:p>
    <w:p>
      <w:pPr>
        <w:jc w:val="both"/>
        <w:ind w:firstLine="8"/>
        <w:spacing w:after="0" w:line="241" w:lineRule="auto"/>
        <w:tabs>
          <w:tab w:leader="none" w:pos="274" w:val="left"/>
        </w:tabs>
        <w:numPr>
          <w:ilvl w:val="0"/>
          <w:numId w:val="139"/>
        </w:numPr>
        <w:rPr>
          <w:rFonts w:ascii="Arial" w:cs="Arial" w:eastAsia="Arial" w:hAnsi="Arial"/>
          <w:sz w:val="20"/>
          <w:szCs w:val="20"/>
          <w:color w:val="auto"/>
        </w:rPr>
      </w:pPr>
      <w:r>
        <w:rPr>
          <w:rFonts w:ascii="Arial" w:cs="Arial" w:eastAsia="Arial" w:hAnsi="Arial"/>
          <w:sz w:val="20"/>
          <w:szCs w:val="20"/>
          <w:color w:val="auto"/>
        </w:rPr>
        <w:t>if given by facsimile, when such notice is transmitted to the facsimile number specified by this Section and the sender receives a confirmation of transmission from the sending facsimile machine, or (ii) if given by mail, prepaid overnight courier or any other means, when received or when receipt is refused at the applicable address specified by this Section 12.3(a).</w:t>
      </w:r>
    </w:p>
    <w:p>
      <w:pPr>
        <w:spacing w:after="0" w:line="195" w:lineRule="exact"/>
        <w:rPr>
          <w:rFonts w:ascii="Arial" w:cs="Arial" w:eastAsia="Arial" w:hAnsi="Arial"/>
          <w:sz w:val="20"/>
          <w:szCs w:val="20"/>
          <w:color w:val="auto"/>
        </w:rPr>
      </w:pPr>
    </w:p>
    <w:p>
      <w:pPr>
        <w:ind w:firstLine="1735"/>
        <w:spacing w:after="0" w:line="260" w:lineRule="auto"/>
        <w:tabs>
          <w:tab w:leader="none" w:pos="2606" w:val="left"/>
        </w:tabs>
        <w:numPr>
          <w:ilvl w:val="1"/>
          <w:numId w:val="139"/>
        </w:numPr>
        <w:rPr>
          <w:rFonts w:ascii="Arial" w:cs="Arial" w:eastAsia="Arial" w:hAnsi="Arial"/>
          <w:sz w:val="20"/>
          <w:szCs w:val="20"/>
          <w:color w:val="auto"/>
        </w:rPr>
      </w:pPr>
      <w:r>
        <w:rPr>
          <w:rFonts w:ascii="Arial" w:cs="Arial" w:eastAsia="Arial" w:hAnsi="Arial"/>
          <w:sz w:val="20"/>
          <w:szCs w:val="20"/>
          <w:color w:val="auto"/>
        </w:rPr>
        <w:t>Notices and other communications to the parties hereto may be delivered or furnished by electronic communication (including e-mail and Internet or intranet websites) pursuant to</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42" w:name="page143"/>
    <w:bookmarkEnd w:id="142"/>
    <w:p>
      <w:pPr>
        <w:jc w:val="both"/>
        <w:spacing w:after="0" w:line="282" w:lineRule="auto"/>
        <w:rPr>
          <w:sz w:val="20"/>
          <w:szCs w:val="20"/>
          <w:color w:val="auto"/>
        </w:rPr>
      </w:pPr>
      <w:r>
        <w:rPr>
          <w:rFonts w:ascii="Arial" w:cs="Arial" w:eastAsia="Arial" w:hAnsi="Arial"/>
          <w:sz w:val="18"/>
          <w:szCs w:val="18"/>
          <w:color w:val="auto"/>
        </w:rPr>
        <w:t xml:space="preserve">procedures approved from time to time by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foregoing shall not apply to notices sent directly to any Lender if such Lender has notified Agent that it is incapable of receiving notices by electronic communication. Agent or Borrower Representative may, in their discretion, agree to accept notices and other communications to them hereunder by electronic communications pursuant to procedures approved by 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approval of such procedures may be limited to particular notices or communications.</w:t>
      </w:r>
    </w:p>
    <w:p>
      <w:pPr>
        <w:spacing w:after="0" w:line="161" w:lineRule="exact"/>
        <w:rPr>
          <w:sz w:val="20"/>
          <w:szCs w:val="20"/>
          <w:color w:val="auto"/>
        </w:rPr>
      </w:pPr>
    </w:p>
    <w:p>
      <w:pPr>
        <w:jc w:val="both"/>
        <w:ind w:firstLine="1735"/>
        <w:spacing w:after="0" w:line="304" w:lineRule="auto"/>
        <w:tabs>
          <w:tab w:leader="none" w:pos="2595" w:val="left"/>
        </w:tabs>
        <w:numPr>
          <w:ilvl w:val="1"/>
          <w:numId w:val="140"/>
        </w:numPr>
        <w:rPr>
          <w:rFonts w:ascii="Arial" w:cs="Arial" w:eastAsia="Arial" w:hAnsi="Arial"/>
          <w:sz w:val="16"/>
          <w:szCs w:val="16"/>
          <w:color w:val="auto"/>
        </w:rPr>
      </w:pPr>
      <w:r>
        <w:rPr>
          <w:rFonts w:ascii="Arial" w:cs="Arial" w:eastAsia="Arial" w:hAnsi="Arial"/>
          <w:sz w:val="16"/>
          <w:szCs w:val="16"/>
          <w:color w:val="auto"/>
        </w:rPr>
        <w:t>Unless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acknowledgment), and (ii) notices or communications posted to an Internet or intranet website shall be deemed received upon the deemed receipt by the intended recipient at its e-mail address as described in the foregoing clause</w:t>
      </w:r>
    </w:p>
    <w:p>
      <w:pPr>
        <w:spacing w:after="0" w:line="1" w:lineRule="exact"/>
        <w:rPr>
          <w:rFonts w:ascii="Arial" w:cs="Arial" w:eastAsia="Arial" w:hAnsi="Arial"/>
          <w:sz w:val="16"/>
          <w:szCs w:val="16"/>
          <w:color w:val="auto"/>
        </w:rPr>
      </w:pPr>
    </w:p>
    <w:p>
      <w:pPr>
        <w:jc w:val="both"/>
        <w:ind w:firstLine="8"/>
        <w:spacing w:after="0" w:line="241" w:lineRule="auto"/>
        <w:tabs>
          <w:tab w:leader="none" w:pos="244" w:val="left"/>
        </w:tabs>
        <w:numPr>
          <w:ilvl w:val="0"/>
          <w:numId w:val="141"/>
        </w:numPr>
        <w:rPr>
          <w:rFonts w:ascii="Arial" w:cs="Arial" w:eastAsia="Arial" w:hAnsi="Arial"/>
          <w:sz w:val="20"/>
          <w:szCs w:val="20"/>
          <w:color w:val="auto"/>
        </w:rPr>
      </w:pPr>
      <w:r>
        <w:rPr>
          <w:rFonts w:ascii="Arial" w:cs="Arial" w:eastAsia="Arial" w:hAnsi="Arial"/>
          <w:sz w:val="20"/>
          <w:szCs w:val="20"/>
          <w:color w:val="auto"/>
        </w:rPr>
        <w:t xml:space="preserve">of notification that such notice or communication is available and identifying the website address therefor,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if any such notice or other communication is not sent or posted during normal business hours, such notice or communication shall be deemed to have been sent at the opening of business on the next Business Day.</w:t>
      </w:r>
    </w:p>
    <w:p>
      <w:pPr>
        <w:spacing w:after="0" w:line="190"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b w:val="1"/>
          <w:bCs w:val="1"/>
          <w:color w:val="auto"/>
        </w:rPr>
        <w:t xml:space="preserve">Section 12.4 </w:t>
      </w:r>
      <w:r>
        <w:rPr>
          <w:rFonts w:ascii="Arial" w:cs="Arial" w:eastAsia="Arial" w:hAnsi="Arial"/>
          <w:sz w:val="19"/>
          <w:szCs w:val="19"/>
          <w:u w:val="single" w:color="auto"/>
          <w:color w:val="auto"/>
        </w:rPr>
        <w:t>Severability</w:t>
      </w:r>
      <w:r>
        <w:rPr>
          <w:rFonts w:ascii="Arial" w:cs="Arial" w:eastAsia="Arial" w:hAnsi="Arial"/>
          <w:sz w:val="19"/>
          <w:szCs w:val="19"/>
          <w:color w:val="auto"/>
        </w:rPr>
        <w:t>. In case any provision of or obligation under this Agreement or any other Financing Document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162"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 xml:space="preserve">Section 12.5 </w:t>
      </w:r>
      <w:r>
        <w:rPr>
          <w:rFonts w:ascii="Arial" w:cs="Arial" w:eastAsia="Arial" w:hAnsi="Arial"/>
          <w:sz w:val="20"/>
          <w:szCs w:val="20"/>
          <w:u w:val="single" w:color="auto"/>
          <w:color w:val="auto"/>
        </w:rPr>
        <w:t>Headings</w:t>
      </w:r>
      <w:r>
        <w:rPr>
          <w:rFonts w:ascii="Arial" w:cs="Arial" w:eastAsia="Arial" w:hAnsi="Arial"/>
          <w:sz w:val="20"/>
          <w:szCs w:val="20"/>
          <w:color w:val="auto"/>
        </w:rPr>
        <w:t>. Headings and captions used in the Financing Documents (including the Exhibits, Schedules and</w:t>
      </w:r>
      <w:r>
        <w:rPr>
          <w:rFonts w:ascii="Arial" w:cs="Arial" w:eastAsia="Arial" w:hAnsi="Arial"/>
          <w:sz w:val="20"/>
          <w:szCs w:val="20"/>
          <w:b w:val="1"/>
          <w:bCs w:val="1"/>
          <w:color w:val="auto"/>
        </w:rPr>
        <w:t xml:space="preserve"> </w:t>
      </w:r>
      <w:r>
        <w:rPr>
          <w:rFonts w:ascii="Arial" w:cs="Arial" w:eastAsia="Arial" w:hAnsi="Arial"/>
          <w:sz w:val="20"/>
          <w:szCs w:val="20"/>
          <w:color w:val="auto"/>
        </w:rPr>
        <w:t>Annexes hereto and thereto) are included for convenience of reference only and shall not be given any substantive effect.</w:t>
      </w:r>
    </w:p>
    <w:p>
      <w:pPr>
        <w:spacing w:after="0" w:line="163"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9"/>
          <w:szCs w:val="19"/>
          <w:b w:val="1"/>
          <w:bCs w:val="1"/>
          <w:color w:val="auto"/>
        </w:rPr>
        <w:t xml:space="preserve">Section 12.6 </w:t>
      </w:r>
      <w:r>
        <w:rPr>
          <w:rFonts w:ascii="Arial" w:cs="Arial" w:eastAsia="Arial" w:hAnsi="Arial"/>
          <w:sz w:val="19"/>
          <w:szCs w:val="19"/>
          <w:u w:val="single" w:color="auto"/>
          <w:color w:val="auto"/>
        </w:rPr>
        <w:t>Confidentiality</w:t>
      </w:r>
      <w:r>
        <w:rPr>
          <w:rFonts w:ascii="Arial" w:cs="Arial" w:eastAsia="Arial" w:hAnsi="Arial"/>
          <w:sz w:val="19"/>
          <w:szCs w:val="19"/>
          <w:color w:val="auto"/>
        </w:rPr>
        <w:t>. Agent and each Lender shall hold all non-public information regarding the Credit Parties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their respective businesses and obtained by Agent or any Lender pursuant to the requirements hereof in accordance with such Person’s customary procedures for handling information of such nature, except that disclosure of such information may be made (i) to their respective agents, employees, Subsidiaries, Affiliates, attorneys, auditors, professional consultants, rating agencies, insurance industry associations and portfolio management services, (ii) to prospective transferees or purchasers of any interest in the Loans, Agent or a Lender,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any such Persons are bound by obligations of confidentiality, (iii) as required by Law, subpoena, judicial order or similar order</w:t>
      </w:r>
      <w:r>
        <w:rPr>
          <w:rFonts w:ascii="Arial" w:cs="Arial" w:eastAsia="Arial" w:hAnsi="Arial"/>
          <w:sz w:val="19"/>
          <w:szCs w:val="19"/>
          <w:i w:val="1"/>
          <w:iCs w:val="1"/>
          <w:color w:val="auto"/>
        </w:rPr>
        <w:t xml:space="preserve"> </w:t>
      </w:r>
      <w:r>
        <w:rPr>
          <w:rFonts w:ascii="Arial" w:cs="Arial" w:eastAsia="Arial" w:hAnsi="Arial"/>
          <w:sz w:val="19"/>
          <w:szCs w:val="19"/>
          <w:color w:val="auto"/>
        </w:rPr>
        <w:t>and in connection with any litigation, (iv) as may be required in connection with the examination, audit or similar investigation of such Person, and (v) to a Person that is a trustee, investment advisor or investment manager, collateral manager, servicer, noteholder or secured party in a Securitization (as hereinafter defined) in connection with the administration, servicing and reporting on the assets serving as collateral for such Securitization. For the purposes of this Section, “</w:t>
      </w:r>
      <w:r>
        <w:rPr>
          <w:rFonts w:ascii="Arial" w:cs="Arial" w:eastAsia="Arial" w:hAnsi="Arial"/>
          <w:sz w:val="19"/>
          <w:szCs w:val="19"/>
          <w:b w:val="1"/>
          <w:bCs w:val="1"/>
          <w:color w:val="auto"/>
        </w:rPr>
        <w:t>Securitization</w:t>
      </w:r>
      <w:r>
        <w:rPr>
          <w:rFonts w:ascii="Arial" w:cs="Arial" w:eastAsia="Arial" w:hAnsi="Arial"/>
          <w:sz w:val="19"/>
          <w:szCs w:val="19"/>
          <w:color w:val="auto"/>
        </w:rPr>
        <w:t xml:space="preserve">” shall mean (A) the pledge of the Loans as collateral security for loans to a Lender, or (B) a public or private offering by a Lender or any of its Affiliates or their respective successors and assigns, of securities which represent an interest in, or which are collateralized, in whole or in part, by the Loans. Confidential information shall include only such information identified as such at the time provided to Agent and shall not include information that either: (y) is in the public domain, or becomes part of the public domain after disclosure to such Person through no fault of such Person, or (z) is disclosed to such Person by a Person other than a Credit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Agent does not have actual knowledge that such Person is prohibited from disclosing such information. The obligations of Agent and Lenders under this Section 12.6 shall supersede and replace the obligations of Agent and Lenders under any confidentiality agreement in respect of this financing executed and delivered by Agent or any Lender prior to the date hereof.</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43" w:name="page144"/>
    <w:bookmarkEnd w:id="143"/>
    <w:p>
      <w:pPr>
        <w:jc w:val="both"/>
        <w:ind w:firstLine="864"/>
        <w:spacing w:after="0" w:line="243" w:lineRule="auto"/>
        <w:rPr>
          <w:sz w:val="20"/>
          <w:szCs w:val="20"/>
          <w:color w:val="auto"/>
        </w:rPr>
      </w:pPr>
      <w:r>
        <w:rPr>
          <w:rFonts w:ascii="Arial" w:cs="Arial" w:eastAsia="Arial" w:hAnsi="Arial"/>
          <w:sz w:val="20"/>
          <w:szCs w:val="20"/>
          <w:b w:val="1"/>
          <w:bCs w:val="1"/>
          <w:color w:val="auto"/>
        </w:rPr>
        <w:t xml:space="preserve">Section 12.7 </w:t>
      </w:r>
      <w:r>
        <w:rPr>
          <w:rFonts w:ascii="Arial" w:cs="Arial" w:eastAsia="Arial" w:hAnsi="Arial"/>
          <w:sz w:val="20"/>
          <w:szCs w:val="20"/>
          <w:u w:val="single" w:color="auto"/>
          <w:color w:val="auto"/>
        </w:rPr>
        <w:t>Waiver of Consequential and Other Damages</w:t>
      </w:r>
      <w:r>
        <w:rPr>
          <w:rFonts w:ascii="Arial" w:cs="Arial" w:eastAsia="Arial" w:hAnsi="Arial"/>
          <w:sz w:val="20"/>
          <w:szCs w:val="20"/>
          <w:color w:val="auto"/>
        </w:rPr>
        <w:t>. To the fullest extent permitted by applicable Law, no</w:t>
      </w:r>
      <w:r>
        <w:rPr>
          <w:rFonts w:ascii="Arial" w:cs="Arial" w:eastAsia="Arial" w:hAnsi="Arial"/>
          <w:sz w:val="20"/>
          <w:szCs w:val="20"/>
          <w:b w:val="1"/>
          <w:bCs w:val="1"/>
          <w:color w:val="auto"/>
        </w:rPr>
        <w:t xml:space="preserve"> </w:t>
      </w:r>
      <w:r>
        <w:rPr>
          <w:rFonts w:ascii="Arial" w:cs="Arial" w:eastAsia="Arial" w:hAnsi="Arial"/>
          <w:sz w:val="20"/>
          <w:szCs w:val="20"/>
          <w:color w:val="auto"/>
        </w:rPr>
        <w:t>Borrower shall assert, and each Borrower hereby waives, any claim against any Indemnitee (as defined below), on any theory of liability, for special, indirect, consequential or punitive damages (as opposed to direct or actual damages) arising out of, in connection with, or as a result of this Agreement, any other Financing Document or any agreement or instrument contemplated hereby or thereby, the transactions contemplated hereby or thereby, any Loan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Financing Documents or the transactions contemplated hereby or thereby.</w:t>
      </w:r>
    </w:p>
    <w:p>
      <w:pPr>
        <w:spacing w:after="0" w:line="189"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0"/>
          <w:szCs w:val="20"/>
          <w:b w:val="1"/>
          <w:bCs w:val="1"/>
          <w:color w:val="auto"/>
        </w:rPr>
        <w:t>Section 12.8</w:t>
      </w:r>
      <w:r>
        <w:rPr>
          <w:sz w:val="20"/>
          <w:szCs w:val="20"/>
          <w:color w:val="auto"/>
        </w:rPr>
        <w:tab/>
      </w:r>
      <w:r>
        <w:rPr>
          <w:rFonts w:ascii="Arial" w:cs="Arial" w:eastAsia="Arial" w:hAnsi="Arial"/>
          <w:sz w:val="19"/>
          <w:szCs w:val="19"/>
          <w:u w:val="single" w:color="auto"/>
          <w:color w:val="auto"/>
        </w:rPr>
        <w:t>GOVERNING LAW; SUBMISSION TO JURISDICTION</w:t>
      </w:r>
      <w:r>
        <w:rPr>
          <w:rFonts w:ascii="Arial" w:cs="Arial" w:eastAsia="Arial" w:hAnsi="Arial"/>
          <w:sz w:val="19"/>
          <w:szCs w:val="19"/>
          <w:color w:val="auto"/>
        </w:rPr>
        <w:t>.</w:t>
      </w:r>
    </w:p>
    <w:p>
      <w:pPr>
        <w:spacing w:after="0" w:line="222" w:lineRule="exact"/>
        <w:rPr>
          <w:sz w:val="20"/>
          <w:szCs w:val="20"/>
          <w:color w:val="auto"/>
        </w:rPr>
      </w:pPr>
    </w:p>
    <w:p>
      <w:pPr>
        <w:jc w:val="both"/>
        <w:ind w:firstLine="1735"/>
        <w:spacing w:after="0" w:line="244" w:lineRule="auto"/>
        <w:tabs>
          <w:tab w:leader="none" w:pos="2595" w:val="left"/>
        </w:tabs>
        <w:numPr>
          <w:ilvl w:val="0"/>
          <w:numId w:val="142"/>
        </w:numPr>
        <w:rPr>
          <w:rFonts w:ascii="Arial" w:cs="Arial" w:eastAsia="Arial" w:hAnsi="Arial"/>
          <w:sz w:val="20"/>
          <w:szCs w:val="20"/>
          <w:color w:val="auto"/>
        </w:rPr>
      </w:pPr>
      <w:r>
        <w:rPr>
          <w:rFonts w:ascii="Arial" w:cs="Arial" w:eastAsia="Arial" w:hAnsi="Arial"/>
          <w:sz w:val="20"/>
          <w:szCs w:val="20"/>
          <w:color w:val="auto"/>
        </w:rPr>
        <w:t>THIS AGREEMENT, EACH NOTE AND EACH OTHER FINANCING DOCUMENT, AND ALL DISPUTES AND OTHER MATTERS RELATING HERETO OR THERETO OR ARISING THEREFROM (WHETHER SOUNDING IN CONTRACT LAW, TORT LAW OR OTHERWISE), SHALL BE GOVERNED BY, AND SHALL BE CONSTRUED AND ENFORCED IN ACCORDANCE WITH, THE LAWS OF THE STATE OF NEW YORK, WITHOUT REGARD TO CONFLICTS OF LAWS PRINCIPLES.</w:t>
      </w:r>
    </w:p>
    <w:p>
      <w:pPr>
        <w:spacing w:after="0" w:line="194" w:lineRule="exact"/>
        <w:rPr>
          <w:rFonts w:ascii="Arial" w:cs="Arial" w:eastAsia="Arial" w:hAnsi="Arial"/>
          <w:sz w:val="20"/>
          <w:szCs w:val="20"/>
          <w:color w:val="auto"/>
        </w:rPr>
      </w:pPr>
    </w:p>
    <w:p>
      <w:pPr>
        <w:jc w:val="both"/>
        <w:ind w:firstLine="1735"/>
        <w:spacing w:after="0" w:line="241" w:lineRule="auto"/>
        <w:tabs>
          <w:tab w:leader="none" w:pos="2606" w:val="left"/>
        </w:tabs>
        <w:numPr>
          <w:ilvl w:val="0"/>
          <w:numId w:val="142"/>
        </w:numPr>
        <w:rPr>
          <w:rFonts w:ascii="Arial" w:cs="Arial" w:eastAsia="Arial" w:hAnsi="Arial"/>
          <w:sz w:val="20"/>
          <w:szCs w:val="20"/>
          <w:color w:val="auto"/>
        </w:rPr>
      </w:pPr>
      <w:r>
        <w:rPr>
          <w:rFonts w:ascii="Arial" w:cs="Arial" w:eastAsia="Arial" w:hAnsi="Arial"/>
          <w:sz w:val="20"/>
          <w:szCs w:val="20"/>
          <w:color w:val="auto"/>
        </w:rPr>
        <w:t>EACH BORROWER HEREBY CONSENTS TO THE JURISDICTION OF ANY STATE OR FEDERAL COURT LOCATED IN THE STATE OF NEW YORK IN THE CITY OF NEW YORK, BOROUGH OF MANHATTAN, AND IRREVOCABLY AGREES THAT, SUBJECT TO AGENT’S ELECTION, ALL ACTIONS OR PROCEEDINGS ARISING OUT OF OR RELATING TO THIS AGREEMENT OR THE OTHER FINANCING DOCUMENTS SHALL BE LITIGATED IN SUCH COURTS. EACH BORROWER EXPRESSLY SUBMITS AND CONSENTS TO THE JURISDICTION OF THE AFORESAID COURTS AND WAIVES ANY DEFENSE OF FORUM NON CONVENIENS. EACH BORROWER HEREBY WAIVES PERSONAL SERVICE OF ANY AND ALL PROCESS AND AGREES THAT ALL SUCH SERVICE OF PROCESS MAY BE MADE UPON SUCH BORROWER BY CERTIFIED OR REGISTERED MAIL, RETURN RECEIPT REQUESTED, ADDRESSED TO SUCH BORROWER AT THE ADDRESS SET FORTH IN THIS AGREEMENT AND SERVICE SO MADE SHALL BE COMPLETE TEN (10) DAYS AFTER THE SAME HAS BEEN POSTED.</w:t>
      </w:r>
    </w:p>
    <w:p>
      <w:pPr>
        <w:spacing w:after="0" w:line="201" w:lineRule="exact"/>
        <w:rPr>
          <w:rFonts w:ascii="Arial" w:cs="Arial" w:eastAsia="Arial" w:hAnsi="Arial"/>
          <w:sz w:val="20"/>
          <w:szCs w:val="20"/>
          <w:color w:val="auto"/>
        </w:rPr>
      </w:pPr>
    </w:p>
    <w:p>
      <w:pPr>
        <w:jc w:val="both"/>
        <w:ind w:firstLine="1735"/>
        <w:spacing w:after="0" w:line="291" w:lineRule="auto"/>
        <w:tabs>
          <w:tab w:leader="none" w:pos="259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Each Borrower, Agent and each Lender agree that each Loan (including those made on the Closing Date) shall be deemed to be made in, and the transactions contemplated hereunder and in any other Financing Document shall be deemed to have been performed in, the State of Maryland. Nothing in this Section 12.8(c) shall amend or modify Sections 12.8(a) or (b) in any respect.</w:t>
      </w:r>
    </w:p>
    <w:p>
      <w:pPr>
        <w:spacing w:after="0" w:line="146" w:lineRule="exact"/>
        <w:rPr>
          <w:sz w:val="20"/>
          <w:szCs w:val="20"/>
          <w:color w:val="auto"/>
        </w:rPr>
      </w:pPr>
    </w:p>
    <w:p>
      <w:pPr>
        <w:ind w:left="880"/>
        <w:spacing w:after="0"/>
        <w:tabs>
          <w:tab w:leader="none" w:pos="2560" w:val="left"/>
          <w:tab w:leader="none" w:pos="5400" w:val="left"/>
        </w:tabs>
        <w:rPr>
          <w:sz w:val="20"/>
          <w:szCs w:val="20"/>
          <w:color w:val="auto"/>
        </w:rPr>
      </w:pPr>
      <w:r>
        <w:rPr>
          <w:rFonts w:ascii="Arial" w:cs="Arial" w:eastAsia="Arial" w:hAnsi="Arial"/>
          <w:sz w:val="20"/>
          <w:szCs w:val="20"/>
          <w:b w:val="1"/>
          <w:bCs w:val="1"/>
          <w:color w:val="auto"/>
        </w:rPr>
        <w:t>Section 12.9</w:t>
      </w:r>
      <w:r>
        <w:rPr>
          <w:sz w:val="20"/>
          <w:szCs w:val="20"/>
          <w:color w:val="auto"/>
        </w:rPr>
        <w:tab/>
      </w:r>
      <w:r>
        <w:rPr>
          <w:rFonts w:ascii="Arial" w:cs="Arial" w:eastAsia="Arial" w:hAnsi="Arial"/>
          <w:sz w:val="20"/>
          <w:szCs w:val="20"/>
          <w:b w:val="1"/>
          <w:bCs w:val="1"/>
          <w:u w:val="single" w:color="auto"/>
          <w:color w:val="auto"/>
        </w:rPr>
        <w:t>WAIVER OF JURY TRIAL</w:t>
      </w:r>
      <w:r>
        <w:rPr>
          <w:rFonts w:ascii="Arial" w:cs="Arial" w:eastAsia="Arial" w:hAnsi="Arial"/>
          <w:sz w:val="20"/>
          <w:szCs w:val="20"/>
          <w:color w:val="auto"/>
        </w:rPr>
        <w:t>.</w:t>
      </w:r>
      <w:r>
        <w:rPr>
          <w:sz w:val="20"/>
          <w:szCs w:val="20"/>
          <w:color w:val="auto"/>
        </w:rPr>
        <w:tab/>
      </w:r>
      <w:r>
        <w:rPr>
          <w:rFonts w:ascii="Arial" w:cs="Arial" w:eastAsia="Arial" w:hAnsi="Arial"/>
          <w:sz w:val="20"/>
          <w:szCs w:val="20"/>
          <w:b w:val="1"/>
          <w:bCs w:val="1"/>
          <w:color w:val="auto"/>
        </w:rPr>
        <w:t>EACH BORROWER, AGENT AND THE LENDERS HEREBY</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b w:val="1"/>
          <w:bCs w:val="1"/>
          <w:color w:val="auto"/>
        </w:rPr>
        <w:t>IRREVOCABLY WAIVES ANY AND ALL RIGHT TO TRIAL BY JURY IN ANY LEGAL ACTION OR PROCEEDING ARISING OUT OF OR RELATING TO THE FINANCING DOCUMENTS OR THE TRANSACTIONS CONTEMPLATED THEREBY AND AGREES THAT ANY SUCH ACTION OR PROCEEDING SHALL BE TRIED BEFORE A COURT AND NOT BEFORE A JURY. EACH BORROWER, AGENT AND EACH LENDER ACKNOWLEDGES THAT THIS WAIVER IS A MATERIAL INDUCEMENT TO ENTER INTO A BUSINESS RELATIONSHIP, THAT EACH HAS RELIED ON THE WAIVER IN ENTERING INTO THIS AGREEMENT AND THE OTHER FINANCING DOCUMENTS, AND THAT EACH WILL CONTINUE TO RELY ON THIS WAIVER IN THEIR RELATED FUTURE DEALINGS. EACH BORROWER, AGENT AND EACH LENDER WARRANTS AND REPRESENTS THAT IT HAS HAD THE OPPORTUNITY OF REVIEWING THIS JURY WAIVER WITH LEGAL</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4" w:name="page145"/>
    <w:bookmarkEnd w:id="144"/>
    <w:p>
      <w:pPr>
        <w:spacing w:after="0"/>
        <w:rPr>
          <w:sz w:val="20"/>
          <w:szCs w:val="20"/>
          <w:color w:val="auto"/>
        </w:rPr>
      </w:pPr>
      <w:r>
        <w:rPr>
          <w:rFonts w:ascii="Arial" w:cs="Arial" w:eastAsia="Arial" w:hAnsi="Arial"/>
          <w:sz w:val="20"/>
          <w:szCs w:val="20"/>
          <w:b w:val="1"/>
          <w:bCs w:val="1"/>
          <w:color w:val="auto"/>
        </w:rPr>
        <w:t>COUNSEL, AND THAT IT KNOWINGLY AND VOLUNTARILY WAIVES ITS JURY TRIAL RIGHTS.</w:t>
      </w:r>
    </w:p>
    <w:p>
      <w:pPr>
        <w:spacing w:after="0" w:line="216"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0"/>
          <w:szCs w:val="20"/>
          <w:b w:val="1"/>
          <w:bCs w:val="1"/>
          <w:color w:val="auto"/>
        </w:rPr>
        <w:t>Section 12.10</w:t>
      </w:r>
      <w:r>
        <w:rPr>
          <w:sz w:val="20"/>
          <w:szCs w:val="20"/>
          <w:color w:val="auto"/>
        </w:rPr>
        <w:tab/>
      </w:r>
      <w:r>
        <w:rPr>
          <w:rFonts w:ascii="Arial" w:cs="Arial" w:eastAsia="Arial" w:hAnsi="Arial"/>
          <w:sz w:val="18"/>
          <w:szCs w:val="18"/>
          <w:u w:val="single" w:color="auto"/>
          <w:color w:val="auto"/>
        </w:rPr>
        <w:t>Publication; Advertisement</w:t>
      </w:r>
      <w:r>
        <w:rPr>
          <w:rFonts w:ascii="Arial" w:cs="Arial" w:eastAsia="Arial" w:hAnsi="Arial"/>
          <w:sz w:val="18"/>
          <w:szCs w:val="18"/>
          <w:color w:val="auto"/>
        </w:rPr>
        <w:t>.</w:t>
      </w:r>
    </w:p>
    <w:p>
      <w:pPr>
        <w:spacing w:after="0" w:line="222" w:lineRule="exact"/>
        <w:rPr>
          <w:sz w:val="20"/>
          <w:szCs w:val="20"/>
          <w:color w:val="auto"/>
        </w:rPr>
      </w:pPr>
    </w:p>
    <w:p>
      <w:pPr>
        <w:jc w:val="both"/>
        <w:ind w:firstLine="1735"/>
        <w:spacing w:after="0" w:line="260" w:lineRule="auto"/>
        <w:tabs>
          <w:tab w:leader="none" w:pos="2595"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Publication</w:t>
      </w:r>
      <w:r>
        <w:rPr>
          <w:rFonts w:ascii="Arial" w:cs="Arial" w:eastAsia="Arial" w:hAnsi="Arial"/>
          <w:sz w:val="19"/>
          <w:szCs w:val="19"/>
          <w:color w:val="auto"/>
        </w:rPr>
        <w:t>. No Credit Party will directly or indirectly publish, disclose or otherwise use in any advertising material, promotional material, press release or interview, any reference to the name, logo or any trademark of MCF or any of its Affiliates or any reference to this Agreement or the financing evidenced hereby, in any case except (i) as required by Law, subpoena or judicial or similar order, in which case the applicable Credit Party shall, to the extent legally permitted to do so, give Agent prior written notice of such publication or other disclosure, or (ii) with MCF’s prior written consent.</w:t>
      </w:r>
    </w:p>
    <w:p>
      <w:pPr>
        <w:spacing w:after="0" w:line="180" w:lineRule="exact"/>
        <w:rPr>
          <w:rFonts w:ascii="Arial" w:cs="Arial" w:eastAsia="Arial" w:hAnsi="Arial"/>
          <w:sz w:val="19"/>
          <w:szCs w:val="19"/>
          <w:color w:val="auto"/>
        </w:rPr>
      </w:pPr>
    </w:p>
    <w:p>
      <w:pPr>
        <w:jc w:val="both"/>
        <w:ind w:firstLine="1735"/>
        <w:spacing w:after="0" w:line="241" w:lineRule="auto"/>
        <w:tabs>
          <w:tab w:leader="none" w:pos="2606" w:val="left"/>
        </w:tabs>
        <w:numPr>
          <w:ilvl w:val="0"/>
          <w:numId w:val="143"/>
        </w:numPr>
        <w:rPr>
          <w:rFonts w:ascii="Arial" w:cs="Arial" w:eastAsia="Arial" w:hAnsi="Arial"/>
          <w:sz w:val="20"/>
          <w:szCs w:val="20"/>
          <w:color w:val="auto"/>
        </w:rPr>
      </w:pPr>
      <w:r>
        <w:rPr>
          <w:rFonts w:ascii="Arial" w:cs="Arial" w:eastAsia="Arial" w:hAnsi="Arial"/>
          <w:sz w:val="20"/>
          <w:szCs w:val="20"/>
          <w:u w:val="single" w:color="auto"/>
          <w:color w:val="auto"/>
        </w:rPr>
        <w:t>Advertisement</w:t>
      </w:r>
      <w:r>
        <w:rPr>
          <w:rFonts w:ascii="Arial" w:cs="Arial" w:eastAsia="Arial" w:hAnsi="Arial"/>
          <w:sz w:val="20"/>
          <w:szCs w:val="20"/>
          <w:color w:val="auto"/>
        </w:rPr>
        <w:t>. Each Lender and each Credit Party hereby authorizes MCF to publish the name of such Lender and Credit Party, the existence of the financing arrangements referenced under this Agreement, the primary purpose and/or structure of those arrangements, the amount of credit extended under each facility, the title and role of each party to this Agreement, and the total amount of the financing evidenced hereby in any “tombstone”, comparable advertisement or press release which MCF elects to submit for publication. In addition, each Lender and each Credit Party agrees that MCF may provide lending industry trade organizations with information necessary and customary for inclusion in league table measurements after the Closing Date. With respect to any of the foregoing, MCF shall provide Borrowers with an opportunity to review and confer with MCF regarding the contents of any such tombstone, advertisement or information, as applicable, prior to its submission for publication and, following such review period, MCF may, from time to time, publish such information in any media form desired by MCF, until such time that Borrowers shall have requested MCF cease any such further publication.</w:t>
      </w:r>
    </w:p>
    <w:p>
      <w:pPr>
        <w:spacing w:after="0" w:line="196"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8"/>
          <w:szCs w:val="18"/>
          <w:b w:val="1"/>
          <w:bCs w:val="1"/>
          <w:color w:val="auto"/>
        </w:rPr>
        <w:t xml:space="preserve">Section 12.11 </w:t>
      </w:r>
      <w:r>
        <w:rPr>
          <w:rFonts w:ascii="Arial" w:cs="Arial" w:eastAsia="Arial" w:hAnsi="Arial"/>
          <w:sz w:val="18"/>
          <w:szCs w:val="18"/>
          <w:u w:val="single" w:color="auto"/>
          <w:color w:val="auto"/>
        </w:rPr>
        <w:t>Counterparts; Integration</w:t>
      </w:r>
      <w:r>
        <w:rPr>
          <w:rFonts w:ascii="Arial" w:cs="Arial" w:eastAsia="Arial" w:hAnsi="Arial"/>
          <w:sz w:val="18"/>
          <w:szCs w:val="18"/>
          <w:color w:val="auto"/>
        </w:rPr>
        <w:t>. This Agreement and the other Financing Documents may be signed in any</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counterparts, each of which shall be an original, with the same effect as if the signatures thereto and hereto were upon the same instrument. Signatures by facsimile or by electronic mail delivery of an electronic version of any executed signature page shall bind the parties hereto. This Agreement and the other Financing Documents constitute the entire agreement and understanding among the parties hereto and supersede any and all prior agreements and understandings, oral or written, relating to the subject matter hereof.</w:t>
      </w:r>
    </w:p>
    <w:p>
      <w:pPr>
        <w:spacing w:after="0" w:line="156"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b w:val="1"/>
          <w:bCs w:val="1"/>
          <w:color w:val="auto"/>
        </w:rPr>
        <w:t xml:space="preserve">Section 12.12 </w:t>
      </w:r>
      <w:r>
        <w:rPr>
          <w:rFonts w:ascii="Arial" w:cs="Arial" w:eastAsia="Arial" w:hAnsi="Arial"/>
          <w:sz w:val="20"/>
          <w:szCs w:val="20"/>
          <w:u w:val="single" w:color="auto"/>
          <w:color w:val="auto"/>
        </w:rPr>
        <w:t>No Strict Construction</w:t>
      </w:r>
      <w:r>
        <w:rPr>
          <w:rFonts w:ascii="Arial" w:cs="Arial" w:eastAsia="Arial" w:hAnsi="Arial"/>
          <w:sz w:val="20"/>
          <w:szCs w:val="20"/>
          <w:color w:val="auto"/>
        </w:rPr>
        <w:t>. The parties hereto have participated jointly in the negotiation and drafting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83" w:lineRule="exact"/>
        <w:rPr>
          <w:sz w:val="20"/>
          <w:szCs w:val="20"/>
          <w:color w:val="auto"/>
        </w:rPr>
      </w:pPr>
    </w:p>
    <w:p>
      <w:pPr>
        <w:jc w:val="both"/>
        <w:ind w:right="20" w:firstLine="864"/>
        <w:spacing w:after="0" w:line="253" w:lineRule="auto"/>
        <w:rPr>
          <w:sz w:val="20"/>
          <w:szCs w:val="20"/>
          <w:color w:val="auto"/>
        </w:rPr>
      </w:pPr>
      <w:r>
        <w:rPr>
          <w:rFonts w:ascii="Arial" w:cs="Arial" w:eastAsia="Arial" w:hAnsi="Arial"/>
          <w:sz w:val="20"/>
          <w:szCs w:val="20"/>
          <w:b w:val="1"/>
          <w:bCs w:val="1"/>
          <w:color w:val="auto"/>
        </w:rPr>
        <w:t xml:space="preserve">Section 12.13 </w:t>
      </w:r>
      <w:r>
        <w:rPr>
          <w:rFonts w:ascii="Arial" w:cs="Arial" w:eastAsia="Arial" w:hAnsi="Arial"/>
          <w:sz w:val="20"/>
          <w:szCs w:val="20"/>
          <w:u w:val="single" w:color="auto"/>
          <w:color w:val="auto"/>
        </w:rPr>
        <w:t>Lender Approvals</w:t>
      </w:r>
      <w:r>
        <w:rPr>
          <w:rFonts w:ascii="Arial" w:cs="Arial" w:eastAsia="Arial" w:hAnsi="Arial"/>
          <w:sz w:val="20"/>
          <w:szCs w:val="20"/>
          <w:color w:val="auto"/>
        </w:rPr>
        <w:t>. Unless expressly provided herein to the contrary, any approval, consent, waiver or</w:t>
      </w:r>
      <w:r>
        <w:rPr>
          <w:rFonts w:ascii="Arial" w:cs="Arial" w:eastAsia="Arial" w:hAnsi="Arial"/>
          <w:sz w:val="20"/>
          <w:szCs w:val="20"/>
          <w:b w:val="1"/>
          <w:bCs w:val="1"/>
          <w:color w:val="auto"/>
        </w:rPr>
        <w:t xml:space="preserve"> </w:t>
      </w:r>
      <w:r>
        <w:rPr>
          <w:rFonts w:ascii="Arial" w:cs="Arial" w:eastAsia="Arial" w:hAnsi="Arial"/>
          <w:sz w:val="20"/>
          <w:szCs w:val="20"/>
          <w:color w:val="auto"/>
        </w:rPr>
        <w:t>satisfaction of Agent or Lenders with respect to any matter that is the subject of this Agreement, the other Financing Documents may be granted or withheld by Agent and Lenders in their sole and absolute discretion and credit judgment.</w:t>
      </w:r>
    </w:p>
    <w:p>
      <w:pPr>
        <w:spacing w:after="0" w:line="177"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0"/>
          <w:szCs w:val="20"/>
          <w:b w:val="1"/>
          <w:bCs w:val="1"/>
          <w:color w:val="auto"/>
        </w:rPr>
        <w:t>Section 12.14</w:t>
      </w:r>
      <w:r>
        <w:rPr>
          <w:sz w:val="20"/>
          <w:szCs w:val="20"/>
          <w:color w:val="auto"/>
        </w:rPr>
        <w:tab/>
      </w:r>
      <w:r>
        <w:rPr>
          <w:rFonts w:ascii="Arial" w:cs="Arial" w:eastAsia="Arial" w:hAnsi="Arial"/>
          <w:sz w:val="18"/>
          <w:szCs w:val="18"/>
          <w:u w:val="single" w:color="auto"/>
          <w:color w:val="auto"/>
        </w:rPr>
        <w:t>Expenses; Indemnity</w:t>
      </w:r>
    </w:p>
    <w:p>
      <w:pPr>
        <w:spacing w:after="0" w:line="222" w:lineRule="exact"/>
        <w:rPr>
          <w:sz w:val="20"/>
          <w:szCs w:val="20"/>
          <w:color w:val="auto"/>
        </w:rPr>
      </w:pPr>
    </w:p>
    <w:p>
      <w:pPr>
        <w:jc w:val="both"/>
        <w:ind w:firstLine="1735"/>
        <w:spacing w:after="0" w:line="246" w:lineRule="auto"/>
        <w:tabs>
          <w:tab w:leader="none" w:pos="2595" w:val="left"/>
        </w:tabs>
        <w:numPr>
          <w:ilvl w:val="0"/>
          <w:numId w:val="144"/>
        </w:numPr>
        <w:rPr>
          <w:rFonts w:ascii="Arial" w:cs="Arial" w:eastAsia="Arial" w:hAnsi="Arial"/>
          <w:sz w:val="20"/>
          <w:szCs w:val="20"/>
          <w:color w:val="auto"/>
        </w:rPr>
      </w:pPr>
      <w:r>
        <w:rPr>
          <w:rFonts w:ascii="Arial" w:cs="Arial" w:eastAsia="Arial" w:hAnsi="Arial"/>
          <w:sz w:val="20"/>
          <w:szCs w:val="20"/>
          <w:color w:val="auto"/>
        </w:rPr>
        <w:t>Borrowers hereby agree to promptly pay (i) all reasonable costs and expenses of Agent (including, without limitation, the fees, costs and expenses of counsel to, and independent appraisers and consultants retained by Agent) in connection with the examination, review, due diligence investigation, documentation, negotiation, closing and syndication of the transactions contemplated by the Financing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5" w:name="page146"/>
    <w:bookmarkEnd w:id="145"/>
    <w:p>
      <w:pPr>
        <w:jc w:val="both"/>
        <w:spacing w:after="0" w:line="269" w:lineRule="auto"/>
        <w:rPr>
          <w:sz w:val="20"/>
          <w:szCs w:val="20"/>
          <w:color w:val="auto"/>
        </w:rPr>
      </w:pPr>
      <w:r>
        <w:rPr>
          <w:rFonts w:ascii="Arial" w:cs="Arial" w:eastAsia="Arial" w:hAnsi="Arial"/>
          <w:sz w:val="18"/>
          <w:szCs w:val="18"/>
          <w:color w:val="auto"/>
        </w:rPr>
        <w:t>Documents, in connection with the performance by Agent of its rights and remedies under the Financing Documents and in connection with the continued administration of the Financing Documents including (A) any amendments, modifications, consents and waivers to and/or under any and all Financing Documents, and (B) any periodic public record searches conducted by or at the request of Agent (including, without limitation, title investigations, UCC searches, fixture filing searches, judgment, pending litigation and tax lien searches and searches of applicable corporate, limited liability, partnership and related records concerning the continued existence, organization and good standing of certain Persons); (ii) without limitation of the preceding clause (i), all costs and expenses of Agent in connection with the creation, perfection and maintenance of Liens pursuant to the Financing Documents; (iii) without limitation of the preceding clause (i), all costs and expenses of Agent in connection with (A) protecting, storing, insuring, handling, maintaining or selling any Collateral, (B) any litigation, dispute, suit or proceeding relating to any Financing Document, and (C) any workout, collection, bankruptcy, insolvency and other enforcement proceedings under any and all of the Financing Documents; (iv) without limitation of the preceding clause (i), all reasonable costs and expenses of Agent in connection with Agent’s reservation of funds in anticipation of the funding of the initial Loans to be made hereunder; and (v) all costs and expenses incurred by Lenders in connection with any litigation, dispute, suit or proceeding relating to any Financing Document and in connection with any workout, collection, bankruptcy, insolvency and other enforcement proceedings under any and all Financing Documents, whether or not Agent or Lenders are a party thereto. If Agent or any Lender uses in-house counsel for any of these purposes, Borrowers further agree that the Obligations include reasonable charges for such work commensurate with the fees that would otherwise be charged by outside legal counsel selected by Agent or such Lender for the work performed.</w:t>
      </w:r>
    </w:p>
    <w:p>
      <w:pPr>
        <w:spacing w:after="0" w:line="176" w:lineRule="exact"/>
        <w:rPr>
          <w:sz w:val="20"/>
          <w:szCs w:val="20"/>
          <w:color w:val="auto"/>
        </w:rPr>
      </w:pPr>
    </w:p>
    <w:p>
      <w:pPr>
        <w:jc w:val="both"/>
        <w:ind w:firstLine="1735"/>
        <w:spacing w:after="0" w:line="304" w:lineRule="auto"/>
        <w:tabs>
          <w:tab w:leader="none" w:pos="2606" w:val="left"/>
        </w:tabs>
        <w:numPr>
          <w:ilvl w:val="0"/>
          <w:numId w:val="145"/>
        </w:numPr>
        <w:rPr>
          <w:rFonts w:ascii="Arial" w:cs="Arial" w:eastAsia="Arial" w:hAnsi="Arial"/>
          <w:sz w:val="16"/>
          <w:szCs w:val="16"/>
          <w:color w:val="auto"/>
        </w:rPr>
      </w:pPr>
      <w:r>
        <w:rPr>
          <w:rFonts w:ascii="Arial" w:cs="Arial" w:eastAsia="Arial" w:hAnsi="Arial"/>
          <w:sz w:val="16"/>
          <w:szCs w:val="16"/>
          <w:color w:val="auto"/>
        </w:rPr>
        <w:t>Each Borrower hereby agrees to indemnify, pay and hold harmless Agent and Lenders and the officers, directors, employees, trustees, agents, investment advisors and investment managers, collateral managers, servicers, and counsel of Agent and Lenders (collectively called the “</w:t>
      </w:r>
      <w:r>
        <w:rPr>
          <w:rFonts w:ascii="Arial" w:cs="Arial" w:eastAsia="Arial" w:hAnsi="Arial"/>
          <w:sz w:val="16"/>
          <w:szCs w:val="16"/>
          <w:b w:val="1"/>
          <w:bCs w:val="1"/>
          <w:color w:val="auto"/>
        </w:rPr>
        <w:t>Indemnitees</w:t>
      </w:r>
      <w:r>
        <w:rPr>
          <w:rFonts w:ascii="Arial" w:cs="Arial" w:eastAsia="Arial" w:hAnsi="Arial"/>
          <w:sz w:val="16"/>
          <w:szCs w:val="16"/>
          <w:color w:val="auto"/>
        </w:rPr>
        <w:t>”) from and against any and all liabilities, obligations, losses, damages, penalties, actions, judgments, suits, claims, costs, expenses and disbursements of any kind or nature whatsoever (including the fees and disbursements of counsel for such Indemnitee) in connection with any investigative, response, remedial, administrative or judicial matter or proceeding, whether or not such Indemnitee shall be designated a party thereto and including any such proceeding initiated by or on behalf of a Credit Party, and the reasonable expenses of investigation by engineers, environmental consultants and similar technical personnel and any commission, fee or compensation claimed by any broker (other than any broker retained by Agent or Lenders) asserting any right to payment for the transactions contemplated hereby, which may be imposed on, incurred by or asserted against such Indemnitee as a result of or in connection with the transactions contemplated hereby or by the other Financing Documents (including (i)(A) as a direct or indirect result of the presence on or under, or escape, seepage, leakage, spillage, discharge, emission or release from, any property now or previously owned, leased or operated by Borrower, any Subsidiary or any other Person of any Hazardous Materials, (B) arising out of or relating to the offsite disposal of any materials generated or present on any such property, or (C) arising out of or resulting from the environmental condition of any such property or the applicability of any governmental requirements relating to Hazardous Materials, whether or not occasioned wholly or in part by any condition, accident or event caused by any act or omission of Borrower or any Subsidiary, and (ii) proposed and actual extensions of credit under this Agreement) and the use or intended use of the proceeds of the Loans, except that Borrower shall have no obligation hereunder to an Indemnitee with respect to any liability resulting from the gross negligence or willful misconduct of such Indemnitee, as determined by a final non-appealable judgment of a court of competent jurisdiction. To the extent that the undertaking set forth in the immediately preceding sentence may be unenforceable, Borrower shall contribute the maximum portion which it is permitted to pay and satisfy under applicable Law to the payment and satisfaction of all such indemnified liabilities incurred by the Indemnitees or any of them.</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46" w:name="page147"/>
    <w:bookmarkEnd w:id="146"/>
    <w:p>
      <w:pPr>
        <w:jc w:val="both"/>
        <w:ind w:firstLine="1735"/>
        <w:spacing w:after="0" w:line="242" w:lineRule="auto"/>
        <w:tabs>
          <w:tab w:leader="none" w:pos="2595" w:val="left"/>
        </w:tabs>
        <w:numPr>
          <w:ilvl w:val="0"/>
          <w:numId w:val="146"/>
        </w:numPr>
        <w:rPr>
          <w:rFonts w:ascii="Arial" w:cs="Arial" w:eastAsia="Arial" w:hAnsi="Arial"/>
          <w:sz w:val="20"/>
          <w:szCs w:val="20"/>
          <w:color w:val="auto"/>
        </w:rPr>
      </w:pPr>
      <w:r>
        <w:rPr>
          <w:rFonts w:ascii="Arial" w:cs="Arial" w:eastAsia="Arial" w:hAnsi="Arial"/>
          <w:sz w:val="20"/>
          <w:szCs w:val="20"/>
          <w:color w:val="auto"/>
        </w:rPr>
        <w:t>Notwithstanding any contrary provision in this Agreement, the obligations of Borrowers under this Section 12.14 shall survive the payment in full of the Obligations and the termination of this Agreement. NO INDEMNITEE SHALL BE RESPONSIBLE OR LIABLE TO THE BORROWERS OR TO ANY OTHER PARTY TO ANY FINANCING DOCUMENT, ANY SUCCESSOR, ASSIGNEE OR THIRD PARTY BENEFICIARY OR ANY OTHER PERSON ASSERTING CLAIMS DERIVATIVELY THROUGH SUCH PARTY, FOR INDIRECT, PUNITIVE, EXEMPLARY OR CONSEQUENTIAL DAMAGES WHICH MAY BE ALLEGED AS A RESULT OF CREDIT HAVING BEEN EXTENDED, SUSPENDED OR TERMINATED UNDER THIS AGREEMENT OR ANY OTHER FINANCING DOCUMENT OR AS A RESULT OF ANY OTHER TRANSACTION CONTEMPLATED HEREUNDER OR THEREUNDER.</w:t>
      </w:r>
    </w:p>
    <w:p>
      <w:pPr>
        <w:spacing w:after="0" w:line="173"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1740" w:type="dxa"/>
            <w:vAlign w:val="bottom"/>
          </w:tcPr>
          <w:p>
            <w:pPr>
              <w:spacing w:after="0"/>
              <w:rPr>
                <w:sz w:val="20"/>
                <w:szCs w:val="20"/>
                <w:color w:val="auto"/>
              </w:rPr>
            </w:pPr>
            <w:r>
              <w:rPr>
                <w:rFonts w:ascii="Arial" w:cs="Arial" w:eastAsia="Arial" w:hAnsi="Arial"/>
                <w:sz w:val="20"/>
                <w:szCs w:val="20"/>
                <w:b w:val="1"/>
                <w:bCs w:val="1"/>
                <w:color w:val="auto"/>
              </w:rPr>
              <w:t>Section 12.15</w:t>
            </w:r>
          </w:p>
        </w:tc>
        <w:tc>
          <w:tcPr>
            <w:tcW w:w="8620" w:type="dxa"/>
            <w:vAlign w:val="bottom"/>
            <w:gridSpan w:val="3"/>
          </w:tcPr>
          <w:p>
            <w:pPr>
              <w:spacing w:after="0"/>
              <w:rPr>
                <w:sz w:val="20"/>
                <w:szCs w:val="20"/>
                <w:color w:val="auto"/>
              </w:rPr>
            </w:pPr>
            <w:r>
              <w:rPr>
                <w:rFonts w:ascii="Arial" w:cs="Arial" w:eastAsia="Arial" w:hAnsi="Arial"/>
                <w:sz w:val="20"/>
                <w:szCs w:val="20"/>
                <w:color w:val="auto"/>
              </w:rPr>
              <w:t>RESERVED.</w:t>
            </w:r>
          </w:p>
        </w:tc>
        <w:tc>
          <w:tcPr>
            <w:tcW w:w="0" w:type="dxa"/>
            <w:vAlign w:val="bottom"/>
          </w:tcPr>
          <w:p>
            <w:pPr>
              <w:spacing w:after="0"/>
              <w:rPr>
                <w:sz w:val="1"/>
                <w:szCs w:val="1"/>
                <w:color w:val="auto"/>
              </w:rPr>
            </w:pPr>
          </w:p>
        </w:tc>
      </w:tr>
      <w:tr>
        <w:trPr>
          <w:trHeight w:val="20"/>
        </w:trPr>
        <w:tc>
          <w:tcPr>
            <w:tcW w:w="1740" w:type="dxa"/>
            <w:vAlign w:val="bottom"/>
            <w:vMerge w:val="restart"/>
          </w:tcPr>
          <w:p>
            <w:pPr>
              <w:spacing w:after="0"/>
              <w:rPr>
                <w:sz w:val="20"/>
                <w:szCs w:val="20"/>
                <w:color w:val="auto"/>
              </w:rPr>
            </w:pPr>
            <w:r>
              <w:rPr>
                <w:rFonts w:ascii="Arial" w:cs="Arial" w:eastAsia="Arial" w:hAnsi="Arial"/>
                <w:sz w:val="20"/>
                <w:szCs w:val="20"/>
                <w:b w:val="1"/>
                <w:bCs w:val="1"/>
                <w:color w:val="auto"/>
              </w:rPr>
              <w:t>Section 12.16</w:t>
            </w: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740" w:type="dxa"/>
            <w:vAlign w:val="bottom"/>
            <w:vMerge w:val="continue"/>
          </w:tcPr>
          <w:p>
            <w:pPr>
              <w:spacing w:after="0"/>
              <w:rPr>
                <w:sz w:val="24"/>
                <w:szCs w:val="24"/>
                <w:color w:val="auto"/>
              </w:rPr>
            </w:pPr>
          </w:p>
        </w:tc>
        <w:tc>
          <w:tcPr>
            <w:tcW w:w="8620" w:type="dxa"/>
            <w:vAlign w:val="bottom"/>
            <w:gridSpan w:val="3"/>
          </w:tcPr>
          <w:p>
            <w:pPr>
              <w:spacing w:after="0"/>
              <w:rPr>
                <w:sz w:val="20"/>
                <w:szCs w:val="20"/>
                <w:color w:val="auto"/>
              </w:rPr>
            </w:pPr>
            <w:r>
              <w:rPr>
                <w:rFonts w:ascii="Arial" w:cs="Arial" w:eastAsia="Arial" w:hAnsi="Arial"/>
                <w:sz w:val="20"/>
                <w:szCs w:val="20"/>
                <w:color w:val="auto"/>
                <w:w w:val="91"/>
              </w:rPr>
              <w:t>Reinstatement. This Agreement shall remain in full force and effect and continue to be effective should any</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petition or other proceeding be filed by or against any Credit Party for liquidation or reorganization, should any Credit Party become insolvent or make an assignment for the benefit of any creditor or creditors or should an interim receiver, receiver, receiver and manager or trustee be appointed for all or any significant part of any Credit Party’s assets, and shall continue to be effective or to be reinstated, as the case may be, if at any time payment and performance of the Obligations, or any part thereof, is, pursuant to applicable Law, rescinded or reduced in amount, or must otherwise be restored or returned by any obligee of the Obligations, whether as a fraudulent preference reviewable transaction or otherwise, all as though such payment or performance had not been made. In the event that any payment, or any part thereof, is rescinded, reduced, restored or returned, the Obligations shall be reinstated and deemed reduced only by such amount paid and not so rescinded, reduced, restored or returned.</w:t>
      </w:r>
    </w:p>
    <w:p>
      <w:pPr>
        <w:spacing w:after="0" w:line="174" w:lineRule="exact"/>
        <w:rPr>
          <w:sz w:val="20"/>
          <w:szCs w:val="20"/>
          <w:color w:val="auto"/>
        </w:rPr>
      </w:pPr>
    </w:p>
    <w:p>
      <w:pPr>
        <w:jc w:val="both"/>
        <w:ind w:right="20" w:firstLine="864"/>
        <w:spacing w:after="0" w:line="267" w:lineRule="auto"/>
        <w:rPr>
          <w:sz w:val="20"/>
          <w:szCs w:val="20"/>
          <w:color w:val="auto"/>
        </w:rPr>
      </w:pPr>
      <w:r>
        <w:rPr>
          <w:rFonts w:ascii="Arial" w:cs="Arial" w:eastAsia="Arial" w:hAnsi="Arial"/>
          <w:sz w:val="20"/>
          <w:szCs w:val="20"/>
          <w:b w:val="1"/>
          <w:bCs w:val="1"/>
          <w:color w:val="auto"/>
        </w:rPr>
        <w:t xml:space="preserve">Section 12.17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This Agreement shall be binding upon and inure to the benefit of Borrowers and</w:t>
      </w:r>
      <w:r>
        <w:rPr>
          <w:rFonts w:ascii="Arial" w:cs="Arial" w:eastAsia="Arial" w:hAnsi="Arial"/>
          <w:sz w:val="20"/>
          <w:szCs w:val="20"/>
          <w:b w:val="1"/>
          <w:bCs w:val="1"/>
          <w:color w:val="auto"/>
        </w:rPr>
        <w:t xml:space="preserve"> </w:t>
      </w:r>
      <w:r>
        <w:rPr>
          <w:rFonts w:ascii="Arial" w:cs="Arial" w:eastAsia="Arial" w:hAnsi="Arial"/>
          <w:sz w:val="20"/>
          <w:szCs w:val="20"/>
          <w:color w:val="auto"/>
        </w:rPr>
        <w:t>Agent and each Lender and their respective successors and permitted assigns.</w:t>
      </w:r>
    </w:p>
    <w:p>
      <w:pPr>
        <w:spacing w:after="0" w:line="163"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9"/>
          <w:szCs w:val="19"/>
          <w:b w:val="1"/>
          <w:bCs w:val="1"/>
          <w:color w:val="auto"/>
        </w:rPr>
        <w:t xml:space="preserve">Section 12.18 </w:t>
      </w:r>
      <w:r>
        <w:rPr>
          <w:rFonts w:ascii="Arial" w:cs="Arial" w:eastAsia="Arial" w:hAnsi="Arial"/>
          <w:sz w:val="19"/>
          <w:szCs w:val="19"/>
          <w:u w:val="single" w:color="auto"/>
          <w:color w:val="auto"/>
        </w:rPr>
        <w:t>USA PATRIOT Act Notification</w:t>
      </w:r>
      <w:r>
        <w:rPr>
          <w:rFonts w:ascii="Arial" w:cs="Arial" w:eastAsia="Arial" w:hAnsi="Arial"/>
          <w:sz w:val="19"/>
          <w:szCs w:val="19"/>
          <w:color w:val="auto"/>
        </w:rPr>
        <w:t>. Agent (for itself and not on behalf of any Lender) and each Lender hereby</w:t>
      </w:r>
      <w:r>
        <w:rPr>
          <w:rFonts w:ascii="Arial" w:cs="Arial" w:eastAsia="Arial" w:hAnsi="Arial"/>
          <w:sz w:val="19"/>
          <w:szCs w:val="19"/>
          <w:b w:val="1"/>
          <w:bCs w:val="1"/>
          <w:color w:val="auto"/>
        </w:rPr>
        <w:t xml:space="preserve"> </w:t>
      </w:r>
      <w:r>
        <w:rPr>
          <w:rFonts w:ascii="Arial" w:cs="Arial" w:eastAsia="Arial" w:hAnsi="Arial"/>
          <w:sz w:val="19"/>
          <w:szCs w:val="19"/>
          <w:color w:val="auto"/>
        </w:rPr>
        <w:t>notifies Borrowers that pursuant to the requirements of the USA PATRIOT Act, it is required to obtain, verify and record certain information and documentation that identifies Borrowers, which information includes the name and address of Borrower and such other information that will allow Agent or such Lender, as applicable, to identify Borrowers in accordance with the USA PATRIOT Act.</w:t>
      </w:r>
    </w:p>
    <w:p>
      <w:pPr>
        <w:spacing w:after="0" w:line="169"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b w:val="1"/>
          <w:bCs w:val="1"/>
          <w:color w:val="auto"/>
        </w:rPr>
        <w:t xml:space="preserve">Section 12.19 </w:t>
      </w:r>
      <w:r>
        <w:rPr>
          <w:rFonts w:ascii="Arial" w:cs="Arial" w:eastAsia="Arial" w:hAnsi="Arial"/>
          <w:sz w:val="20"/>
          <w:szCs w:val="20"/>
          <w:u w:val="single" w:color="auto"/>
          <w:color w:val="auto"/>
        </w:rPr>
        <w:t>Acknowledgement and Consent to Bail-In of EEA Financial Institutions</w:t>
      </w:r>
      <w:r>
        <w:rPr>
          <w:rFonts w:ascii="Arial" w:cs="Arial" w:eastAsia="Arial" w:hAnsi="Arial"/>
          <w:sz w:val="20"/>
          <w:szCs w:val="20"/>
          <w:color w:val="auto"/>
        </w:rPr>
        <w:t>. Notwithstanding anything to the</w:t>
      </w:r>
      <w:r>
        <w:rPr>
          <w:rFonts w:ascii="Arial" w:cs="Arial" w:eastAsia="Arial" w:hAnsi="Arial"/>
          <w:sz w:val="20"/>
          <w:szCs w:val="20"/>
          <w:b w:val="1"/>
          <w:bCs w:val="1"/>
          <w:color w:val="auto"/>
        </w:rPr>
        <w:t xml:space="preserve"> </w:t>
      </w:r>
      <w:r>
        <w:rPr>
          <w:rFonts w:ascii="Arial" w:cs="Arial" w:eastAsia="Arial" w:hAnsi="Arial"/>
          <w:sz w:val="20"/>
          <w:szCs w:val="20"/>
          <w:color w:val="auto"/>
        </w:rPr>
        <w:t>contrary in any Financing Document or in any other agreement, arrangement or understanding among any such parties, each party hereto acknowledges that any liability of any EEA Financial Institution arising under any Financing Document, to the extent such liability is unsecured, may be subject to the write-down and conversion powers of an EEA Resolution Authority and agrees and consents to, and acknowledges and agrees to be bound by:</w:t>
      </w:r>
    </w:p>
    <w:p>
      <w:pPr>
        <w:spacing w:after="0" w:line="191" w:lineRule="exact"/>
        <w:rPr>
          <w:sz w:val="20"/>
          <w:szCs w:val="20"/>
          <w:color w:val="auto"/>
        </w:rPr>
      </w:pPr>
    </w:p>
    <w:p>
      <w:pPr>
        <w:ind w:firstLine="1735"/>
        <w:spacing w:after="0" w:line="260" w:lineRule="auto"/>
        <w:tabs>
          <w:tab w:leader="none" w:pos="2595" w:val="left"/>
        </w:tabs>
        <w:numPr>
          <w:ilvl w:val="0"/>
          <w:numId w:val="147"/>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6" w:lineRule="exact"/>
        <w:rPr>
          <w:rFonts w:ascii="Arial" w:cs="Arial" w:eastAsia="Arial" w:hAnsi="Arial"/>
          <w:sz w:val="20"/>
          <w:szCs w:val="20"/>
          <w:color w:val="auto"/>
        </w:rPr>
      </w:pPr>
    </w:p>
    <w:p>
      <w:pPr>
        <w:ind w:left="2620" w:hanging="885"/>
        <w:spacing w:after="0"/>
        <w:tabs>
          <w:tab w:leader="none" w:pos="2620" w:val="left"/>
        </w:tabs>
        <w:numPr>
          <w:ilvl w:val="0"/>
          <w:numId w:val="147"/>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15" w:lineRule="exact"/>
        <w:rPr>
          <w:rFonts w:ascii="Arial" w:cs="Arial" w:eastAsia="Arial" w:hAnsi="Arial"/>
          <w:sz w:val="20"/>
          <w:szCs w:val="20"/>
          <w:color w:val="auto"/>
        </w:rPr>
      </w:pPr>
    </w:p>
    <w:p>
      <w:pPr>
        <w:ind w:left="3300" w:hanging="834"/>
        <w:spacing w:after="0"/>
        <w:tabs>
          <w:tab w:leader="none" w:pos="3300" w:val="left"/>
        </w:tabs>
        <w:numPr>
          <w:ilvl w:val="1"/>
          <w:numId w:val="147"/>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47" w:name="page148"/>
    <w:bookmarkEnd w:id="147"/>
    <w:p>
      <w:pPr>
        <w:ind w:left="880" w:firstLine="1586"/>
        <w:spacing w:after="0" w:line="246" w:lineRule="auto"/>
        <w:tabs>
          <w:tab w:leader="none" w:pos="3364" w:val="left"/>
        </w:tabs>
        <w:numPr>
          <w:ilvl w:val="0"/>
          <w:numId w:val="148"/>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Financing Document; or</w:t>
      </w:r>
    </w:p>
    <w:p>
      <w:pPr>
        <w:spacing w:after="0" w:line="191" w:lineRule="exact"/>
        <w:rPr>
          <w:rFonts w:ascii="Arial" w:cs="Arial" w:eastAsia="Arial" w:hAnsi="Arial"/>
          <w:sz w:val="20"/>
          <w:szCs w:val="20"/>
          <w:color w:val="auto"/>
        </w:rPr>
      </w:pPr>
    </w:p>
    <w:p>
      <w:pPr>
        <w:ind w:left="880" w:right="100" w:firstLine="1586"/>
        <w:spacing w:after="0" w:line="260" w:lineRule="auto"/>
        <w:tabs>
          <w:tab w:leader="none" w:pos="3419" w:val="left"/>
        </w:tabs>
        <w:numPr>
          <w:ilvl w:val="0"/>
          <w:numId w:val="148"/>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any EEA Resolution Authority.</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[SIGNATURES APPEAR ON FOLLOWING PAGE(S)]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90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9" w:right="419" w:bottom="1440" w:gutter="0" w:footer="0" w:header="0"/>
        </w:sectPr>
      </w:pPr>
    </w:p>
    <w:bookmarkStart w:id="148" w:name="page149"/>
    <w:bookmarkEnd w:id="148"/>
    <w:p>
      <w:pPr>
        <w:ind w:right="20" w:firstLine="864"/>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intending to be legally bound, each of the parties have caused this Agreement to be executed under</w:t>
      </w:r>
      <w:r>
        <w:rPr>
          <w:rFonts w:ascii="Arial" w:cs="Arial" w:eastAsia="Arial" w:hAnsi="Arial"/>
          <w:sz w:val="20"/>
          <w:szCs w:val="20"/>
          <w:b w:val="1"/>
          <w:bCs w:val="1"/>
          <w:color w:val="auto"/>
        </w:rPr>
        <w:t xml:space="preserve"> </w:t>
      </w:r>
      <w:r>
        <w:rPr>
          <w:rFonts w:ascii="Arial" w:cs="Arial" w:eastAsia="Arial" w:hAnsi="Arial"/>
          <w:sz w:val="20"/>
          <w:szCs w:val="20"/>
          <w:color w:val="auto"/>
        </w:rPr>
        <w:t>seal the day and year first above mentioned.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r>
              <w:rPr>
                <w:rFonts w:ascii="Arial" w:cs="Arial" w:eastAsia="Arial" w:hAnsi="Arial"/>
                <w:sz w:val="20"/>
                <w:szCs w:val="20"/>
                <w:b w:val="1"/>
                <w:bCs w:val="1"/>
                <w:color w:val="auto"/>
              </w:rPr>
              <w:t>BORROWER</w:t>
            </w:r>
          </w:p>
        </w:tc>
        <w:tc>
          <w:tcPr>
            <w:tcW w:w="6000" w:type="dxa"/>
            <w:vAlign w:val="bottom"/>
            <w:gridSpan w:val="3"/>
          </w:tcPr>
          <w:p>
            <w:pPr>
              <w:spacing w:after="0"/>
              <w:rPr>
                <w:sz w:val="20"/>
                <w:szCs w:val="20"/>
                <w:color w:val="auto"/>
              </w:rPr>
            </w:pPr>
            <w:r>
              <w:rPr>
                <w:rFonts w:ascii="Arial" w:cs="Arial" w:eastAsia="Arial" w:hAnsi="Arial"/>
                <w:sz w:val="20"/>
                <w:szCs w:val="20"/>
                <w:b w:val="1"/>
                <w:bCs w:val="1"/>
                <w:color w:val="auto"/>
              </w:rPr>
              <w:t>APTEVO THERAPEUTICS INC.</w:t>
            </w:r>
          </w:p>
        </w:tc>
      </w:tr>
      <w:tr>
        <w:trPr>
          <w:trHeight w:val="256"/>
        </w:trPr>
        <w:tc>
          <w:tcPr>
            <w:tcW w:w="5240" w:type="dxa"/>
            <w:vAlign w:val="bottom"/>
          </w:tcPr>
          <w:p>
            <w:pPr>
              <w:spacing w:after="0"/>
              <w:rPr>
                <w:sz w:val="20"/>
                <w:szCs w:val="20"/>
                <w:color w:val="auto"/>
              </w:rPr>
            </w:pPr>
            <w:r>
              <w:rPr>
                <w:rFonts w:ascii="Arial" w:cs="Arial" w:eastAsia="Arial" w:hAnsi="Arial"/>
                <w:sz w:val="20"/>
                <w:szCs w:val="20"/>
                <w:b w:val="1"/>
                <w:bCs w:val="1"/>
                <w:color w:val="auto"/>
              </w:rPr>
              <w:t>REPRESENTATIVE:</w:t>
            </w: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40" w:type="dxa"/>
            <w:vAlign w:val="bottom"/>
          </w:tcPr>
          <w:p>
            <w:pPr>
              <w:spacing w:after="0"/>
              <w:rPr>
                <w:sz w:val="22"/>
                <w:szCs w:val="22"/>
                <w:color w:val="auto"/>
              </w:rPr>
            </w:pPr>
          </w:p>
        </w:tc>
      </w:tr>
      <w:tr>
        <w:trPr>
          <w:trHeight w:val="455"/>
        </w:trPr>
        <w:tc>
          <w:tcPr>
            <w:tcW w:w="5240" w:type="dxa"/>
            <w:vAlign w:val="bottom"/>
          </w:tcPr>
          <w:p>
            <w:pPr>
              <w:spacing w:after="0"/>
              <w:rPr>
                <w:sz w:val="24"/>
                <w:szCs w:val="24"/>
                <w:color w:val="auto"/>
              </w:rPr>
            </w:pPr>
          </w:p>
        </w:tc>
        <w:tc>
          <w:tcPr>
            <w:tcW w:w="6000" w:type="dxa"/>
            <w:vAlign w:val="bottom"/>
            <w:gridSpan w:val="3"/>
          </w:tcPr>
          <w:p>
            <w:pPr>
              <w:spacing w:after="0"/>
              <w:rPr>
                <w:sz w:val="20"/>
                <w:szCs w:val="20"/>
                <w:color w:val="auto"/>
              </w:rPr>
            </w:pPr>
            <w:r>
              <w:rPr>
                <w:rFonts w:ascii="Arial" w:cs="Arial" w:eastAsia="Arial" w:hAnsi="Arial"/>
                <w:sz w:val="20"/>
                <w:szCs w:val="20"/>
                <w:color w:val="auto"/>
              </w:rPr>
              <w:t>By:</w:t>
            </w:r>
          </w:p>
        </w:tc>
      </w:tr>
      <w:tr>
        <w:trPr>
          <w:trHeight w:val="223"/>
        </w:trPr>
        <w:tc>
          <w:tcPr>
            <w:tcW w:w="5240" w:type="dxa"/>
            <w:vAlign w:val="bottom"/>
          </w:tcPr>
          <w:p>
            <w:pPr>
              <w:spacing w:after="0"/>
              <w:rPr>
                <w:sz w:val="19"/>
                <w:szCs w:val="19"/>
                <w:color w:val="auto"/>
              </w:rPr>
            </w:pPr>
          </w:p>
        </w:tc>
        <w:tc>
          <w:tcPr>
            <w:tcW w:w="1160" w:type="dxa"/>
            <w:vAlign w:val="bottom"/>
            <w:gridSpan w:val="2"/>
          </w:tcPr>
          <w:p>
            <w:pPr>
              <w:spacing w:after="0" w:line="223" w:lineRule="exact"/>
              <w:rPr>
                <w:sz w:val="20"/>
                <w:szCs w:val="20"/>
                <w:color w:val="auto"/>
              </w:rPr>
            </w:pPr>
            <w:r>
              <w:rPr>
                <w:rFonts w:ascii="Arial" w:cs="Arial" w:eastAsia="Arial" w:hAnsi="Arial"/>
                <w:sz w:val="20"/>
                <w:szCs w:val="20"/>
                <w:color w:val="auto"/>
              </w:rPr>
              <w:t>Name:</w:t>
            </w:r>
          </w:p>
        </w:tc>
        <w:tc>
          <w:tcPr>
            <w:tcW w:w="4840" w:type="dxa"/>
            <w:vAlign w:val="bottom"/>
            <w:tcBorders>
              <w:top w:val="single" w:sz="8" w:color="auto"/>
              <w:bottom w:val="single" w:sz="8" w:color="auto"/>
            </w:tcBorders>
          </w:tcPr>
          <w:p>
            <w:pPr>
              <w:spacing w:after="0"/>
              <w:rPr>
                <w:sz w:val="19"/>
                <w:szCs w:val="19"/>
                <w:color w:val="auto"/>
              </w:rPr>
            </w:pPr>
          </w:p>
        </w:tc>
      </w:tr>
      <w:tr>
        <w:trPr>
          <w:trHeight w:val="223"/>
        </w:trPr>
        <w:tc>
          <w:tcPr>
            <w:tcW w:w="5240" w:type="dxa"/>
            <w:vAlign w:val="bottom"/>
          </w:tcPr>
          <w:p>
            <w:pPr>
              <w:spacing w:after="0"/>
              <w:rPr>
                <w:sz w:val="19"/>
                <w:szCs w:val="19"/>
                <w:color w:val="auto"/>
              </w:rPr>
            </w:pPr>
          </w:p>
        </w:tc>
        <w:tc>
          <w:tcPr>
            <w:tcW w:w="1160" w:type="dxa"/>
            <w:vAlign w:val="bottom"/>
            <w:gridSpan w:val="2"/>
          </w:tcPr>
          <w:p>
            <w:pPr>
              <w:spacing w:after="0" w:line="223" w:lineRule="exact"/>
              <w:rPr>
                <w:sz w:val="20"/>
                <w:szCs w:val="20"/>
                <w:color w:val="auto"/>
              </w:rPr>
            </w:pPr>
            <w:r>
              <w:rPr>
                <w:rFonts w:ascii="Arial" w:cs="Arial" w:eastAsia="Arial" w:hAnsi="Arial"/>
                <w:sz w:val="20"/>
                <w:szCs w:val="20"/>
                <w:color w:val="auto"/>
              </w:rPr>
              <w:t>Title:</w:t>
            </w:r>
          </w:p>
        </w:tc>
        <w:tc>
          <w:tcPr>
            <w:tcW w:w="4840" w:type="dxa"/>
            <w:vAlign w:val="bottom"/>
            <w:tcBorders>
              <w:bottom w:val="single" w:sz="8" w:color="auto"/>
            </w:tcBorders>
          </w:tcPr>
          <w:p>
            <w:pPr>
              <w:spacing w:after="0"/>
              <w:rPr>
                <w:sz w:val="19"/>
                <w:szCs w:val="19"/>
                <w:color w:val="auto"/>
              </w:rPr>
            </w:pPr>
          </w:p>
        </w:tc>
      </w:tr>
      <w:tr>
        <w:trPr>
          <w:trHeight w:val="641"/>
        </w:trPr>
        <w:tc>
          <w:tcPr>
            <w:tcW w:w="5240" w:type="dxa"/>
            <w:vAlign w:val="bottom"/>
          </w:tcPr>
          <w:p>
            <w:pPr>
              <w:spacing w:after="0"/>
              <w:rPr>
                <w:sz w:val="24"/>
                <w:szCs w:val="24"/>
                <w:color w:val="auto"/>
              </w:rPr>
            </w:pPr>
          </w:p>
        </w:tc>
        <w:tc>
          <w:tcPr>
            <w:tcW w:w="6000" w:type="dxa"/>
            <w:vAlign w:val="bottom"/>
            <w:gridSpan w:val="3"/>
          </w:tcPr>
          <w:p>
            <w:pPr>
              <w:spacing w:after="0"/>
              <w:rPr>
                <w:sz w:val="20"/>
                <w:szCs w:val="20"/>
                <w:color w:val="auto"/>
              </w:rPr>
            </w:pPr>
            <w:r>
              <w:rPr>
                <w:rFonts w:ascii="Arial" w:cs="Arial" w:eastAsia="Arial" w:hAnsi="Arial"/>
                <w:sz w:val="20"/>
                <w:szCs w:val="20"/>
                <w:color w:val="auto"/>
              </w:rPr>
              <w:t>Address:</w:t>
            </w:r>
          </w:p>
        </w:tc>
      </w:tr>
      <w:tr>
        <w:trPr>
          <w:trHeight w:val="480"/>
        </w:trPr>
        <w:tc>
          <w:tcPr>
            <w:tcW w:w="5240" w:type="dxa"/>
            <w:vAlign w:val="bottom"/>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r>
        <w:trPr>
          <w:trHeight w:val="223"/>
        </w:trPr>
        <w:tc>
          <w:tcPr>
            <w:tcW w:w="52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840" w:type="dxa"/>
            <w:vAlign w:val="bottom"/>
            <w:tcBorders>
              <w:bottom w:val="single" w:sz="8" w:color="auto"/>
            </w:tcBorders>
          </w:tcPr>
          <w:p>
            <w:pPr>
              <w:spacing w:after="0"/>
              <w:rPr>
                <w:sz w:val="19"/>
                <w:szCs w:val="19"/>
                <w:color w:val="auto"/>
              </w:rPr>
            </w:pPr>
          </w:p>
        </w:tc>
      </w:tr>
      <w:tr>
        <w:trPr>
          <w:trHeight w:val="223"/>
        </w:trPr>
        <w:tc>
          <w:tcPr>
            <w:tcW w:w="52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840" w:type="dxa"/>
            <w:vAlign w:val="bottom"/>
            <w:tcBorders>
              <w:bottom w:val="single" w:sz="8" w:color="auto"/>
            </w:tcBorders>
          </w:tcPr>
          <w:p>
            <w:pPr>
              <w:spacing w:after="0"/>
              <w:rPr>
                <w:sz w:val="19"/>
                <w:szCs w:val="19"/>
                <w:color w:val="auto"/>
              </w:rPr>
            </w:pPr>
          </w:p>
        </w:tc>
      </w:tr>
    </w:tbl>
    <w:p>
      <w:pPr>
        <w:spacing w:after="0" w:line="226"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10160</wp:posOffset>
            </wp:positionV>
            <wp:extent cx="307721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307721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-143510</wp:posOffset>
            </wp:positionV>
            <wp:extent cx="38061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3806190" cy="8890"/>
                    </a:xfrm>
                    <a:prstGeom prst="rect">
                      <a:avLst/>
                    </a:prstGeom>
                    <a:noFill/>
                  </pic:spPr>
                </pic:pic>
              </a:graphicData>
            </a:graphic>
          </wp:anchor>
        </w:drawing>
      </w:r>
    </w:p>
    <w:p>
      <w:pPr>
        <w:ind w:left="5240"/>
        <w:spacing w:after="0"/>
        <w:rPr>
          <w:sz w:val="20"/>
          <w:szCs w:val="20"/>
          <w:color w:val="auto"/>
        </w:rPr>
      </w:pPr>
      <w:r>
        <w:rPr>
          <w:rFonts w:ascii="Arial" w:cs="Arial" w:eastAsia="Arial" w:hAnsi="Arial"/>
          <w:sz w:val="20"/>
          <w:szCs w:val="20"/>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5715</wp:posOffset>
            </wp:positionV>
            <wp:extent cx="307721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jc w:val="center"/>
        <w:ind w:right="140"/>
        <w:spacing w:after="0"/>
        <w:rPr>
          <w:sz w:val="20"/>
          <w:szCs w:val="20"/>
          <w:color w:val="auto"/>
        </w:rPr>
      </w:pPr>
      <w:r>
        <w:rPr>
          <w:rFonts w:ascii="Arial" w:cs="Arial" w:eastAsia="Arial" w:hAnsi="Arial"/>
          <w:sz w:val="20"/>
          <w:szCs w:val="20"/>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5715</wp:posOffset>
            </wp:positionV>
            <wp:extent cx="307721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rPr>
          <w:sz w:val="20"/>
          <w:szCs w:val="20"/>
          <w:color w:val="auto"/>
        </w:rPr>
      </w:pPr>
      <w:r>
        <w:rPr>
          <w:rFonts w:ascii="Arial" w:cs="Arial" w:eastAsia="Arial" w:hAnsi="Arial"/>
          <w:sz w:val="14"/>
          <w:szCs w:val="14"/>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9" w:name="page150"/>
    <w:bookmarkEnd w:id="149"/>
    <w:p>
      <w:pPr>
        <w:spacing w:after="0"/>
        <w:tabs>
          <w:tab w:leader="none" w:pos="5220" w:val="left"/>
        </w:tabs>
        <w:rPr>
          <w:sz w:val="20"/>
          <w:szCs w:val="20"/>
          <w:color w:val="auto"/>
        </w:rPr>
      </w:pPr>
      <w:r>
        <w:rPr>
          <w:rFonts w:ascii="Arial" w:cs="Arial" w:eastAsia="Arial" w:hAnsi="Arial"/>
          <w:sz w:val="20"/>
          <w:szCs w:val="20"/>
          <w:b w:val="1"/>
          <w:bCs w:val="1"/>
          <w:color w:val="auto"/>
        </w:rPr>
        <w:t>BORROWERS</w:t>
      </w:r>
      <w:r>
        <w:rPr>
          <w:sz w:val="20"/>
          <w:szCs w:val="20"/>
          <w:color w:val="auto"/>
        </w:rPr>
        <w:tab/>
      </w:r>
      <w:r>
        <w:rPr>
          <w:rFonts w:ascii="Arial" w:cs="Arial" w:eastAsia="Arial" w:hAnsi="Arial"/>
          <w:sz w:val="20"/>
          <w:szCs w:val="20"/>
          <w:b w:val="1"/>
          <w:bCs w:val="1"/>
          <w:color w:val="auto"/>
        </w:rPr>
        <w:t>APTEVO THERAPEUTICS INC.</w:t>
      </w:r>
    </w:p>
    <w:p>
      <w:pPr>
        <w:spacing w:after="0" w:line="200" w:lineRule="exact"/>
        <w:rPr>
          <w:sz w:val="20"/>
          <w:szCs w:val="20"/>
          <w:color w:val="auto"/>
        </w:rPr>
      </w:pPr>
    </w:p>
    <w:p>
      <w:pPr>
        <w:spacing w:after="0" w:line="265"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10160</wp:posOffset>
            </wp:positionV>
            <wp:extent cx="307721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ind w:left="524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5715</wp:posOffset>
            </wp:positionV>
            <wp:extent cx="307721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ind w:left="524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5715</wp:posOffset>
            </wp:positionV>
            <wp:extent cx="307721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ind w:right="399"/>
        <w:spacing w:after="0"/>
        <w:rPr>
          <w:sz w:val="20"/>
          <w:szCs w:val="20"/>
          <w:color w:val="auto"/>
        </w:rPr>
      </w:pPr>
      <w:r>
        <w:rPr>
          <w:rFonts w:ascii="Arial" w:cs="Arial" w:eastAsia="Arial" w:hAnsi="Arial"/>
          <w:sz w:val="20"/>
          <w:szCs w:val="20"/>
          <w:b w:val="1"/>
          <w:bCs w:val="1"/>
          <w:color w:val="auto"/>
        </w:rPr>
        <w:t>APTEVO RESEARCH AND DEVELOPMENT LLC</w:t>
      </w:r>
    </w:p>
    <w:p>
      <w:pPr>
        <w:spacing w:after="0" w:line="200" w:lineRule="exact"/>
        <w:rPr>
          <w:sz w:val="20"/>
          <w:szCs w:val="20"/>
          <w:color w:val="auto"/>
        </w:rPr>
      </w:pPr>
    </w:p>
    <w:p>
      <w:pPr>
        <w:spacing w:after="0" w:line="265"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10160</wp:posOffset>
            </wp:positionV>
            <wp:extent cx="307721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ind w:left="524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5715</wp:posOffset>
            </wp:positionV>
            <wp:extent cx="307721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ind w:left="524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5715</wp:posOffset>
            </wp:positionV>
            <wp:extent cx="307721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rPr>
          <w:sz w:val="20"/>
          <w:szCs w:val="20"/>
          <w:color w:val="auto"/>
        </w:rPr>
      </w:pPr>
      <w:r>
        <w:rPr>
          <w:rFonts w:ascii="Arial" w:cs="Arial" w:eastAsia="Arial" w:hAnsi="Arial"/>
          <w:sz w:val="14"/>
          <w:szCs w:val="14"/>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562" w:right="1440" w:bottom="1440" w:gutter="0" w:footer="0" w:header="0"/>
        </w:sectPr>
      </w:pPr>
    </w:p>
    <w:bookmarkStart w:id="150" w:name="page151"/>
    <w:bookmarkEnd w:id="150"/>
    <w:p>
      <w:pPr>
        <w:spacing w:after="0"/>
        <w:tabs>
          <w:tab w:leader="none" w:pos="5460" w:val="left"/>
        </w:tabs>
        <w:rPr>
          <w:sz w:val="20"/>
          <w:szCs w:val="20"/>
          <w:color w:val="auto"/>
        </w:rPr>
      </w:pPr>
      <w:r>
        <w:rPr>
          <w:rFonts w:ascii="Arial" w:cs="Arial" w:eastAsia="Arial" w:hAnsi="Arial"/>
          <w:sz w:val="20"/>
          <w:szCs w:val="20"/>
          <w:b w:val="1"/>
          <w:bCs w:val="1"/>
          <w:color w:val="auto"/>
        </w:rPr>
        <w:t>AGENT:</w:t>
      </w:r>
      <w:r>
        <w:rPr>
          <w:sz w:val="20"/>
          <w:szCs w:val="20"/>
          <w:color w:val="auto"/>
        </w:rPr>
        <w:tab/>
      </w:r>
      <w:r>
        <w:rPr>
          <w:rFonts w:ascii="Arial" w:cs="Arial" w:eastAsia="Arial" w:hAnsi="Arial"/>
          <w:sz w:val="20"/>
          <w:szCs w:val="20"/>
          <w:b w:val="1"/>
          <w:bCs w:val="1"/>
          <w:color w:val="auto"/>
        </w:rPr>
        <w:t>MIDCAP FINANCIAL TRUST</w:t>
      </w:r>
    </w:p>
    <w:p>
      <w:pPr>
        <w:spacing w:after="0" w:line="200" w:lineRule="exact"/>
        <w:rPr>
          <w:sz w:val="20"/>
          <w:szCs w:val="20"/>
          <w:color w:val="auto"/>
        </w:rPr>
      </w:pPr>
    </w:p>
    <w:p>
      <w:pPr>
        <w:spacing w:after="0" w:line="265"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By:  Apollo Capital Management, L.P.,</w:t>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its investment manager</w:t>
      </w:r>
    </w:p>
    <w:p>
      <w:pPr>
        <w:spacing w:after="0" w:line="213"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By:  Apollo Capital Management GP, LLC,</w:t>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its general partner</w:t>
      </w:r>
    </w:p>
    <w:p>
      <w:pPr>
        <w:spacing w:after="0" w:line="200" w:lineRule="exact"/>
        <w:rPr>
          <w:sz w:val="20"/>
          <w:szCs w:val="20"/>
          <w:color w:val="auto"/>
        </w:rPr>
      </w:pPr>
    </w:p>
    <w:p>
      <w:pPr>
        <w:spacing w:after="0" w:line="243"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10160</wp:posOffset>
            </wp:positionV>
            <wp:extent cx="31457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5900"/>
        <w:spacing w:after="0"/>
        <w:rPr>
          <w:sz w:val="20"/>
          <w:szCs w:val="20"/>
          <w:color w:val="auto"/>
        </w:rPr>
      </w:pPr>
      <w:r>
        <w:rPr>
          <w:rFonts w:ascii="Arial" w:cs="Arial" w:eastAsia="Arial" w:hAnsi="Arial"/>
          <w:sz w:val="20"/>
          <w:szCs w:val="20"/>
          <w:color w:val="auto"/>
        </w:rPr>
        <w:t>Name: Maurice Amsellem</w:t>
      </w:r>
    </w:p>
    <w:p>
      <w:pPr>
        <w:spacing w:after="0" w:line="8"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Title:  Authorized Signatory</w:t>
      </w:r>
    </w:p>
    <w:p>
      <w:pPr>
        <w:spacing w:after="0" w:line="213" w:lineRule="exact"/>
        <w:rPr>
          <w:sz w:val="20"/>
          <w:szCs w:val="20"/>
          <w:color w:val="auto"/>
        </w:rPr>
      </w:pPr>
    </w:p>
    <w:p>
      <w:pPr>
        <w:ind w:left="5480"/>
        <w:spacing w:after="0"/>
        <w:rPr>
          <w:sz w:val="20"/>
          <w:szCs w:val="20"/>
          <w:color w:val="auto"/>
        </w:rPr>
      </w:pPr>
      <w:r>
        <w:rPr>
          <w:rFonts w:ascii="Arial" w:cs="Arial" w:eastAsia="Arial" w:hAnsi="Arial"/>
          <w:sz w:val="20"/>
          <w:szCs w:val="20"/>
          <w:u w:val="single" w:color="auto"/>
          <w:color w:val="auto"/>
        </w:rPr>
        <w:t>Address</w:t>
      </w:r>
      <w:r>
        <w:rPr>
          <w:rFonts w:ascii="Arial" w:cs="Arial" w:eastAsia="Arial" w:hAnsi="Arial"/>
          <w:sz w:val="20"/>
          <w:szCs w:val="20"/>
          <w:color w:val="auto"/>
        </w:rPr>
        <w:t>:</w:t>
      </w:r>
    </w:p>
    <w:p>
      <w:pPr>
        <w:spacing w:after="0" w:line="229"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c/o MidCap Financial Services, LLC, as servicer</w:t>
      </w:r>
    </w:p>
    <w:p>
      <w:pPr>
        <w:spacing w:after="0" w:line="15"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7255 Woodmont Avenue, Suite 200</w:t>
      </w:r>
    </w:p>
    <w:p>
      <w:pPr>
        <w:ind w:left="5480"/>
        <w:spacing w:after="0"/>
        <w:rPr>
          <w:sz w:val="20"/>
          <w:szCs w:val="20"/>
          <w:color w:val="auto"/>
        </w:rPr>
      </w:pPr>
      <w:r>
        <w:rPr>
          <w:rFonts w:ascii="Arial" w:cs="Arial" w:eastAsia="Arial" w:hAnsi="Arial"/>
          <w:sz w:val="20"/>
          <w:szCs w:val="20"/>
          <w:color w:val="auto"/>
        </w:rPr>
        <w:t>Bethesda, Maryland 20814</w:t>
      </w:r>
    </w:p>
    <w:p>
      <w:pPr>
        <w:ind w:left="5480"/>
        <w:spacing w:after="0"/>
        <w:rPr>
          <w:sz w:val="20"/>
          <w:szCs w:val="20"/>
          <w:color w:val="auto"/>
        </w:rPr>
      </w:pPr>
      <w:r>
        <w:rPr>
          <w:rFonts w:ascii="Arial" w:cs="Arial" w:eastAsia="Arial" w:hAnsi="Arial"/>
          <w:sz w:val="20"/>
          <w:szCs w:val="20"/>
          <w:color w:val="auto"/>
        </w:rPr>
        <w:t>Attn: Account Manager for Aptevo transaction</w:t>
      </w:r>
    </w:p>
    <w:p>
      <w:pPr>
        <w:ind w:left="5480"/>
        <w:spacing w:after="0"/>
        <w:rPr>
          <w:sz w:val="20"/>
          <w:szCs w:val="20"/>
          <w:color w:val="auto"/>
        </w:rPr>
      </w:pPr>
      <w:r>
        <w:rPr>
          <w:rFonts w:ascii="Arial" w:cs="Arial" w:eastAsia="Arial" w:hAnsi="Arial"/>
          <w:sz w:val="20"/>
          <w:szCs w:val="20"/>
          <w:color w:val="auto"/>
        </w:rPr>
        <w:t>Facsimile: 301-941-1450</w:t>
      </w:r>
    </w:p>
    <w:p>
      <w:pPr>
        <w:ind w:left="548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auto"/>
        </w:rPr>
        <w:t>notices@midcapfinancial.com</w:t>
      </w:r>
    </w:p>
    <w:p>
      <w:pPr>
        <w:spacing w:after="0" w:line="213"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with a copy to:</w:t>
      </w:r>
    </w:p>
    <w:p>
      <w:pPr>
        <w:spacing w:after="0" w:line="229"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c/o MidCap Financial Services, LLC, as servicer</w:t>
      </w:r>
    </w:p>
    <w:p>
      <w:pPr>
        <w:spacing w:after="0" w:line="15"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7255 Woodmont Avenue, Suite 200</w:t>
      </w:r>
    </w:p>
    <w:p>
      <w:pPr>
        <w:ind w:left="5480"/>
        <w:spacing w:after="0"/>
        <w:rPr>
          <w:sz w:val="20"/>
          <w:szCs w:val="20"/>
          <w:color w:val="auto"/>
        </w:rPr>
      </w:pPr>
      <w:r>
        <w:rPr>
          <w:rFonts w:ascii="Arial" w:cs="Arial" w:eastAsia="Arial" w:hAnsi="Arial"/>
          <w:sz w:val="20"/>
          <w:szCs w:val="20"/>
          <w:color w:val="auto"/>
        </w:rPr>
        <w:t>Bethesda, Maryland 20814</w:t>
      </w:r>
    </w:p>
    <w:p>
      <w:pPr>
        <w:ind w:left="5480"/>
        <w:spacing w:after="0"/>
        <w:rPr>
          <w:sz w:val="20"/>
          <w:szCs w:val="20"/>
          <w:color w:val="auto"/>
        </w:rPr>
      </w:pPr>
      <w:r>
        <w:rPr>
          <w:rFonts w:ascii="Arial" w:cs="Arial" w:eastAsia="Arial" w:hAnsi="Arial"/>
          <w:sz w:val="20"/>
          <w:szCs w:val="20"/>
          <w:color w:val="auto"/>
        </w:rPr>
        <w:t>Attn: General Counsel</w:t>
      </w:r>
    </w:p>
    <w:p>
      <w:pPr>
        <w:ind w:left="5480"/>
        <w:spacing w:after="0"/>
        <w:rPr>
          <w:sz w:val="20"/>
          <w:szCs w:val="20"/>
          <w:color w:val="auto"/>
        </w:rPr>
      </w:pPr>
      <w:r>
        <w:rPr>
          <w:rFonts w:ascii="Arial" w:cs="Arial" w:eastAsia="Arial" w:hAnsi="Arial"/>
          <w:sz w:val="20"/>
          <w:szCs w:val="20"/>
          <w:color w:val="auto"/>
        </w:rPr>
        <w:t>Facsimile: 301-941-1450</w:t>
      </w:r>
    </w:p>
    <w:p>
      <w:pPr>
        <w:ind w:left="548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auto"/>
        </w:rPr>
        <w:t>legalnotices@midcapfinancial.com</w:t>
      </w:r>
    </w:p>
    <w:p>
      <w:pPr>
        <w:spacing w:after="0" w:line="213" w:lineRule="exact"/>
        <w:rPr>
          <w:sz w:val="20"/>
          <w:szCs w:val="20"/>
          <w:color w:val="auto"/>
        </w:rPr>
      </w:pPr>
    </w:p>
    <w:p>
      <w:pPr>
        <w:ind w:left="5480"/>
        <w:spacing w:after="0"/>
        <w:rPr>
          <w:sz w:val="20"/>
          <w:szCs w:val="20"/>
          <w:color w:val="auto"/>
        </w:rPr>
      </w:pPr>
      <w:r>
        <w:rPr>
          <w:rFonts w:ascii="Arial" w:cs="Arial" w:eastAsia="Arial" w:hAnsi="Arial"/>
          <w:sz w:val="20"/>
          <w:szCs w:val="20"/>
          <w:u w:val="single" w:color="auto"/>
          <w:color w:val="auto"/>
        </w:rPr>
        <w:t>Payment Account Designation:</w:t>
      </w:r>
    </w:p>
    <w:p>
      <w:pPr>
        <w:spacing w:after="0" w:line="229"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SunTrust Bank, N.A.</w:t>
      </w:r>
    </w:p>
    <w:p>
      <w:pPr>
        <w:spacing w:after="0" w:line="15"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ABA #: 061000104</w:t>
      </w:r>
    </w:p>
    <w:p>
      <w:pPr>
        <w:ind w:left="5480"/>
        <w:spacing w:after="0"/>
        <w:rPr>
          <w:sz w:val="20"/>
          <w:szCs w:val="20"/>
          <w:color w:val="auto"/>
        </w:rPr>
      </w:pPr>
      <w:r>
        <w:rPr>
          <w:rFonts w:ascii="Arial" w:cs="Arial" w:eastAsia="Arial" w:hAnsi="Arial"/>
          <w:sz w:val="18"/>
          <w:szCs w:val="18"/>
          <w:color w:val="auto"/>
        </w:rPr>
        <w:t>Account Name: MidCap Financial Trust – Collections</w:t>
      </w:r>
    </w:p>
    <w:p>
      <w:pPr>
        <w:spacing w:after="0" w:line="22"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Account #: 1000113400435</w:t>
      </w:r>
    </w:p>
    <w:p>
      <w:pPr>
        <w:ind w:left="5480"/>
        <w:spacing w:after="0"/>
        <w:rPr>
          <w:sz w:val="20"/>
          <w:szCs w:val="20"/>
          <w:color w:val="auto"/>
        </w:rPr>
      </w:pPr>
      <w:r>
        <w:rPr>
          <w:rFonts w:ascii="Arial" w:cs="Arial" w:eastAsia="Arial" w:hAnsi="Arial"/>
          <w:sz w:val="20"/>
          <w:szCs w:val="20"/>
          <w:color w:val="auto"/>
        </w:rPr>
        <w:t>Attention: Aptevo Therapeutics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rPr>
          <w:sz w:val="20"/>
          <w:szCs w:val="20"/>
          <w:color w:val="auto"/>
        </w:rPr>
      </w:pPr>
      <w:r>
        <w:rPr>
          <w:rFonts w:ascii="Arial" w:cs="Arial" w:eastAsia="Arial" w:hAnsi="Arial"/>
          <w:sz w:val="14"/>
          <w:szCs w:val="14"/>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549" w:right="1440" w:bottom="1440" w:gutter="0" w:footer="0" w:header="0"/>
        </w:sectPr>
      </w:pPr>
    </w:p>
    <w:bookmarkStart w:id="151" w:name="page152"/>
    <w:bookmarkEnd w:id="151"/>
    <w:p>
      <w:pPr>
        <w:spacing w:after="0"/>
        <w:tabs>
          <w:tab w:leader="none" w:pos="5460" w:val="left"/>
        </w:tabs>
        <w:rPr>
          <w:sz w:val="20"/>
          <w:szCs w:val="20"/>
          <w:color w:val="auto"/>
        </w:rPr>
      </w:pPr>
      <w:r>
        <w:rPr>
          <w:rFonts w:ascii="Arial" w:cs="Arial" w:eastAsia="Arial" w:hAnsi="Arial"/>
          <w:sz w:val="20"/>
          <w:szCs w:val="20"/>
          <w:b w:val="1"/>
          <w:bCs w:val="1"/>
          <w:color w:val="auto"/>
        </w:rPr>
        <w:t>LENDER:</w:t>
      </w:r>
      <w:r>
        <w:rPr>
          <w:sz w:val="20"/>
          <w:szCs w:val="20"/>
          <w:color w:val="auto"/>
        </w:rPr>
        <w:tab/>
      </w:r>
      <w:r>
        <w:rPr>
          <w:rFonts w:ascii="Arial" w:cs="Arial" w:eastAsia="Arial" w:hAnsi="Arial"/>
          <w:sz w:val="20"/>
          <w:szCs w:val="20"/>
          <w:b w:val="1"/>
          <w:bCs w:val="1"/>
          <w:color w:val="auto"/>
        </w:rPr>
        <w:t>MIDCAP FINANCIAL TRUST</w:t>
      </w:r>
    </w:p>
    <w:p>
      <w:pPr>
        <w:spacing w:after="0" w:line="200" w:lineRule="exact"/>
        <w:rPr>
          <w:sz w:val="20"/>
          <w:szCs w:val="20"/>
          <w:color w:val="auto"/>
        </w:rPr>
      </w:pPr>
    </w:p>
    <w:p>
      <w:pPr>
        <w:spacing w:after="0" w:line="265"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By:  Apollo Capital Management, L.P.,</w:t>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its investment manager</w:t>
      </w:r>
    </w:p>
    <w:p>
      <w:pPr>
        <w:spacing w:after="0" w:line="213"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By:  Apollo Capital Management GP, LLC,</w:t>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its general partner</w:t>
      </w:r>
    </w:p>
    <w:p>
      <w:pPr>
        <w:spacing w:after="0" w:line="200" w:lineRule="exact"/>
        <w:rPr>
          <w:sz w:val="20"/>
          <w:szCs w:val="20"/>
          <w:color w:val="auto"/>
        </w:rPr>
      </w:pPr>
    </w:p>
    <w:p>
      <w:pPr>
        <w:spacing w:after="0" w:line="243"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10160</wp:posOffset>
            </wp:positionV>
            <wp:extent cx="31457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5900"/>
        <w:spacing w:after="0"/>
        <w:rPr>
          <w:sz w:val="20"/>
          <w:szCs w:val="20"/>
          <w:color w:val="auto"/>
        </w:rPr>
      </w:pPr>
      <w:r>
        <w:rPr>
          <w:rFonts w:ascii="Arial" w:cs="Arial" w:eastAsia="Arial" w:hAnsi="Arial"/>
          <w:sz w:val="20"/>
          <w:szCs w:val="20"/>
          <w:color w:val="auto"/>
        </w:rPr>
        <w:t>Name: Maurice Amsellem</w:t>
      </w:r>
    </w:p>
    <w:p>
      <w:pPr>
        <w:spacing w:after="0" w:line="8"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Title:  Authorized Signatory</w:t>
      </w:r>
    </w:p>
    <w:p>
      <w:pPr>
        <w:spacing w:after="0" w:line="213" w:lineRule="exact"/>
        <w:rPr>
          <w:sz w:val="20"/>
          <w:szCs w:val="20"/>
          <w:color w:val="auto"/>
        </w:rPr>
      </w:pPr>
    </w:p>
    <w:p>
      <w:pPr>
        <w:ind w:left="5480"/>
        <w:spacing w:after="0"/>
        <w:rPr>
          <w:sz w:val="20"/>
          <w:szCs w:val="20"/>
          <w:color w:val="auto"/>
        </w:rPr>
      </w:pPr>
      <w:r>
        <w:rPr>
          <w:rFonts w:ascii="Arial" w:cs="Arial" w:eastAsia="Arial" w:hAnsi="Arial"/>
          <w:sz w:val="20"/>
          <w:szCs w:val="20"/>
          <w:u w:val="single" w:color="auto"/>
          <w:color w:val="auto"/>
        </w:rPr>
        <w:t>Address</w:t>
      </w:r>
      <w:r>
        <w:rPr>
          <w:rFonts w:ascii="Arial" w:cs="Arial" w:eastAsia="Arial" w:hAnsi="Arial"/>
          <w:sz w:val="20"/>
          <w:szCs w:val="20"/>
          <w:color w:val="auto"/>
        </w:rPr>
        <w:t>:</w:t>
      </w:r>
    </w:p>
    <w:p>
      <w:pPr>
        <w:spacing w:after="0" w:line="22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c/o MidCap Financial Services, LLC, as servicer</w:t>
      </w:r>
    </w:p>
    <w:p>
      <w:pPr>
        <w:spacing w:after="0" w:line="38"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7255 Woodmont Avenue, Suite 200</w:t>
      </w:r>
    </w:p>
    <w:p>
      <w:pPr>
        <w:ind w:left="5480"/>
        <w:spacing w:after="0"/>
        <w:rPr>
          <w:sz w:val="20"/>
          <w:szCs w:val="20"/>
          <w:color w:val="auto"/>
        </w:rPr>
      </w:pPr>
      <w:r>
        <w:rPr>
          <w:rFonts w:ascii="Arial" w:cs="Arial" w:eastAsia="Arial" w:hAnsi="Arial"/>
          <w:sz w:val="20"/>
          <w:szCs w:val="20"/>
          <w:color w:val="auto"/>
        </w:rPr>
        <w:t>Bethesda, Maryland 20814</w:t>
      </w:r>
    </w:p>
    <w:p>
      <w:pPr>
        <w:ind w:left="5480"/>
        <w:spacing w:after="0"/>
        <w:rPr>
          <w:sz w:val="20"/>
          <w:szCs w:val="20"/>
          <w:color w:val="auto"/>
        </w:rPr>
      </w:pPr>
      <w:r>
        <w:rPr>
          <w:rFonts w:ascii="Arial" w:cs="Arial" w:eastAsia="Arial" w:hAnsi="Arial"/>
          <w:sz w:val="19"/>
          <w:szCs w:val="19"/>
          <w:color w:val="auto"/>
        </w:rPr>
        <w:t>Attn: Account Manager for Aptevo transaction</w:t>
      </w:r>
    </w:p>
    <w:p>
      <w:pPr>
        <w:spacing w:after="0" w:line="11"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Facsimile: 301-941-1450</w:t>
      </w:r>
    </w:p>
    <w:p>
      <w:pPr>
        <w:ind w:left="548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auto"/>
        </w:rPr>
        <w:t>notices@midcapfinancial.com</w:t>
      </w:r>
    </w:p>
    <w:p>
      <w:pPr>
        <w:spacing w:after="0" w:line="213"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with a copy to:</w:t>
      </w:r>
    </w:p>
    <w:p>
      <w:pPr>
        <w:spacing w:after="0" w:line="22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c/o MidCap Financial Services, LLC, as servicer</w:t>
      </w:r>
    </w:p>
    <w:p>
      <w:pPr>
        <w:spacing w:after="0" w:line="38"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7255 Woodmont Avenue, Suite 200</w:t>
      </w:r>
    </w:p>
    <w:p>
      <w:pPr>
        <w:ind w:left="5480"/>
        <w:spacing w:after="0"/>
        <w:rPr>
          <w:sz w:val="20"/>
          <w:szCs w:val="20"/>
          <w:color w:val="auto"/>
        </w:rPr>
      </w:pPr>
      <w:r>
        <w:rPr>
          <w:rFonts w:ascii="Arial" w:cs="Arial" w:eastAsia="Arial" w:hAnsi="Arial"/>
          <w:sz w:val="20"/>
          <w:szCs w:val="20"/>
          <w:color w:val="auto"/>
        </w:rPr>
        <w:t>Bethesda, Maryland 20814</w:t>
      </w:r>
    </w:p>
    <w:p>
      <w:pPr>
        <w:ind w:left="5480"/>
        <w:spacing w:after="0"/>
        <w:rPr>
          <w:sz w:val="20"/>
          <w:szCs w:val="20"/>
          <w:color w:val="auto"/>
        </w:rPr>
      </w:pPr>
      <w:r>
        <w:rPr>
          <w:rFonts w:ascii="Arial" w:cs="Arial" w:eastAsia="Arial" w:hAnsi="Arial"/>
          <w:sz w:val="20"/>
          <w:szCs w:val="20"/>
          <w:color w:val="auto"/>
        </w:rPr>
        <w:t>Attn: General Counsel</w:t>
      </w:r>
    </w:p>
    <w:p>
      <w:pPr>
        <w:ind w:left="5480"/>
        <w:spacing w:after="0"/>
        <w:rPr>
          <w:sz w:val="20"/>
          <w:szCs w:val="20"/>
          <w:color w:val="auto"/>
        </w:rPr>
      </w:pPr>
      <w:r>
        <w:rPr>
          <w:rFonts w:ascii="Arial" w:cs="Arial" w:eastAsia="Arial" w:hAnsi="Arial"/>
          <w:sz w:val="20"/>
          <w:szCs w:val="20"/>
          <w:color w:val="auto"/>
        </w:rPr>
        <w:t>Facsimile: 301-941-1450</w:t>
      </w:r>
    </w:p>
    <w:p>
      <w:pPr>
        <w:ind w:left="548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auto"/>
        </w:rPr>
        <w:t>legalnotices@midcapfinancial.com</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rPr>
          <w:sz w:val="20"/>
          <w:szCs w:val="20"/>
          <w:color w:val="auto"/>
        </w:rPr>
      </w:pPr>
      <w:r>
        <w:rPr>
          <w:rFonts w:ascii="Arial" w:cs="Arial" w:eastAsia="Arial" w:hAnsi="Arial"/>
          <w:sz w:val="14"/>
          <w:szCs w:val="14"/>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549" w:right="1440" w:bottom="1440" w:gutter="0" w:footer="0" w:header="0"/>
        </w:sectPr>
      </w:pPr>
    </w:p>
    <w:bookmarkStart w:id="152" w:name="page153"/>
    <w:bookmarkEnd w:id="152"/>
    <w:p>
      <w:pPr>
        <w:spacing w:after="0"/>
        <w:tabs>
          <w:tab w:leader="none" w:pos="5460" w:val="left"/>
        </w:tabs>
        <w:rPr>
          <w:sz w:val="20"/>
          <w:szCs w:val="20"/>
          <w:color w:val="auto"/>
        </w:rPr>
      </w:pPr>
      <w:r>
        <w:rPr>
          <w:rFonts w:ascii="Arial" w:cs="Arial" w:eastAsia="Arial" w:hAnsi="Arial"/>
          <w:sz w:val="20"/>
          <w:szCs w:val="20"/>
          <w:b w:val="1"/>
          <w:bCs w:val="1"/>
          <w:color w:val="auto"/>
        </w:rPr>
        <w:t>LENDER:</w:t>
      </w:r>
      <w:r>
        <w:rPr>
          <w:sz w:val="20"/>
          <w:szCs w:val="20"/>
          <w:color w:val="auto"/>
        </w:rPr>
        <w:tab/>
      </w:r>
      <w:r>
        <w:rPr>
          <w:rFonts w:ascii="Arial" w:cs="Arial" w:eastAsia="Arial" w:hAnsi="Arial"/>
          <w:sz w:val="20"/>
          <w:szCs w:val="20"/>
          <w:b w:val="1"/>
          <w:bCs w:val="1"/>
          <w:color w:val="auto"/>
        </w:rPr>
        <w:t>MIDCAP FUNDING XIII TRUST</w:t>
      </w:r>
    </w:p>
    <w:p>
      <w:pPr>
        <w:spacing w:after="0" w:line="200" w:lineRule="exact"/>
        <w:rPr>
          <w:sz w:val="20"/>
          <w:szCs w:val="20"/>
          <w:color w:val="auto"/>
        </w:rPr>
      </w:pPr>
    </w:p>
    <w:p>
      <w:pPr>
        <w:spacing w:after="0" w:line="265"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By:  Apollo Capital Management, L.P.,</w:t>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its investment manager</w:t>
      </w:r>
    </w:p>
    <w:p>
      <w:pPr>
        <w:spacing w:after="0" w:line="21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By:  Apollo Capital Management GP, LLC,</w:t>
      </w:r>
    </w:p>
    <w:p>
      <w:pPr>
        <w:spacing w:after="0" w:line="39"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its general partner</w:t>
      </w:r>
    </w:p>
    <w:p>
      <w:pPr>
        <w:spacing w:after="0" w:line="200" w:lineRule="exact"/>
        <w:rPr>
          <w:sz w:val="20"/>
          <w:szCs w:val="20"/>
          <w:color w:val="auto"/>
        </w:rPr>
      </w:pPr>
    </w:p>
    <w:p>
      <w:pPr>
        <w:spacing w:after="0" w:line="243"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10160</wp:posOffset>
            </wp:positionV>
            <wp:extent cx="31457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5900"/>
        <w:spacing w:after="0"/>
        <w:rPr>
          <w:sz w:val="20"/>
          <w:szCs w:val="20"/>
          <w:color w:val="auto"/>
        </w:rPr>
      </w:pPr>
      <w:r>
        <w:rPr>
          <w:rFonts w:ascii="Arial" w:cs="Arial" w:eastAsia="Arial" w:hAnsi="Arial"/>
          <w:sz w:val="20"/>
          <w:szCs w:val="20"/>
          <w:color w:val="auto"/>
        </w:rPr>
        <w:t>Name: Maurice Amsellem</w:t>
      </w:r>
    </w:p>
    <w:p>
      <w:pPr>
        <w:spacing w:after="0" w:line="8"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Therapeutics / Credit and Security Agreement</w:t>
      </w:r>
    </w:p>
    <w:p>
      <w:pPr>
        <w:spacing w:after="0"/>
        <w:rPr>
          <w:sz w:val="20"/>
          <w:szCs w:val="20"/>
          <w:color w:val="auto"/>
        </w:rPr>
      </w:pPr>
      <w:r>
        <w:rPr>
          <w:rFonts w:ascii="Arial" w:cs="Arial" w:eastAsia="Arial" w:hAnsi="Arial"/>
          <w:sz w:val="14"/>
          <w:szCs w:val="14"/>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549" w:right="1440" w:bottom="1440" w:gutter="0" w:footer="0" w:header="0"/>
        </w:sectPr>
      </w:pPr>
    </w:p>
    <w:bookmarkStart w:id="153" w:name="page154"/>
    <w:bookmarkEnd w:id="153"/>
    <w:p>
      <w:pPr>
        <w:spacing w:after="0"/>
        <w:tabs>
          <w:tab w:leader="none" w:pos="5460" w:val="left"/>
        </w:tabs>
        <w:rPr>
          <w:sz w:val="20"/>
          <w:szCs w:val="20"/>
          <w:color w:val="auto"/>
        </w:rPr>
      </w:pPr>
      <w:r>
        <w:rPr>
          <w:rFonts w:ascii="Arial" w:cs="Arial" w:eastAsia="Arial" w:hAnsi="Arial"/>
          <w:sz w:val="20"/>
          <w:szCs w:val="20"/>
          <w:b w:val="1"/>
          <w:bCs w:val="1"/>
          <w:color w:val="auto"/>
        </w:rPr>
        <w:t>LENDER:</w:t>
      </w:r>
      <w:r>
        <w:rPr>
          <w:sz w:val="20"/>
          <w:szCs w:val="20"/>
          <w:color w:val="auto"/>
        </w:rPr>
        <w:tab/>
      </w:r>
      <w:r>
        <w:rPr>
          <w:rFonts w:ascii="Arial" w:cs="Arial" w:eastAsia="Arial" w:hAnsi="Arial"/>
          <w:sz w:val="20"/>
          <w:szCs w:val="20"/>
          <w:b w:val="1"/>
          <w:bCs w:val="1"/>
          <w:color w:val="auto"/>
        </w:rPr>
        <w:t>FLEXPOINT MCLS HOLDINGS LLC</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10160</wp:posOffset>
            </wp:positionV>
            <wp:extent cx="31457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5900"/>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20"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139"/>
          </w:cols>
          <w:pgMar w:left="320" w:top="549" w:right="1440"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Marvin White, certify that:</w:t>
      </w:r>
    </w:p>
    <w:p>
      <w:pPr>
        <w:spacing w:after="0" w:line="225" w:lineRule="exact"/>
        <w:rPr>
          <w:sz w:val="20"/>
          <w:szCs w:val="20"/>
          <w:color w:val="auto"/>
        </w:rPr>
      </w:pPr>
    </w:p>
    <w:p>
      <w:pPr>
        <w:ind w:left="500" w:hanging="492"/>
        <w:spacing w:after="0"/>
        <w:tabs>
          <w:tab w:leader="none" w:pos="5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Aptevo Therapeutics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1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1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20" w:val="left"/>
          <w:tab w:leader="none" w:pos="7960" w:val="left"/>
        </w:tabs>
        <w:rPr>
          <w:sz w:val="20"/>
          <w:szCs w:val="20"/>
          <w:color w:val="auto"/>
        </w:rPr>
      </w:pPr>
      <w:r>
        <w:rPr>
          <w:rFonts w:ascii="Arial" w:cs="Arial" w:eastAsia="Arial" w:hAnsi="Arial"/>
          <w:sz w:val="18"/>
          <w:szCs w:val="18"/>
          <w:color w:val="auto"/>
        </w:rPr>
        <w:t>Date: November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121"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 Lamothe, certify that:</w:t>
      </w:r>
    </w:p>
    <w:p>
      <w:pPr>
        <w:spacing w:after="0" w:line="225" w:lineRule="exact"/>
        <w:rPr>
          <w:sz w:val="20"/>
          <w:szCs w:val="20"/>
          <w:color w:val="auto"/>
        </w:rPr>
      </w:pPr>
    </w:p>
    <w:p>
      <w:pPr>
        <w:ind w:left="500" w:hanging="492"/>
        <w:spacing w:after="0"/>
        <w:tabs>
          <w:tab w:leader="none" w:pos="5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Aptevo Therapeutics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20" w:val="left"/>
          <w:tab w:leader="none" w:pos="8000" w:val="left"/>
        </w:tabs>
        <w:rPr>
          <w:sz w:val="20"/>
          <w:szCs w:val="20"/>
          <w:color w:val="auto"/>
        </w:rPr>
      </w:pPr>
      <w:r>
        <w:rPr>
          <w:rFonts w:ascii="Arial" w:cs="Arial" w:eastAsia="Arial" w:hAnsi="Arial"/>
          <w:sz w:val="18"/>
          <w:szCs w:val="18"/>
          <w:color w:val="auto"/>
        </w:rPr>
        <w:t>Date: November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Jeff Lamothe</w:t>
      </w:r>
    </w:p>
    <w:p>
      <w:pPr>
        <w:spacing w:after="0" w:line="27"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Senior Vice President, Chief Financial Officer, and</w:t>
      </w:r>
    </w:p>
    <w:p>
      <w:pPr>
        <w:spacing w:after="0" w:line="23"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Treasurer</w:t>
      </w:r>
    </w:p>
    <w:p>
      <w:pPr>
        <w:sectPr>
          <w:pgSz w:w="11900" w:h="16838" w:orient="portrait"/>
          <w:cols w:equalWidth="0" w:num="1">
            <w:col w:w="11240"/>
          </w:cols>
          <w:pgMar w:left="320" w:top="121"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620" w:firstLine="510"/>
        <w:spacing w:after="0" w:line="263" w:lineRule="auto"/>
        <w:rPr>
          <w:sz w:val="20"/>
          <w:szCs w:val="20"/>
          <w:color w:val="auto"/>
        </w:rPr>
      </w:pPr>
      <w:r>
        <w:rPr>
          <w:rFonts w:ascii="Arial" w:cs="Arial" w:eastAsia="Arial" w:hAnsi="Arial"/>
          <w:sz w:val="18"/>
          <w:szCs w:val="18"/>
          <w:color w:val="auto"/>
        </w:rPr>
        <w:t>In connection with the Annual Report of Aptevo Therapeutics Inc. on Form 10-Q for the period ending September 30, 2020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p>
      <w:pPr>
        <w:spacing w:after="0"/>
        <w:tabs>
          <w:tab w:leader="none" w:pos="6680" w:val="left"/>
          <w:tab w:leader="none" w:pos="8480" w:val="left"/>
        </w:tabs>
        <w:rPr>
          <w:sz w:val="20"/>
          <w:szCs w:val="20"/>
          <w:color w:val="auto"/>
        </w:rPr>
      </w:pPr>
      <w:r>
        <w:rPr>
          <w:rFonts w:ascii="Arial" w:cs="Arial" w:eastAsia="Arial" w:hAnsi="Arial"/>
          <w:sz w:val="18"/>
          <w:szCs w:val="18"/>
          <w:color w:val="auto"/>
        </w:rPr>
        <w:t>Date: November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14605</wp:posOffset>
            </wp:positionV>
            <wp:extent cx="27000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12" w:lineRule="exact"/>
        <w:rPr>
          <w:sz w:val="20"/>
          <w:szCs w:val="20"/>
          <w:color w:val="auto"/>
        </w:rPr>
      </w:pPr>
    </w:p>
    <w:p>
      <w:pPr>
        <w:jc w:val="center"/>
        <w:ind w:left="696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69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0" w:lineRule="exact"/>
        <w:rPr>
          <w:sz w:val="20"/>
          <w:szCs w:val="20"/>
          <w:color w:val="auto"/>
        </w:rPr>
      </w:pPr>
    </w:p>
    <w:p>
      <w:pPr>
        <w:spacing w:after="0" w:line="240"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p>
      <w:pPr>
        <w:sectPr>
          <w:pgSz w:w="11900" w:h="16838" w:orient="portrait"/>
          <w:cols w:equalWidth="0" w:num="1">
            <w:col w:w="11240"/>
          </w:cols>
          <w:pgMar w:left="320" w:top="121"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 connection with the Annual Report of Aptevo Inc. on Form 10-Q for the period ending September 30, 2020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00" w:right="640" w:hanging="493"/>
        <w:spacing w:after="0" w:line="277" w:lineRule="auto"/>
        <w:tabs>
          <w:tab w:leader="none" w:pos="10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p>
      <w:pPr>
        <w:spacing w:after="0"/>
        <w:tabs>
          <w:tab w:leader="none" w:pos="6680" w:val="left"/>
          <w:tab w:leader="none" w:pos="8500" w:val="left"/>
        </w:tabs>
        <w:rPr>
          <w:sz w:val="20"/>
          <w:szCs w:val="20"/>
          <w:color w:val="auto"/>
        </w:rPr>
      </w:pPr>
      <w:r>
        <w:rPr>
          <w:rFonts w:ascii="Arial" w:cs="Arial" w:eastAsia="Arial" w:hAnsi="Arial"/>
          <w:sz w:val="18"/>
          <w:szCs w:val="18"/>
          <w:color w:val="auto"/>
        </w:rPr>
        <w:t>Date: November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14605</wp:posOffset>
            </wp:positionV>
            <wp:extent cx="27000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12" w:lineRule="exact"/>
        <w:rPr>
          <w:sz w:val="20"/>
          <w:szCs w:val="20"/>
          <w:color w:val="auto"/>
        </w:rPr>
      </w:pPr>
    </w:p>
    <w:p>
      <w:pPr>
        <w:ind w:left="8600"/>
        <w:spacing w:after="0"/>
        <w:rPr>
          <w:sz w:val="20"/>
          <w:szCs w:val="20"/>
          <w:color w:val="auto"/>
        </w:rPr>
      </w:pPr>
      <w:r>
        <w:rPr>
          <w:rFonts w:ascii="Arial" w:cs="Arial" w:eastAsia="Arial" w:hAnsi="Arial"/>
          <w:sz w:val="18"/>
          <w:szCs w:val="18"/>
          <w:b w:val="1"/>
          <w:bCs w:val="1"/>
          <w:color w:val="auto"/>
        </w:rPr>
        <w:t>Jeff Lamothe</w:t>
      </w:r>
    </w:p>
    <w:p>
      <w:pPr>
        <w:spacing w:after="0" w:line="27" w:lineRule="exact"/>
        <w:rPr>
          <w:sz w:val="20"/>
          <w:szCs w:val="20"/>
          <w:color w:val="auto"/>
        </w:rPr>
      </w:pPr>
    </w:p>
    <w:p>
      <w:pPr>
        <w:ind w:left="7340"/>
        <w:spacing w:after="0"/>
        <w:rPr>
          <w:sz w:val="20"/>
          <w:szCs w:val="20"/>
          <w:color w:val="auto"/>
        </w:rPr>
      </w:pPr>
      <w:r>
        <w:rPr>
          <w:rFonts w:ascii="Arial" w:cs="Arial" w:eastAsia="Arial" w:hAnsi="Arial"/>
          <w:sz w:val="17"/>
          <w:szCs w:val="17"/>
          <w:b w:val="1"/>
          <w:bCs w:val="1"/>
          <w:color w:val="auto"/>
        </w:rPr>
        <w:t>Senior Vice President, Chief Financial Officer,</w:t>
      </w:r>
    </w:p>
    <w:p>
      <w:pPr>
        <w:spacing w:after="0" w:line="34" w:lineRule="exact"/>
        <w:rPr>
          <w:sz w:val="20"/>
          <w:szCs w:val="20"/>
          <w:color w:val="auto"/>
        </w:rPr>
      </w:pPr>
    </w:p>
    <w:p>
      <w:pPr>
        <w:ind w:left="8560"/>
        <w:spacing w:after="0"/>
        <w:rPr>
          <w:sz w:val="20"/>
          <w:szCs w:val="20"/>
          <w:color w:val="auto"/>
        </w:rPr>
      </w:pPr>
      <w:r>
        <w:rPr>
          <w:rFonts w:ascii="Arial" w:cs="Arial" w:eastAsia="Arial" w:hAnsi="Arial"/>
          <w:sz w:val="18"/>
          <w:szCs w:val="18"/>
          <w:b w:val="1"/>
          <w:bCs w:val="1"/>
          <w:color w:val="auto"/>
        </w:rPr>
        <w:t>and Treasurer</w:t>
      </w:r>
    </w:p>
    <w:p>
      <w:pPr>
        <w:spacing w:after="0" w:line="200" w:lineRule="exact"/>
        <w:rPr>
          <w:sz w:val="20"/>
          <w:szCs w:val="20"/>
          <w:color w:val="auto"/>
        </w:rPr>
      </w:pPr>
    </w:p>
    <w:p>
      <w:pPr>
        <w:spacing w:after="0" w:line="227"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F72B14"/>
    <w:multiLevelType w:val="hybridMultilevel"/>
    <w:lvl w:ilvl="0">
      <w:lvlJc w:val="left"/>
      <w:lvlText w:val="☒"/>
      <w:numFmt w:val="bullet"/>
      <w:start w:val="1"/>
    </w:lvl>
  </w:abstractNum>
  <w:abstractNum w:abstractNumId="1">
    <w:nsid w:val="11447B73"/>
    <w:multiLevelType w:val="hybridMultilevel"/>
    <w:lvl w:ilvl="0">
      <w:lvlJc w:val="left"/>
      <w:lvlText w:val="☐"/>
      <w:numFmt w:val="bullet"/>
      <w:start w:val="1"/>
    </w:lvl>
  </w:abstractNum>
  <w:abstractNum w:abstractNumId="2">
    <w:nsid w:val="42963E5A"/>
    <w:multiLevelType w:val="hybridMultilevel"/>
    <w:lvl w:ilvl="0">
      <w:lvlJc w:val="left"/>
      <w:lvlText w:val="(%1)"/>
      <w:numFmt w:val="lowerLetter"/>
      <w:start w:val="6"/>
    </w:lvl>
  </w:abstractNum>
  <w:abstractNum w:abstractNumId="3">
    <w:nsid w:val="A0382C5"/>
    <w:multiLevelType w:val="hybridMultilevel"/>
    <w:lvl w:ilvl="0">
      <w:lvlJc w:val="left"/>
      <w:lvlText w:val="•"/>
      <w:numFmt w:val="bullet"/>
      <w:start w:val="1"/>
    </w:lvl>
  </w:abstractNum>
  <w:abstractNum w:abstractNumId="4">
    <w:nsid w:val="8F2B15E"/>
    <w:multiLevelType w:val="hybridMultilevel"/>
    <w:lvl w:ilvl="0">
      <w:lvlJc w:val="left"/>
      <w:lvlText w:val="(%1)"/>
      <w:numFmt w:val="lowerRoman"/>
      <w:start w:val="2"/>
    </w:lvl>
  </w:abstractNum>
  <w:abstractNum w:abstractNumId="5">
    <w:nsid w:val="1A32234B"/>
    <w:multiLevelType w:val="hybridMultilevel"/>
    <w:lvl w:ilvl="0">
      <w:lvlJc w:val="left"/>
      <w:lvlText w:val="•"/>
      <w:numFmt w:val="bullet"/>
      <w:start w:val="1"/>
    </w:lvl>
  </w:abstractNum>
  <w:abstractNum w:abstractNumId="6">
    <w:nsid w:val="3B0FD379"/>
    <w:multiLevelType w:val="hybridMultilevel"/>
    <w:lvl w:ilvl="0">
      <w:lvlJc w:val="left"/>
      <w:lvlText w:val="•"/>
      <w:numFmt w:val="bullet"/>
      <w:start w:val="1"/>
    </w:lvl>
  </w:abstractNum>
  <w:abstractNum w:abstractNumId="7">
    <w:nsid w:val="68EB2F63"/>
    <w:multiLevelType w:val="hybridMultilevel"/>
    <w:lvl w:ilvl="0">
      <w:lvlJc w:val="left"/>
      <w:lvlText w:val="•"/>
      <w:numFmt w:val="bullet"/>
      <w:start w:val="1"/>
    </w:lvl>
  </w:abstractNum>
  <w:abstractNum w:abstractNumId="8">
    <w:nsid w:val="4962813B"/>
    <w:multiLevelType w:val="hybridMultilevel"/>
    <w:lvl w:ilvl="0">
      <w:lvlJc w:val="left"/>
      <w:lvlText w:val="•"/>
      <w:numFmt w:val="bullet"/>
      <w:start w:val="1"/>
    </w:lvl>
  </w:abstractNum>
  <w:abstractNum w:abstractNumId="9">
    <w:nsid w:val="60B6DF70"/>
    <w:multiLevelType w:val="hybridMultilevel"/>
    <w:lvl w:ilvl="0">
      <w:lvlJc w:val="left"/>
      <w:lvlText w:val="•"/>
      <w:numFmt w:val="bullet"/>
      <w:start w:val="1"/>
    </w:lvl>
  </w:abstractNum>
  <w:abstractNum w:abstractNumId="10">
    <w:nsid w:val="6A5EE64"/>
    <w:multiLevelType w:val="hybridMultilevel"/>
    <w:lvl w:ilvl="0">
      <w:lvlJc w:val="left"/>
      <w:lvlText w:val="•"/>
      <w:numFmt w:val="bullet"/>
      <w:start w:val="1"/>
    </w:lvl>
  </w:abstractNum>
  <w:abstractNum w:abstractNumId="11">
    <w:nsid w:val="14330624"/>
    <w:multiLevelType w:val="hybridMultilevel"/>
    <w:lvl w:ilvl="0">
      <w:lvlJc w:val="left"/>
      <w:lvlText w:val="•"/>
      <w:numFmt w:val="bullet"/>
      <w:start w:val="1"/>
    </w:lvl>
  </w:abstractNum>
  <w:abstractNum w:abstractNumId="12">
    <w:nsid w:val="7FFFCA11"/>
    <w:multiLevelType w:val="hybridMultilevel"/>
    <w:lvl w:ilvl="0">
      <w:lvlJc w:val="left"/>
      <w:lvlText w:val="•"/>
      <w:numFmt w:val="bullet"/>
      <w:start w:val="1"/>
    </w:lvl>
  </w:abstractNum>
  <w:abstractNum w:abstractNumId="13">
    <w:nsid w:val="1A27709E"/>
    <w:multiLevelType w:val="hybridMultilevel"/>
    <w:lvl w:ilvl="0">
      <w:lvlJc w:val="left"/>
      <w:lvlText w:val="•"/>
      <w:numFmt w:val="bullet"/>
      <w:start w:val="1"/>
    </w:lvl>
  </w:abstractNum>
  <w:abstractNum w:abstractNumId="14">
    <w:nsid w:val="71EA1109"/>
    <w:multiLevelType w:val="hybridMultilevel"/>
    <w:lvl w:ilvl="0">
      <w:lvlJc w:val="left"/>
      <w:lvlText w:val="•"/>
      <w:numFmt w:val="bullet"/>
      <w:start w:val="1"/>
    </w:lvl>
  </w:abstractNum>
  <w:abstractNum w:abstractNumId="15">
    <w:nsid w:val="100F59DC"/>
    <w:multiLevelType w:val="hybridMultilevel"/>
    <w:lvl w:ilvl="0">
      <w:lvlJc w:val="left"/>
      <w:lvlText w:val="•"/>
      <w:numFmt w:val="bullet"/>
      <w:start w:val="1"/>
    </w:lvl>
  </w:abstractNum>
  <w:abstractNum w:abstractNumId="16">
    <w:nsid w:val="7FB7E0AA"/>
    <w:multiLevelType w:val="hybridMultilevel"/>
    <w:lvl w:ilvl="0">
      <w:lvlJc w:val="left"/>
      <w:lvlText w:val="•"/>
      <w:numFmt w:val="bullet"/>
      <w:start w:val="1"/>
    </w:lvl>
  </w:abstractNum>
  <w:abstractNum w:abstractNumId="17">
    <w:nsid w:val="6EB5BD4"/>
    <w:multiLevelType w:val="hybridMultilevel"/>
    <w:lvl w:ilvl="0">
      <w:lvlJc w:val="left"/>
      <w:lvlText w:val="•"/>
      <w:numFmt w:val="bullet"/>
      <w:start w:val="1"/>
    </w:lvl>
  </w:abstractNum>
  <w:abstractNum w:abstractNumId="18">
    <w:nsid w:val="6F6DD9AC"/>
    <w:multiLevelType w:val="hybridMultilevel"/>
    <w:lvl w:ilvl="0">
      <w:lvlJc w:val="left"/>
      <w:lvlText w:val="•"/>
      <w:numFmt w:val="bullet"/>
      <w:start w:val="1"/>
    </w:lvl>
  </w:abstractNum>
  <w:abstractNum w:abstractNumId="19">
    <w:nsid w:val="94211F2"/>
    <w:multiLevelType w:val="hybridMultilevel"/>
    <w:lvl w:ilvl="0">
      <w:lvlJc w:val="left"/>
      <w:lvlText w:val="•"/>
      <w:numFmt w:val="bullet"/>
      <w:start w:val="1"/>
    </w:lvl>
  </w:abstractNum>
  <w:abstractNum w:abstractNumId="20">
    <w:nsid w:val="885E1B"/>
    <w:multiLevelType w:val="hybridMultilevel"/>
    <w:lvl w:ilvl="0">
      <w:lvlJc w:val="left"/>
      <w:lvlText w:val="•"/>
      <w:numFmt w:val="bullet"/>
      <w:start w:val="1"/>
    </w:lvl>
  </w:abstractNum>
  <w:abstractNum w:abstractNumId="21">
    <w:nsid w:val="76272110"/>
    <w:multiLevelType w:val="hybridMultilevel"/>
    <w:lvl w:ilvl="0">
      <w:lvlJc w:val="left"/>
      <w:lvlText w:val="•"/>
      <w:numFmt w:val="bullet"/>
      <w:start w:val="1"/>
    </w:lvl>
  </w:abstractNum>
  <w:abstractNum w:abstractNumId="22">
    <w:nsid w:val="4C04A8AF"/>
    <w:multiLevelType w:val="hybridMultilevel"/>
    <w:lvl w:ilvl="0">
      <w:lvlJc w:val="left"/>
      <w:lvlText w:val="&amp;"/>
      <w:numFmt w:val="bullet"/>
      <w:start w:val="1"/>
    </w:lvl>
  </w:abstractNum>
  <w:abstractNum w:abstractNumId="23">
    <w:nsid w:val="1716703B"/>
    <w:multiLevelType w:val="hybridMultilevel"/>
    <w:lvl w:ilvl="0">
      <w:lvlJc w:val="left"/>
      <w:lvlText w:val="•"/>
      <w:numFmt w:val="bullet"/>
      <w:start w:val="1"/>
    </w:lvl>
  </w:abstractNum>
  <w:abstractNum w:abstractNumId="24">
    <w:nsid w:val="14E17E33"/>
    <w:multiLevelType w:val="hybridMultilevel"/>
    <w:lvl w:ilvl="0">
      <w:lvlJc w:val="left"/>
      <w:lvlText w:val="•"/>
      <w:numFmt w:val="bullet"/>
      <w:start w:val="1"/>
    </w:lvl>
  </w:abstractNum>
  <w:abstractNum w:abstractNumId="25">
    <w:nsid w:val="3222E7CD"/>
    <w:multiLevelType w:val="hybridMultilevel"/>
    <w:lvl w:ilvl="0">
      <w:lvlJc w:val="left"/>
      <w:lvlText w:val="•"/>
      <w:numFmt w:val="bullet"/>
      <w:start w:val="1"/>
    </w:lvl>
  </w:abstractNum>
  <w:abstractNum w:abstractNumId="26">
    <w:nsid w:val="74DE0EE3"/>
    <w:multiLevelType w:val="hybridMultilevel"/>
    <w:lvl w:ilvl="0">
      <w:lvlJc w:val="left"/>
      <w:lvlText w:val="•"/>
      <w:numFmt w:val="bullet"/>
      <w:start w:val="1"/>
    </w:lvl>
  </w:abstractNum>
  <w:abstractNum w:abstractNumId="27">
    <w:nsid w:val="68EBC550"/>
    <w:multiLevelType w:val="hybridMultilevel"/>
    <w:lvl w:ilvl="0">
      <w:lvlJc w:val="left"/>
      <w:lvlText w:val="•"/>
      <w:numFmt w:val="bullet"/>
      <w:start w:val="1"/>
    </w:lvl>
  </w:abstractNum>
  <w:abstractNum w:abstractNumId="28">
    <w:nsid w:val="2DF6D648"/>
    <w:multiLevelType w:val="hybridMultilevel"/>
    <w:lvl w:ilvl="0">
      <w:lvlJc w:val="left"/>
      <w:lvlText w:val="•"/>
      <w:numFmt w:val="bullet"/>
      <w:start w:val="1"/>
    </w:lvl>
  </w:abstractNum>
  <w:abstractNum w:abstractNumId="29">
    <w:nsid w:val="46B7D447"/>
    <w:multiLevelType w:val="hybridMultilevel"/>
    <w:lvl w:ilvl="0">
      <w:lvlJc w:val="left"/>
      <w:lvlText w:val="•"/>
      <w:numFmt w:val="bullet"/>
      <w:start w:val="1"/>
    </w:lvl>
  </w:abstractNum>
  <w:abstractNum w:abstractNumId="30">
    <w:nsid w:val="4A2AC315"/>
    <w:multiLevelType w:val="hybridMultilevel"/>
    <w:lvl w:ilvl="0">
      <w:lvlJc w:val="left"/>
      <w:lvlText w:val="*"/>
      <w:numFmt w:val="bullet"/>
      <w:start w:val="1"/>
    </w:lvl>
  </w:abstractNum>
  <w:abstractNum w:abstractNumId="31">
    <w:nsid w:val="39EE015C"/>
    <w:multiLevelType w:val="hybridMultilevel"/>
    <w:lvl w:ilvl="0">
      <w:lvlJc w:val="left"/>
      <w:lvlText w:val="(%1)"/>
      <w:numFmt w:val="lowerLetter"/>
      <w:start w:val="2"/>
    </w:lvl>
  </w:abstractNum>
  <w:abstractNum w:abstractNumId="32">
    <w:nsid w:val="57FC4FBB"/>
    <w:multiLevelType w:val="hybridMultilevel"/>
    <w:lvl w:ilvl="0">
      <w:lvlJc w:val="left"/>
      <w:lvlText w:val="(%1)"/>
      <w:numFmt w:val="lowerLetter"/>
      <w:start w:val="8"/>
    </w:lvl>
  </w:abstractNum>
  <w:abstractNum w:abstractNumId="33">
    <w:nsid w:val="CC1016F"/>
    <w:multiLevelType w:val="hybridMultilevel"/>
    <w:lvl w:ilvl="0">
      <w:lvlJc w:val="left"/>
      <w:lvlText w:val="(%1)"/>
      <w:numFmt w:val="lowerLetter"/>
      <w:start w:val="1"/>
    </w:lvl>
  </w:abstractNum>
  <w:abstractNum w:abstractNumId="34">
    <w:nsid w:val="43F18422"/>
    <w:multiLevelType w:val="hybridMultilevel"/>
    <w:lvl w:ilvl="0">
      <w:lvlJc w:val="left"/>
      <w:lvlText w:val="(%1)"/>
      <w:numFmt w:val="lowerLetter"/>
      <w:start w:val="1"/>
    </w:lvl>
  </w:abstractNum>
  <w:abstractNum w:abstractNumId="35">
    <w:nsid w:val="60EF0119"/>
    <w:multiLevelType w:val="hybridMultilevel"/>
    <w:lvl w:ilvl="0">
      <w:lvlJc w:val="left"/>
      <w:lvlText w:val="(%1)"/>
      <w:numFmt w:val="lowerLetter"/>
      <w:start w:val="4"/>
    </w:lvl>
  </w:abstractNum>
  <w:abstractNum w:abstractNumId="36">
    <w:nsid w:val="26F324BA"/>
    <w:multiLevelType w:val="hybridMultilevel"/>
    <w:lvl w:ilvl="0">
      <w:lvlJc w:val="left"/>
      <w:lvlText w:val="(%1)"/>
      <w:numFmt w:val="lowerLetter"/>
      <w:start w:val="4"/>
    </w:lvl>
  </w:abstractNum>
  <w:abstractNum w:abstractNumId="37">
    <w:nsid w:val="7F01579B"/>
    <w:multiLevelType w:val="hybridMultilevel"/>
    <w:lvl w:ilvl="0">
      <w:lvlJc w:val="left"/>
      <w:lvlText w:val="(%1)"/>
      <w:numFmt w:val="lowerLetter"/>
      <w:start w:val="1"/>
    </w:lvl>
  </w:abstractNum>
  <w:abstractNum w:abstractNumId="38">
    <w:nsid w:val="49DA307D"/>
    <w:multiLevelType w:val="hybridMultilevel"/>
    <w:lvl w:ilvl="0">
      <w:lvlJc w:val="left"/>
      <w:lvlText w:val="(%1)"/>
      <w:numFmt w:val="lowerLetter"/>
      <w:start w:val="5"/>
    </w:lvl>
  </w:abstractNum>
  <w:abstractNum w:abstractNumId="39">
    <w:nsid w:val="7055A5F5"/>
    <w:multiLevelType w:val="hybridMultilevel"/>
    <w:lvl w:ilvl="0">
      <w:lvlJc w:val="left"/>
      <w:lvlText w:val="(%1)"/>
      <w:numFmt w:val="lowerLetter"/>
      <w:start w:val="1"/>
    </w:lvl>
  </w:abstractNum>
  <w:abstractNum w:abstractNumId="40">
    <w:nsid w:val="5FB8370B"/>
    <w:multiLevelType w:val="hybridMultilevel"/>
    <w:lvl w:ilvl="0">
      <w:lvlJc w:val="left"/>
      <w:lvlText w:val="(%1)"/>
      <w:numFmt w:val="lowerLetter"/>
      <w:start w:val="4"/>
    </w:lvl>
  </w:abstractNum>
  <w:abstractNum w:abstractNumId="41">
    <w:nsid w:val="50801EE1"/>
    <w:multiLevelType w:val="hybridMultilevel"/>
    <w:lvl w:ilvl="0">
      <w:lvlJc w:val="left"/>
      <w:lvlText w:val="(%1)"/>
      <w:numFmt w:val="lowerLetter"/>
      <w:start w:val="1"/>
    </w:lvl>
  </w:abstractNum>
  <w:abstractNum w:abstractNumId="42">
    <w:nsid w:val="488AC1A"/>
    <w:multiLevelType w:val="hybridMultilevel"/>
    <w:lvl w:ilvl="0">
      <w:lvlJc w:val="left"/>
      <w:lvlText w:val="%1"/>
      <w:numFmt w:val="lowerLetter"/>
      <w:start w:val="1"/>
    </w:lvl>
    <w:lvl w:ilvl="1">
      <w:lvlJc w:val="left"/>
      <w:lvlText w:val="(%2)"/>
      <w:numFmt w:val="lowerLetter"/>
      <w:start w:val="6"/>
    </w:lvl>
  </w:abstractNum>
  <w:abstractNum w:abstractNumId="43">
    <w:nsid w:val="5FB8011C"/>
    <w:multiLevelType w:val="hybridMultilevel"/>
    <w:lvl w:ilvl="0">
      <w:lvlJc w:val="left"/>
      <w:lvlText w:val="(%1)"/>
      <w:numFmt w:val="lowerLetter"/>
      <w:start w:val="9"/>
    </w:lvl>
    <w:lvl w:ilvl="1">
      <w:lvlJc w:val="left"/>
      <w:lvlText w:val="(%2)"/>
      <w:numFmt w:val="lowerLetter"/>
      <w:start w:val="10"/>
    </w:lvl>
  </w:abstractNum>
  <w:abstractNum w:abstractNumId="44">
    <w:nsid w:val="6AA78F7F"/>
    <w:multiLevelType w:val="hybridMultilevel"/>
    <w:lvl w:ilvl="0">
      <w:lvlJc w:val="left"/>
      <w:lvlText w:val="(%1)"/>
      <w:numFmt w:val="lowerLetter"/>
      <w:start w:val="1"/>
    </w:lvl>
  </w:abstractNum>
  <w:abstractNum w:abstractNumId="45">
    <w:nsid w:val="7672BD23"/>
    <w:multiLevelType w:val="hybridMultilevel"/>
    <w:lvl w:ilvl="0">
      <w:lvlJc w:val="left"/>
      <w:lvlText w:val="(%1)"/>
      <w:numFmt w:val="lowerLetter"/>
      <w:start w:val="14"/>
    </w:lvl>
  </w:abstractNum>
  <w:abstractNum w:abstractNumId="46">
    <w:nsid w:val="6FC75AF8"/>
    <w:multiLevelType w:val="hybridMultilevel"/>
    <w:lvl w:ilvl="0">
      <w:lvlJc w:val="left"/>
      <w:lvlText w:val="(%1)"/>
      <w:numFmt w:val="lowerLetter"/>
      <w:start w:val="1"/>
    </w:lvl>
  </w:abstractNum>
  <w:abstractNum w:abstractNumId="47">
    <w:nsid w:val="6A5F7029"/>
    <w:multiLevelType w:val="hybridMultilevel"/>
    <w:lvl w:ilvl="0">
      <w:lvlJc w:val="left"/>
      <w:lvlText w:val="(%1)"/>
      <w:numFmt w:val="lowerLetter"/>
      <w:start w:val="4"/>
    </w:lvl>
  </w:abstractNum>
  <w:abstractNum w:abstractNumId="48">
    <w:nsid w:val="7D5E18F8"/>
    <w:multiLevelType w:val="hybridMultilevel"/>
    <w:lvl w:ilvl="0">
      <w:lvlJc w:val="left"/>
      <w:lvlText w:val="(%1)"/>
      <w:numFmt w:val="lowerLetter"/>
      <w:start w:val="1"/>
    </w:lvl>
  </w:abstractNum>
  <w:abstractNum w:abstractNumId="49">
    <w:nsid w:val="5F3534A4"/>
    <w:multiLevelType w:val="hybridMultilevel"/>
    <w:lvl w:ilvl="0">
      <w:lvlJc w:val="left"/>
      <w:lvlText w:val="(%1)"/>
      <w:numFmt w:val="lowerLetter"/>
      <w:start w:val="8"/>
    </w:lvl>
  </w:abstractNum>
  <w:abstractNum w:abstractNumId="50">
    <w:nsid w:val="73A1821B"/>
    <w:multiLevelType w:val="hybridMultilevel"/>
    <w:lvl w:ilvl="0">
      <w:lvlJc w:val="left"/>
      <w:lvlText w:val="(%1)"/>
      <w:numFmt w:val="lowerLetter"/>
      <w:start w:val="9"/>
    </w:lvl>
  </w:abstractNum>
  <w:abstractNum w:abstractNumId="51">
    <w:nsid w:val="7DE67713"/>
    <w:multiLevelType w:val="hybridMultilevel"/>
    <w:lvl w:ilvl="0">
      <w:lvlJc w:val="left"/>
      <w:lvlText w:val="(%1)"/>
      <w:numFmt w:val="lowerRoman"/>
      <w:start w:val="1"/>
    </w:lvl>
  </w:abstractNum>
  <w:abstractNum w:abstractNumId="52">
    <w:nsid w:val="555C55B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lowerRoman"/>
      <w:start w:val="1"/>
    </w:lvl>
  </w:abstractNum>
  <w:abstractNum w:abstractNumId="53">
    <w:nsid w:val="3FA62ACA"/>
    <w:multiLevelType w:val="hybridMultilevel"/>
    <w:lvl w:ilvl="0">
      <w:lvlJc w:val="left"/>
      <w:lvlText w:val="(%1)"/>
      <w:numFmt w:val="lowerRoman"/>
      <w:start w:val="4"/>
    </w:lvl>
  </w:abstractNum>
  <w:abstractNum w:abstractNumId="54">
    <w:nsid w:val="14FCE74E"/>
    <w:multiLevelType w:val="hybridMultilevel"/>
    <w:lvl w:ilvl="0">
      <w:lvlJc w:val="left"/>
      <w:lvlText w:val="(%1)"/>
      <w:numFmt w:val="decimal"/>
      <w:start w:val="270"/>
    </w:lvl>
    <w:lvl w:ilvl="1">
      <w:lvlJc w:val="left"/>
      <w:lvlText w:val="(%2)"/>
      <w:numFmt w:val="lowerRoman"/>
      <w:start w:val="2"/>
    </w:lvl>
    <w:lvl w:ilvl="2">
      <w:lvlJc w:val="left"/>
      <w:lvlText w:val="(%3)"/>
      <w:numFmt w:val="upperLetter"/>
      <w:start w:val="3"/>
    </w:lvl>
  </w:abstractNum>
  <w:abstractNum w:abstractNumId="55">
    <w:nsid w:val="6A3DD3E8"/>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56">
    <w:nsid w:val="71C91298"/>
    <w:multiLevelType w:val="hybridMultilevel"/>
    <w:lvl w:ilvl="0">
      <w:lvlJc w:val="left"/>
      <w:lvlText w:val="(%1)"/>
      <w:numFmt w:val="upperLetter"/>
      <w:start w:val="3"/>
    </w:lvl>
  </w:abstractNum>
  <w:abstractNum w:abstractNumId="57">
    <w:nsid w:val="9DAF632"/>
    <w:multiLevelType w:val="hybridMultilevel"/>
    <w:lvl w:ilvl="0">
      <w:lvlJc w:val="left"/>
      <w:lvlText w:val="(%1)"/>
      <w:numFmt w:val="lowerLetter"/>
      <w:start w:val="1"/>
    </w:lvl>
  </w:abstractNum>
  <w:abstractNum w:abstractNumId="58">
    <w:nsid w:val="53299938"/>
    <w:multiLevelType w:val="hybridMultilevel"/>
    <w:lvl w:ilvl="0">
      <w:lvlJc w:val="left"/>
      <w:lvlText w:val="(%1)"/>
      <w:numFmt w:val="lowerLetter"/>
      <w:start w:val="6"/>
    </w:lvl>
  </w:abstractNum>
  <w:abstractNum w:abstractNumId="59">
    <w:nsid w:val="1FBFE8E0"/>
    <w:multiLevelType w:val="hybridMultilevel"/>
    <w:lvl w:ilvl="0">
      <w:lvlJc w:val="left"/>
      <w:lvlText w:val="(%1)"/>
      <w:numFmt w:val="lowerLetter"/>
      <w:start w:val="1"/>
    </w:lvl>
  </w:abstractNum>
  <w:abstractNum w:abstractNumId="60">
    <w:nsid w:val="5092CA79"/>
    <w:multiLevelType w:val="hybridMultilevel"/>
    <w:lvl w:ilvl="0">
      <w:lvlJc w:val="left"/>
      <w:lvlText w:val="(%1)"/>
      <w:numFmt w:val="lowerLetter"/>
      <w:start w:val="1"/>
    </w:lvl>
  </w:abstractNum>
  <w:abstractNum w:abstractNumId="61">
    <w:nsid w:val="1D545C4D"/>
    <w:multiLevelType w:val="hybridMultilevel"/>
    <w:lvl w:ilvl="0">
      <w:lvlJc w:val="left"/>
      <w:lvlText w:val="(%1)"/>
      <w:numFmt w:val="lowerLetter"/>
      <w:start w:val="3"/>
    </w:lvl>
    <w:lvl w:ilvl="1">
      <w:lvlJc w:val="left"/>
      <w:lvlText w:val="(%2)"/>
      <w:numFmt w:val="lowerLetter"/>
      <w:start w:val="9"/>
    </w:lvl>
  </w:abstractNum>
  <w:abstractNum w:abstractNumId="62">
    <w:nsid w:val="59ADEA3D"/>
    <w:multiLevelType w:val="hybridMultilevel"/>
    <w:lvl w:ilvl="0">
      <w:lvlJc w:val="left"/>
      <w:lvlText w:val="%1"/>
      <w:numFmt w:val="lowerLetter"/>
      <w:start w:val="1"/>
    </w:lvl>
    <w:lvl w:ilvl="1">
      <w:lvlJc w:val="left"/>
      <w:lvlText w:val="(%2)"/>
      <w:numFmt w:val="lowerRoman"/>
      <w:start w:val="2"/>
    </w:lvl>
  </w:abstractNum>
  <w:abstractNum w:abstractNumId="63">
    <w:nsid w:val="288F1A34"/>
    <w:multiLevelType w:val="hybridMultilevel"/>
    <w:lvl w:ilvl="0">
      <w:lvlJc w:val="left"/>
      <w:lvlText w:val="(%1)"/>
      <w:numFmt w:val="lowerLetter"/>
      <w:start w:val="4"/>
    </w:lvl>
    <w:lvl w:ilvl="1">
      <w:lvlJc w:val="left"/>
      <w:lvlText w:val="%2"/>
      <w:numFmt w:val="lowerRoman"/>
      <w:start w:val="1"/>
    </w:lvl>
  </w:abstractNum>
  <w:abstractNum w:abstractNumId="64">
    <w:nsid w:val="2A155DBC"/>
    <w:multiLevelType w:val="hybridMultilevel"/>
    <w:lvl w:ilvl="0">
      <w:lvlJc w:val="left"/>
      <w:lvlText w:val="(%1)"/>
      <w:numFmt w:val="lowerLetter"/>
      <w:start w:val="6"/>
    </w:lvl>
  </w:abstractNum>
  <w:abstractNum w:abstractNumId="65">
    <w:nsid w:val="1D9F6E5F"/>
    <w:multiLevelType w:val="hybridMultilevel"/>
    <w:lvl w:ilvl="0">
      <w:lvlJc w:val="left"/>
      <w:lvlText w:val="(%1)"/>
      <w:numFmt w:val="lowerRoman"/>
      <w:start w:val="1"/>
    </w:lvl>
  </w:abstractNum>
  <w:abstractNum w:abstractNumId="66">
    <w:nsid w:val="97E1B4E"/>
    <w:multiLevelType w:val="hybridMultilevel"/>
    <w:lvl w:ilvl="0">
      <w:lvlJc w:val="left"/>
      <w:lvlText w:val="(%1)"/>
      <w:numFmt w:val="lowerLetter"/>
      <w:start w:val="1"/>
    </w:lvl>
  </w:abstractNum>
  <w:abstractNum w:abstractNumId="67">
    <w:nsid w:val="51088277"/>
    <w:multiLevelType w:val="hybridMultilevel"/>
    <w:lvl w:ilvl="0">
      <w:lvlJc w:val="left"/>
      <w:lvlText w:val="(%1)"/>
      <w:numFmt w:val="lowerLetter"/>
      <w:start w:val="1"/>
    </w:lvl>
  </w:abstractNum>
  <w:abstractNum w:abstractNumId="68">
    <w:nsid w:val="1CA0C5FA"/>
    <w:multiLevelType w:val="hybridMultilevel"/>
    <w:lvl w:ilvl="0">
      <w:lvlJc w:val="left"/>
      <w:lvlText w:val="%1"/>
      <w:numFmt w:val="lowerLetter"/>
      <w:start w:val="1"/>
    </w:lvl>
    <w:lvl w:ilvl="1">
      <w:lvlJc w:val="left"/>
      <w:lvlText w:val="(%2)"/>
      <w:numFmt w:val="lowerLetter"/>
      <w:start w:val="4"/>
    </w:lvl>
  </w:abstractNum>
  <w:abstractNum w:abstractNumId="69">
    <w:nsid w:val="53584BCB"/>
    <w:multiLevelType w:val="hybridMultilevel"/>
    <w:lvl w:ilvl="0">
      <w:lvlJc w:val="left"/>
      <w:lvlText w:val="(%1)"/>
      <w:numFmt w:val="lowerLetter"/>
      <w:start w:val="35"/>
    </w:lvl>
    <w:lvl w:ilvl="1">
      <w:lvlJc w:val="left"/>
      <w:lvlText w:val="(%2)"/>
      <w:numFmt w:val="lowerLetter"/>
      <w:start w:val="5"/>
    </w:lvl>
  </w:abstractNum>
  <w:abstractNum w:abstractNumId="70">
    <w:nsid w:val="415E286C"/>
    <w:multiLevelType w:val="hybridMultilevel"/>
    <w:lvl w:ilvl="0">
      <w:lvlJc w:val="left"/>
      <w:lvlText w:val="(%1)"/>
      <w:numFmt w:val="lowerLetter"/>
      <w:start w:val="1"/>
    </w:lvl>
  </w:abstractNum>
  <w:abstractNum w:abstractNumId="71">
    <w:nsid w:val="7C58FD05"/>
    <w:multiLevelType w:val="hybridMultilevel"/>
    <w:lvl w:ilvl="0">
      <w:lvlJc w:val="left"/>
      <w:lvlText w:val="(%1)"/>
      <w:numFmt w:val="lowerLetter"/>
      <w:start w:val="1"/>
    </w:lvl>
  </w:abstractNum>
  <w:abstractNum w:abstractNumId="72">
    <w:nsid w:val="23D86AAC"/>
    <w:multiLevelType w:val="hybridMultilevel"/>
    <w:lvl w:ilvl="0">
      <w:lvlJc w:val="left"/>
      <w:lvlText w:val="(%1)"/>
      <w:numFmt w:val="lowerLetter"/>
      <w:start w:val="1"/>
    </w:lvl>
  </w:abstractNum>
  <w:abstractNum w:abstractNumId="73">
    <w:nsid w:val="45E6D486"/>
    <w:multiLevelType w:val="hybridMultilevel"/>
    <w:lvl w:ilvl="0">
      <w:lvlJc w:val="left"/>
      <w:lvlText w:val="(%1)"/>
      <w:numFmt w:val="lowerLetter"/>
      <w:start w:val="1"/>
    </w:lvl>
  </w:abstractNum>
  <w:abstractNum w:abstractNumId="74">
    <w:nsid w:val="5C10FE21"/>
    <w:multiLevelType w:val="hybridMultilevel"/>
    <w:lvl w:ilvl="0">
      <w:lvlJc w:val="left"/>
      <w:lvlText w:val="(%1)"/>
      <w:numFmt w:val="lowerLetter"/>
      <w:start w:val="1"/>
    </w:lvl>
  </w:abstractNum>
  <w:abstractNum w:abstractNumId="75">
    <w:nsid w:val="E7FFA2B"/>
    <w:multiLevelType w:val="hybridMultilevel"/>
    <w:lvl w:ilvl="0">
      <w:lvlJc w:val="left"/>
      <w:lvlText w:val="(%1)"/>
      <w:numFmt w:val="lowerLetter"/>
      <w:start w:val="2"/>
    </w:lvl>
  </w:abstractNum>
  <w:abstractNum w:abstractNumId="76">
    <w:nsid w:val="3C5991AA"/>
    <w:multiLevelType w:val="hybridMultilevel"/>
    <w:lvl w:ilvl="0">
      <w:lvlJc w:val="left"/>
      <w:lvlText w:val="(%1)"/>
      <w:numFmt w:val="lowerLetter"/>
      <w:start w:val="1"/>
    </w:lvl>
  </w:abstractNum>
  <w:abstractNum w:abstractNumId="77">
    <w:nsid w:val="4BD8591A"/>
    <w:multiLevelType w:val="hybridMultilevel"/>
    <w:lvl w:ilvl="0">
      <w:lvlJc w:val="left"/>
      <w:lvlText w:val="(%1)"/>
      <w:numFmt w:val="lowerLetter"/>
      <w:start w:val="6"/>
    </w:lvl>
  </w:abstractNum>
  <w:abstractNum w:abstractNumId="78">
    <w:nsid w:val="78DF6A55"/>
    <w:multiLevelType w:val="hybridMultilevel"/>
    <w:lvl w:ilvl="0">
      <w:lvlJc w:val="left"/>
      <w:lvlText w:val="(%1)"/>
      <w:numFmt w:val="lowerLetter"/>
      <w:start w:val="1"/>
    </w:lvl>
  </w:abstractNum>
  <w:abstractNum w:abstractNumId="79">
    <w:nsid w:val="39B7AAA2"/>
    <w:multiLevelType w:val="hybridMultilevel"/>
    <w:lvl w:ilvl="0">
      <w:lvlJc w:val="left"/>
      <w:lvlText w:val="%1"/>
      <w:numFmt w:val="lowerRoman"/>
      <w:start w:val="1"/>
    </w:lvl>
    <w:lvl w:ilvl="1">
      <w:lvlJc w:val="left"/>
      <w:lvlText w:val="(%2)"/>
      <w:numFmt w:val="lowerLetter"/>
      <w:start w:val="2"/>
    </w:lvl>
  </w:abstractNum>
  <w:abstractNum w:abstractNumId="80">
    <w:nsid w:val="2B0D8DBE"/>
    <w:multiLevelType w:val="hybridMultilevel"/>
    <w:lvl w:ilvl="0">
      <w:lvlJc w:val="left"/>
      <w:lvlText w:val="(%1)"/>
      <w:numFmt w:val="lowerRoman"/>
      <w:start w:val="4"/>
    </w:lvl>
    <w:lvl w:ilvl="1">
      <w:lvlJc w:val="left"/>
      <w:lvlText w:val="(%2)"/>
      <w:numFmt w:val="lowerLetter"/>
      <w:start w:val="5"/>
    </w:lvl>
  </w:abstractNum>
  <w:abstractNum w:abstractNumId="81">
    <w:nsid w:val="6C80EC70"/>
    <w:multiLevelType w:val="hybridMultilevel"/>
    <w:lvl w:ilvl="0">
      <w:lvlJc w:val="left"/>
      <w:lvlText w:val="%1"/>
      <w:numFmt w:val="lowerLetter"/>
      <w:start w:val="1"/>
    </w:lvl>
    <w:lvl w:ilvl="1">
      <w:lvlJc w:val="left"/>
      <w:lvlText w:val="(%2)"/>
      <w:numFmt w:val="lowerLetter"/>
      <w:start w:val="1"/>
    </w:lvl>
  </w:abstractNum>
  <w:abstractNum w:abstractNumId="82">
    <w:nsid w:val="379E21B5"/>
    <w:multiLevelType w:val="hybridMultilevel"/>
    <w:lvl w:ilvl="0">
      <w:lvlJc w:val="left"/>
      <w:lvlText w:val="(%1)"/>
      <w:numFmt w:val="lowerLetter"/>
      <w:start w:val="2"/>
    </w:lvl>
    <w:lvl w:ilvl="1">
      <w:lvlJc w:val="left"/>
      <w:lvlText w:val="(%2)"/>
      <w:numFmt w:val="lowerLetter"/>
      <w:start w:val="4"/>
    </w:lvl>
  </w:abstractNum>
  <w:abstractNum w:abstractNumId="83">
    <w:nsid w:val="69E373"/>
    <w:multiLevelType w:val="hybridMultilevel"/>
    <w:lvl w:ilvl="0">
      <w:lvlJc w:val="left"/>
      <w:lvlText w:val="(%1)"/>
      <w:numFmt w:val="lowerLetter"/>
      <w:start w:val="1"/>
    </w:lvl>
  </w:abstractNum>
  <w:abstractNum w:abstractNumId="84">
    <w:nsid w:val="2C27173B"/>
    <w:multiLevelType w:val="hybridMultilevel"/>
    <w:lvl w:ilvl="0">
      <w:lvlJc w:val="left"/>
      <w:lvlText w:val="(%1)"/>
      <w:numFmt w:val="lowerLetter"/>
      <w:start w:val="5"/>
    </w:lvl>
    <w:lvl w:ilvl="1">
      <w:lvlJc w:val="left"/>
      <w:lvlText w:val="(%2)"/>
      <w:numFmt w:val="lowerLetter"/>
      <w:start w:val="5"/>
    </w:lvl>
    <w:lvl w:ilvl="2">
      <w:lvlJc w:val="left"/>
      <w:lvlText w:val="(%3)"/>
      <w:numFmt w:val="lowerRoman"/>
      <w:start w:val="1"/>
    </w:lvl>
  </w:abstractNum>
  <w:abstractNum w:abstractNumId="85">
    <w:nsid w:val="4C9B0904"/>
    <w:multiLevelType w:val="hybridMultilevel"/>
    <w:lvl w:ilvl="0">
      <w:lvlJc w:val="left"/>
      <w:lvlText w:val="(%1)"/>
      <w:numFmt w:val="lowerLetter"/>
      <w:start w:val="1"/>
    </w:lvl>
  </w:abstractNum>
  <w:abstractNum w:abstractNumId="86">
    <w:nsid w:val="6AA7B75C"/>
    <w:multiLevelType w:val="hybridMultilevel"/>
    <w:lvl w:ilvl="0">
      <w:lvlJc w:val="left"/>
      <w:lvlText w:val="(%1)"/>
      <w:numFmt w:val="lowerLetter"/>
      <w:start w:val="3"/>
    </w:lvl>
  </w:abstractNum>
  <w:abstractNum w:abstractNumId="87">
    <w:nsid w:val="1DF029D3"/>
    <w:multiLevelType w:val="hybridMultilevel"/>
    <w:lvl w:ilvl="0">
      <w:lvlJc w:val="left"/>
      <w:lvlText w:val="(%1)"/>
      <w:numFmt w:val="lowerLetter"/>
      <w:start w:val="5"/>
    </w:lvl>
  </w:abstractNum>
  <w:abstractNum w:abstractNumId="88">
    <w:nsid w:val="5675FF36"/>
    <w:multiLevelType w:val="hybridMultilevel"/>
    <w:lvl w:ilvl="0">
      <w:lvlJc w:val="left"/>
      <w:lvlText w:val="(%1)"/>
      <w:numFmt w:val="lowerLetter"/>
      <w:start w:val="1"/>
    </w:lvl>
  </w:abstractNum>
  <w:abstractNum w:abstractNumId="89">
    <w:nsid w:val="3DD15094"/>
    <w:multiLevelType w:val="hybridMultilevel"/>
    <w:lvl w:ilvl="0">
      <w:lvlJc w:val="left"/>
      <w:lvlText w:val="(%1)"/>
      <w:numFmt w:val="lowerLetter"/>
      <w:start w:val="2"/>
    </w:lvl>
  </w:abstractNum>
  <w:abstractNum w:abstractNumId="90">
    <w:nsid w:val="3DB012B3"/>
    <w:multiLevelType w:val="hybridMultilevel"/>
    <w:lvl w:ilvl="0">
      <w:lvlJc w:val="left"/>
      <w:lvlText w:val="(%1)"/>
      <w:numFmt w:val="lowerLetter"/>
      <w:start w:val="2"/>
    </w:lvl>
  </w:abstractNum>
  <w:abstractNum w:abstractNumId="91">
    <w:nsid w:val="2708C9AF"/>
    <w:multiLevelType w:val="hybridMultilevel"/>
    <w:lvl w:ilvl="0">
      <w:lvlJc w:val="left"/>
      <w:lvlText w:val="(%1)"/>
      <w:numFmt w:val="lowerLetter"/>
      <w:start w:val="3"/>
    </w:lvl>
  </w:abstractNum>
  <w:abstractNum w:abstractNumId="92">
    <w:nsid w:val="5B25ACE2"/>
    <w:multiLevelType w:val="hybridMultilevel"/>
    <w:lvl w:ilvl="0">
      <w:lvlJc w:val="left"/>
      <w:lvlText w:val="(%1)"/>
      <w:numFmt w:val="lowerLetter"/>
      <w:start w:val="1"/>
    </w:lvl>
  </w:abstractNum>
  <w:abstractNum w:abstractNumId="93">
    <w:nsid w:val="175DFCF0"/>
    <w:multiLevelType w:val="hybridMultilevel"/>
    <w:lvl w:ilvl="0">
      <w:lvlJc w:val="left"/>
      <w:lvlText w:val="(%1)"/>
      <w:numFmt w:val="lowerLetter"/>
      <w:start w:val="1"/>
    </w:lvl>
  </w:abstractNum>
  <w:abstractNum w:abstractNumId="94">
    <w:nsid w:val="4F97E3E4"/>
    <w:multiLevelType w:val="hybridMultilevel"/>
    <w:lvl w:ilvl="0">
      <w:lvlJc w:val="left"/>
      <w:lvlText w:val="(%1)"/>
      <w:numFmt w:val="lowerLetter"/>
      <w:start w:val="1"/>
    </w:lvl>
  </w:abstractNum>
  <w:abstractNum w:abstractNumId="95">
    <w:nsid w:val="53B0A9E"/>
    <w:multiLevelType w:val="hybridMultilevel"/>
    <w:lvl w:ilvl="0">
      <w:lvlJc w:val="left"/>
      <w:lvlText w:val="(%1)"/>
      <w:numFmt w:val="lowerLetter"/>
      <w:start w:val="4"/>
    </w:lvl>
  </w:abstractNum>
  <w:abstractNum w:abstractNumId="96">
    <w:nsid w:val="34FD6B4F"/>
    <w:multiLevelType w:val="hybridMultilevel"/>
    <w:lvl w:ilvl="0">
      <w:lvlJc w:val="left"/>
      <w:lvlText w:val="(%1)"/>
      <w:numFmt w:val="lowerRoman"/>
      <w:start w:val="1"/>
    </w:lvl>
  </w:abstractNum>
  <w:abstractNum w:abstractNumId="97">
    <w:nsid w:val="5915FF32"/>
    <w:multiLevelType w:val="hybridMultilevel"/>
    <w:lvl w:ilvl="0">
      <w:lvlJc w:val="left"/>
      <w:lvlText w:val="(%1)"/>
      <w:numFmt w:val="lowerLetter"/>
      <w:start w:val="1"/>
    </w:lvl>
  </w:abstractNum>
  <w:abstractNum w:abstractNumId="98">
    <w:nsid w:val="56438D15"/>
    <w:multiLevelType w:val="hybridMultilevel"/>
    <w:lvl w:ilvl="0">
      <w:lvlJc w:val="left"/>
      <w:lvlText w:val="(%1)"/>
      <w:numFmt w:val="lowerLetter"/>
      <w:start w:val="2"/>
    </w:lvl>
  </w:abstractNum>
  <w:abstractNum w:abstractNumId="99">
    <w:nsid w:val="519E3149"/>
    <w:multiLevelType w:val="hybridMultilevel"/>
    <w:lvl w:ilvl="0">
      <w:lvlJc w:val="left"/>
      <w:lvlText w:val="(%1)"/>
      <w:numFmt w:val="lowerLetter"/>
      <w:start w:val="1"/>
    </w:lvl>
  </w:abstractNum>
  <w:abstractNum w:abstractNumId="100">
    <w:nsid w:val="2C6E4AFD"/>
    <w:multiLevelType w:val="hybridMultilevel"/>
    <w:lvl w:ilvl="0">
      <w:lvlJc w:val="left"/>
      <w:lvlText w:val="(%1)"/>
      <w:numFmt w:val="lowerLetter"/>
      <w:start w:val="2"/>
    </w:lvl>
  </w:abstractNum>
  <w:abstractNum w:abstractNumId="101">
    <w:nsid w:val="17A1B582"/>
    <w:multiLevelType w:val="hybridMultilevel"/>
    <w:lvl w:ilvl="0">
      <w:lvlJc w:val="left"/>
      <w:lvlText w:val="(%1)"/>
      <w:numFmt w:val="lowerLetter"/>
      <w:start w:val="1"/>
    </w:lvl>
  </w:abstractNum>
  <w:abstractNum w:abstractNumId="102">
    <w:nsid w:val="4DF72E4E"/>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103">
    <w:nsid w:val="5046B5A9"/>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104">
    <w:nsid w:val="5D888A08"/>
    <w:multiLevelType w:val="hybridMultilevel"/>
    <w:lvl w:ilvl="0">
      <w:lvlJc w:val="left"/>
      <w:lvlText w:val="(%1)"/>
      <w:numFmt w:val="lowerLetter"/>
      <w:start w:val="5"/>
    </w:lvl>
  </w:abstractNum>
  <w:abstractNum w:abstractNumId="105">
    <w:nsid w:val="2A082C70"/>
    <w:multiLevelType w:val="hybridMultilevel"/>
    <w:lvl w:ilvl="0">
      <w:lvlJc w:val="left"/>
      <w:lvlText w:val="(%1)"/>
      <w:numFmt w:val="lowerLetter"/>
      <w:start w:val="1"/>
    </w:lvl>
    <w:lvl w:ilvl="1">
      <w:lvlJc w:val="left"/>
      <w:lvlText w:val="(%2)"/>
      <w:numFmt w:val="lowerRoman"/>
      <w:start w:val="1"/>
    </w:lvl>
  </w:abstractNum>
  <w:abstractNum w:abstractNumId="106">
    <w:nsid w:val="5EC6AFD4"/>
    <w:multiLevelType w:val="hybridMultilevel"/>
    <w:lvl w:ilvl="0">
      <w:lvlJc w:val="left"/>
      <w:lvlText w:val="(%1)"/>
      <w:numFmt w:val="lowerLetter"/>
      <w:start w:val="1"/>
    </w:lvl>
  </w:abstractNum>
  <w:abstractNum w:abstractNumId="107">
    <w:nsid w:val="19E21BB2"/>
    <w:multiLevelType w:val="hybridMultilevel"/>
    <w:lvl w:ilvl="0">
      <w:lvlJc w:val="left"/>
      <w:lvlText w:val="(%1)"/>
      <w:numFmt w:val="lowerLetter"/>
      <w:start w:val="4"/>
    </w:lvl>
  </w:abstractNum>
  <w:abstractNum w:abstractNumId="108">
    <w:nsid w:val="75E0858A"/>
    <w:multiLevelType w:val="hybridMultilevel"/>
    <w:lvl w:ilvl="0">
      <w:lvlJc w:val="left"/>
      <w:lvlText w:val="(%1)"/>
      <w:numFmt w:val="lowerLetter"/>
      <w:start w:val="7"/>
    </w:lvl>
    <w:lvl w:ilvl="1">
      <w:lvlJc w:val="left"/>
      <w:lvlText w:val="(%2)"/>
      <w:numFmt w:val="lowerRoman"/>
      <w:start w:val="1"/>
    </w:lvl>
  </w:abstractNum>
  <w:abstractNum w:abstractNumId="109">
    <w:nsid w:val="57A61A29"/>
    <w:multiLevelType w:val="hybridMultilevel"/>
    <w:lvl w:ilvl="0">
      <w:lvlJc w:val="left"/>
      <w:lvlText w:val="%1"/>
      <w:numFmt w:val="upperLetter"/>
      <w:start w:val="1"/>
    </w:lvl>
    <w:lvl w:ilvl="1">
      <w:lvlJc w:val="left"/>
      <w:lvlText w:val="(%2)"/>
      <w:numFmt w:val="lowerRoman"/>
      <w:start w:val="5"/>
    </w:lvl>
  </w:abstractNum>
  <w:abstractNum w:abstractNumId="110">
    <w:nsid w:val="5399C654"/>
    <w:multiLevelType w:val="hybridMultilevel"/>
    <w:lvl w:ilvl="0">
      <w:lvlJc w:val="left"/>
      <w:lvlText w:val="(%1)"/>
      <w:numFmt w:val="upperLetter"/>
      <w:start w:val="2"/>
    </w:lvl>
    <w:lvl w:ilvl="1">
      <w:lvlJc w:val="left"/>
      <w:lvlText w:val="(%2)"/>
      <w:numFmt w:val="lowerRoman"/>
      <w:start w:val="10"/>
    </w:lvl>
  </w:abstractNum>
  <w:abstractNum w:abstractNumId="111">
    <w:nsid w:val="20EE1348"/>
    <w:multiLevelType w:val="hybridMultilevel"/>
    <w:lvl w:ilvl="0">
      <w:lvlJc w:val="left"/>
      <w:lvlText w:val="(%1)"/>
      <w:numFmt w:val="lowerLetter"/>
      <w:start w:val="1"/>
    </w:lvl>
  </w:abstractNum>
  <w:abstractNum w:abstractNumId="112">
    <w:nsid w:val="4427069A"/>
    <w:multiLevelType w:val="hybridMultilevel"/>
    <w:lvl w:ilvl="0">
      <w:lvlJc w:val="left"/>
      <w:lvlText w:val="%1"/>
      <w:numFmt w:val="decimal"/>
      <w:start w:val="1"/>
    </w:lvl>
    <w:lvl w:ilvl="1">
      <w:lvlJc w:val="left"/>
      <w:lvlText w:val="(%2)"/>
      <w:numFmt w:val="lowerLetter"/>
      <w:start w:val="6"/>
    </w:lvl>
  </w:abstractNum>
  <w:abstractNum w:abstractNumId="113">
    <w:nsid w:val="B37E80A"/>
    <w:multiLevelType w:val="hybridMultilevel"/>
    <w:lvl w:ilvl="0">
      <w:lvlJc w:val="left"/>
      <w:lvlText w:val="(%1)"/>
      <w:numFmt w:val="decimal"/>
      <w:start w:val="60"/>
    </w:lvl>
    <w:lvl w:ilvl="1">
      <w:lvlJc w:val="left"/>
      <w:lvlText w:val="(%2)"/>
      <w:numFmt w:val="lowerLetter"/>
      <w:start w:val="7"/>
    </w:lvl>
  </w:abstractNum>
  <w:abstractNum w:abstractNumId="114">
    <w:nsid w:val="2157F6BC"/>
    <w:multiLevelType w:val="hybridMultilevel"/>
    <w:lvl w:ilvl="0">
      <w:lvlJc w:val="left"/>
      <w:lvlText w:val="(%1)"/>
      <w:numFmt w:val="lowerLetter"/>
      <w:start w:val="12"/>
    </w:lvl>
  </w:abstractNum>
  <w:abstractNum w:abstractNumId="115">
    <w:nsid w:val="704E1DD5"/>
    <w:multiLevelType w:val="hybridMultilevel"/>
    <w:lvl w:ilvl="0">
      <w:lvlJc w:val="left"/>
      <w:lvlText w:val="(%1)"/>
      <w:numFmt w:val="lowerLetter"/>
      <w:start w:val="1"/>
    </w:lvl>
    <w:lvl w:ilvl="1">
      <w:lvlJc w:val="left"/>
      <w:lvlText w:val="(%2)"/>
      <w:numFmt w:val="lowerRoman"/>
      <w:start w:val="1"/>
    </w:lvl>
  </w:abstractNum>
  <w:abstractNum w:abstractNumId="116">
    <w:nsid w:val="57D2F10E"/>
    <w:multiLevelType w:val="hybridMultilevel"/>
    <w:lvl w:ilvl="0">
      <w:lvlJc w:val="left"/>
      <w:lvlText w:val="%1"/>
      <w:numFmt w:val="lowerLetter"/>
      <w:start w:val="1"/>
    </w:lvl>
    <w:lvl w:ilvl="1">
      <w:lvlJc w:val="left"/>
      <w:lvlText w:val="(%2)"/>
      <w:numFmt w:val="lowerLetter"/>
      <w:start w:val="3"/>
    </w:lvl>
  </w:abstractNum>
  <w:abstractNum w:abstractNumId="117">
    <w:nsid w:val="BFFAE18"/>
    <w:multiLevelType w:val="hybridMultilevel"/>
    <w:lvl w:ilvl="0">
      <w:lvlJc w:val="left"/>
      <w:lvlText w:val="(%1)"/>
      <w:numFmt w:val="lowerLetter"/>
      <w:start w:val="61"/>
    </w:lvl>
    <w:lvl w:ilvl="1">
      <w:lvlJc w:val="left"/>
      <w:lvlText w:val="(%2)"/>
      <w:numFmt w:val="lowerLetter"/>
      <w:start w:val="4"/>
    </w:lvl>
  </w:abstractNum>
  <w:abstractNum w:abstractNumId="118">
    <w:nsid w:val="E3E47A8"/>
    <w:multiLevelType w:val="hybridMultilevel"/>
    <w:lvl w:ilvl="0">
      <w:lvlJc w:val="left"/>
      <w:lvlText w:val="(%1)"/>
      <w:numFmt w:val="lowerLetter"/>
      <w:start w:val="2"/>
    </w:lvl>
  </w:abstractNum>
  <w:abstractNum w:abstractNumId="119">
    <w:nsid w:val="2E48F044"/>
    <w:multiLevelType w:val="hybridMultilevel"/>
    <w:lvl w:ilvl="0">
      <w:lvlJc w:val="left"/>
      <w:lvlText w:val="(%1)"/>
      <w:numFmt w:val="lowerLetter"/>
      <w:start w:val="1"/>
    </w:lvl>
  </w:abstractNum>
  <w:abstractNum w:abstractNumId="120">
    <w:nsid w:val="49D0FEAC"/>
    <w:multiLevelType w:val="hybridMultilevel"/>
    <w:lvl w:ilvl="0">
      <w:lvlJc w:val="left"/>
      <w:lvlText w:val="(%1)"/>
      <w:numFmt w:val="lowerLetter"/>
      <w:start w:val="1"/>
    </w:lvl>
  </w:abstractNum>
  <w:abstractNum w:abstractNumId="121">
    <w:nsid w:val="4BEE5A5B"/>
    <w:multiLevelType w:val="hybridMultilevel"/>
    <w:lvl w:ilvl="0">
      <w:lvlJc w:val="left"/>
      <w:lvlText w:val="%1"/>
      <w:numFmt w:val="lowerRoman"/>
      <w:start w:val="1"/>
    </w:lvl>
    <w:lvl w:ilvl="1">
      <w:lvlJc w:val="left"/>
      <w:lvlText w:val="(%2)"/>
      <w:numFmt w:val="lowerLetter"/>
      <w:start w:val="2"/>
    </w:lvl>
  </w:abstractNum>
  <w:abstractNum w:abstractNumId="122">
    <w:nsid w:val="5551B9F3"/>
    <w:multiLevelType w:val="hybridMultilevel"/>
    <w:lvl w:ilvl="0">
      <w:lvlJc w:val="left"/>
      <w:lvlText w:val="(%1)"/>
      <w:numFmt w:val="lowerRoman"/>
      <w:start w:val="4"/>
    </w:lvl>
    <w:lvl w:ilvl="1">
      <w:lvlJc w:val="left"/>
      <w:lvlText w:val="(%2)"/>
      <w:numFmt w:val="lowerLetter"/>
      <w:start w:val="3"/>
    </w:lvl>
  </w:abstractNum>
  <w:abstractNum w:abstractNumId="123">
    <w:nsid w:val="24F6AB8E"/>
    <w:multiLevelType w:val="hybridMultilevel"/>
    <w:lvl w:ilvl="0">
      <w:lvlJc w:val="left"/>
      <w:lvlText w:val="(%1)"/>
      <w:numFmt w:val="lowerLetter"/>
      <w:start w:val="6"/>
    </w:lvl>
  </w:abstractNum>
  <w:abstractNum w:abstractNumId="124">
    <w:nsid w:val="634C574C"/>
    <w:multiLevelType w:val="hybridMultilevel"/>
    <w:lvl w:ilvl="0">
      <w:lvlJc w:val="left"/>
      <w:lvlText w:val="(%1)"/>
      <w:numFmt w:val="lowerLetter"/>
      <w:start w:val="3"/>
    </w:lvl>
  </w:abstractNum>
  <w:abstractNum w:abstractNumId="125">
    <w:nsid w:val="24E99DD7"/>
    <w:multiLevelType w:val="hybridMultilevel"/>
    <w:lvl w:ilvl="0">
      <w:lvlJc w:val="left"/>
      <w:lvlText w:val="(%1)"/>
      <w:numFmt w:val="lowerLetter"/>
      <w:start w:val="2"/>
    </w:lvl>
  </w:abstractNum>
  <w:abstractNum w:abstractNumId="126">
    <w:nsid w:val="2A31B62D"/>
    <w:multiLevelType w:val="hybridMultilevel"/>
    <w:lvl w:ilvl="0">
      <w:lvlJc w:val="left"/>
      <w:lvlText w:val="(%1)"/>
      <w:numFmt w:val="lowerLetter"/>
      <w:start w:val="1"/>
    </w:lvl>
  </w:abstractNum>
  <w:abstractNum w:abstractNumId="127">
    <w:nsid w:val="1849C29B"/>
    <w:multiLevelType w:val="hybridMultilevel"/>
    <w:lvl w:ilvl="0">
      <w:lvlJc w:val="left"/>
      <w:lvlText w:val="(%1)"/>
      <w:numFmt w:val="lowerLetter"/>
      <w:start w:val="1"/>
    </w:lvl>
  </w:abstractNum>
  <w:abstractNum w:abstractNumId="128">
    <w:nsid w:val="7DFF9D09"/>
    <w:multiLevelType w:val="hybridMultilevel"/>
    <w:lvl w:ilvl="0">
      <w:lvlJc w:val="left"/>
      <w:lvlText w:val="(%1)"/>
      <w:numFmt w:val="lowerLetter"/>
      <w:start w:val="3"/>
    </w:lvl>
    <w:lvl w:ilvl="1">
      <w:lvlJc w:val="left"/>
      <w:lvlText w:val="(%2)"/>
      <w:numFmt w:val="lowerRoman"/>
      <w:start w:val="1"/>
    </w:lvl>
  </w:abstractNum>
  <w:abstractNum w:abstractNumId="129">
    <w:nsid w:val="754342"/>
    <w:multiLevelType w:val="hybridMultilevel"/>
    <w:lvl w:ilvl="0">
      <w:lvlJc w:val="left"/>
      <w:lvlText w:val="(%1)"/>
      <w:numFmt w:val="lowerLetter"/>
      <w:start w:val="1"/>
    </w:lvl>
    <w:lvl w:ilvl="1">
      <w:lvlJc w:val="left"/>
      <w:lvlText w:val="(%2)"/>
      <w:numFmt w:val="lowerRoman"/>
      <w:start w:val="1"/>
    </w:lvl>
  </w:abstractNum>
  <w:abstractNum w:abstractNumId="130">
    <w:nsid w:val="69E7F3E5"/>
    <w:multiLevelType w:val="hybridMultilevel"/>
    <w:lvl w:ilvl="0">
      <w:lvlJc w:val="left"/>
      <w:lvlText w:val="(%1)"/>
      <w:numFmt w:val="lowerLetter"/>
      <w:start w:val="1"/>
    </w:lvl>
    <w:lvl w:ilvl="1">
      <w:lvlJc w:val="left"/>
      <w:lvlText w:val="(%2)"/>
      <w:numFmt w:val="lowerRoman"/>
      <w:start w:val="1"/>
    </w:lvl>
  </w:abstractNum>
  <w:abstractNum w:abstractNumId="131">
    <w:nsid w:val="2A6DE806"/>
    <w:multiLevelType w:val="hybridMultilevel"/>
    <w:lvl w:ilvl="0">
      <w:lvlJc w:val="left"/>
      <w:lvlText w:val="%1"/>
      <w:numFmt w:val="lowerLetter"/>
      <w:start w:val="1"/>
    </w:lvl>
    <w:lvl w:ilvl="1">
      <w:lvlJc w:val="left"/>
      <w:lvlText w:val="(%2)"/>
      <w:numFmt w:val="lowerRoman"/>
      <w:start w:val="4"/>
    </w:lvl>
  </w:abstractNum>
  <w:abstractNum w:abstractNumId="132">
    <w:nsid w:val="1816F8C4"/>
    <w:multiLevelType w:val="hybridMultilevel"/>
    <w:lvl w:ilvl="0">
      <w:lvlJc w:val="left"/>
      <w:lvlText w:val="(%1)"/>
      <w:numFmt w:val="lowerLetter"/>
      <w:start w:val="2"/>
    </w:lvl>
    <w:lvl w:ilvl="1">
      <w:lvlJc w:val="left"/>
      <w:lvlText w:val="%2"/>
      <w:numFmt w:val="lowerRoman"/>
      <w:start w:val="1"/>
    </w:lvl>
  </w:abstractNum>
  <w:abstractNum w:abstractNumId="133">
    <w:nsid w:val="37DF2233"/>
    <w:multiLevelType w:val="hybridMultilevel"/>
    <w:lvl w:ilvl="0">
      <w:lvlJc w:val="left"/>
      <w:lvlText w:val="(%1)"/>
      <w:numFmt w:val="upperLetter"/>
      <w:start w:val="1"/>
    </w:lvl>
    <w:lvl w:ilvl="1">
      <w:lvlJc w:val="left"/>
      <w:lvlText w:val="(%2)"/>
      <w:numFmt w:val="lowerLetter"/>
      <w:start w:val="4"/>
    </w:lvl>
  </w:abstractNum>
  <w:abstractNum w:abstractNumId="134">
    <w:nsid w:val="7AB49DAF"/>
    <w:multiLevelType w:val="hybridMultilevel"/>
    <w:lvl w:ilvl="0">
      <w:lvlJc w:val="left"/>
      <w:lvlText w:val="(%1)"/>
      <w:numFmt w:val="lowerLetter"/>
      <w:start w:val="1"/>
    </w:lvl>
  </w:abstractNum>
  <w:abstractNum w:abstractNumId="135">
    <w:nsid w:val="759F82CD"/>
    <w:multiLevelType w:val="hybridMultilevel"/>
    <w:lvl w:ilvl="0">
      <w:lvlJc w:val="left"/>
      <w:lvlText w:val="%1"/>
      <w:numFmt w:val="lowerLetter"/>
      <w:start w:val="1"/>
    </w:lvl>
    <w:lvl w:ilvl="1">
      <w:lvlJc w:val="left"/>
      <w:lvlText w:val="(%2)"/>
      <w:numFmt w:val="lowerLetter"/>
      <w:start w:val="2"/>
    </w:lvl>
  </w:abstractNum>
  <w:abstractNum w:abstractNumId="136">
    <w:nsid w:val="61E74EA3"/>
    <w:multiLevelType w:val="hybridMultilevel"/>
    <w:lvl w:ilvl="0">
      <w:lvlJc w:val="left"/>
      <w:lvlText w:val="(%1)"/>
      <w:numFmt w:val="lowerLetter"/>
      <w:start w:val="35"/>
    </w:lvl>
    <w:lvl w:ilvl="1">
      <w:lvlJc w:val="left"/>
      <w:lvlText w:val="%2"/>
      <w:numFmt w:val="lowerLetter"/>
      <w:start w:val="1"/>
    </w:lvl>
  </w:abstractNum>
  <w:abstractNum w:abstractNumId="137">
    <w:nsid w:val="597B4D84"/>
    <w:multiLevelType w:val="hybridMultilevel"/>
    <w:lvl w:ilvl="0">
      <w:lvlJc w:val="left"/>
      <w:lvlText w:val="%1"/>
      <w:numFmt w:val="lowerLetter"/>
      <w:start w:val="1"/>
    </w:lvl>
    <w:lvl w:ilvl="1">
      <w:lvlJc w:val="left"/>
      <w:lvlText w:val="(%2)"/>
      <w:numFmt w:val="lowerLetter"/>
      <w:start w:val="1"/>
    </w:lvl>
  </w:abstractNum>
  <w:abstractNum w:abstractNumId="138">
    <w:nsid w:val="F819E7F"/>
    <w:multiLevelType w:val="hybridMultilevel"/>
    <w:lvl w:ilvl="0">
      <w:lvlJc w:val="left"/>
      <w:lvlText w:val="(%1)"/>
      <w:numFmt w:val="lowerLetter"/>
      <w:start w:val="9"/>
    </w:lvl>
    <w:lvl w:ilvl="1">
      <w:lvlJc w:val="left"/>
      <w:lvlText w:val="(%2)"/>
      <w:numFmt w:val="lowerLetter"/>
      <w:start w:val="2"/>
    </w:lvl>
  </w:abstractNum>
  <w:abstractNum w:abstractNumId="139">
    <w:nsid w:val="57C7D42D"/>
    <w:multiLevelType w:val="hybridMultilevel"/>
    <w:lvl w:ilvl="0">
      <w:lvlJc w:val="left"/>
      <w:lvlText w:val="%1"/>
      <w:numFmt w:val="lowerLetter"/>
      <w:start w:val="1"/>
    </w:lvl>
    <w:lvl w:ilvl="1">
      <w:lvlJc w:val="left"/>
      <w:lvlText w:val="(%2)"/>
      <w:numFmt w:val="lowerLetter"/>
      <w:start w:val="3"/>
    </w:lvl>
  </w:abstractNum>
  <w:abstractNum w:abstractNumId="140">
    <w:nsid w:val="312167AD"/>
    <w:multiLevelType w:val="hybridMultilevel"/>
    <w:lvl w:ilvl="0">
      <w:lvlJc w:val="left"/>
      <w:lvlText w:val="(%1)"/>
      <w:numFmt w:val="lowerLetter"/>
      <w:start w:val="9"/>
    </w:lvl>
    <w:lvl w:ilvl="1">
      <w:lvlJc w:val="left"/>
      <w:lvlText w:val="%2"/>
      <w:numFmt w:val="lowerLetter"/>
      <w:start w:val="1"/>
    </w:lvl>
  </w:abstractNum>
  <w:abstractNum w:abstractNumId="141">
    <w:nsid w:val="631B64D4"/>
    <w:multiLevelType w:val="hybridMultilevel"/>
    <w:lvl w:ilvl="0">
      <w:lvlJc w:val="left"/>
      <w:lvlText w:val="(%1)"/>
      <w:numFmt w:val="lowerLetter"/>
      <w:start w:val="1"/>
    </w:lvl>
  </w:abstractNum>
  <w:abstractNum w:abstractNumId="142">
    <w:nsid w:val="78B5E776"/>
    <w:multiLevelType w:val="hybridMultilevel"/>
    <w:lvl w:ilvl="0">
      <w:lvlJc w:val="left"/>
      <w:lvlText w:val="(%1)"/>
      <w:numFmt w:val="lowerLetter"/>
      <w:start w:val="1"/>
    </w:lvl>
  </w:abstractNum>
  <w:abstractNum w:abstractNumId="143">
    <w:nsid w:val="75486E47"/>
    <w:multiLevelType w:val="hybridMultilevel"/>
    <w:lvl w:ilvl="0">
      <w:lvlJc w:val="left"/>
      <w:lvlText w:val="(%1)"/>
      <w:numFmt w:val="lowerLetter"/>
      <w:start w:val="1"/>
    </w:lvl>
  </w:abstractNum>
  <w:abstractNum w:abstractNumId="144">
    <w:nsid w:val="6E534CDE"/>
    <w:multiLevelType w:val="hybridMultilevel"/>
    <w:lvl w:ilvl="0">
      <w:lvlJc w:val="left"/>
      <w:lvlText w:val="(%1)"/>
      <w:numFmt w:val="lowerLetter"/>
      <w:start w:val="2"/>
    </w:lvl>
  </w:abstractNum>
  <w:abstractNum w:abstractNumId="145">
    <w:nsid w:val="1A0DDE32"/>
    <w:multiLevelType w:val="hybridMultilevel"/>
    <w:lvl w:ilvl="0">
      <w:lvlJc w:val="left"/>
      <w:lvlText w:val="(%1)"/>
      <w:numFmt w:val="lowerLetter"/>
      <w:start w:val="3"/>
    </w:lvl>
  </w:abstractNum>
  <w:abstractNum w:abstractNumId="146">
    <w:nsid w:val="65968C1C"/>
    <w:multiLevelType w:val="hybridMultilevel"/>
    <w:lvl w:ilvl="0">
      <w:lvlJc w:val="left"/>
      <w:lvlText w:val="(%1)"/>
      <w:numFmt w:val="lowerLetter"/>
      <w:start w:val="1"/>
    </w:lvl>
    <w:lvl w:ilvl="1">
      <w:lvlJc w:val="left"/>
      <w:lvlText w:val="(%2)"/>
      <w:numFmt w:val="lowerLetter"/>
      <w:start w:val="9"/>
    </w:lvl>
  </w:abstractNum>
  <w:abstractNum w:abstractNumId="147">
    <w:nsid w:val="46263DEC"/>
    <w:multiLevelType w:val="hybridMultilevel"/>
    <w:lvl w:ilvl="0">
      <w:lvlJc w:val="left"/>
      <w:lvlText w:val="(%1)"/>
      <w:numFmt w:val="lowerRoman"/>
      <w:start w:val="2"/>
    </w:lvl>
  </w:abstractNum>
  <w:abstractNum w:abstractNumId="148">
    <w:nsid w:val="260D8C4A"/>
    <w:multiLevelType w:val="hybridMultilevel"/>
    <w:lvl w:ilvl="0">
      <w:lvlJc w:val="left"/>
      <w:lvlText w:val="%1."/>
      <w:numFmt w:val="decimal"/>
      <w:start w:val="1"/>
    </w:lvl>
    <w:lvl w:ilvl="1">
      <w:lvlJc w:val="left"/>
      <w:lvlText w:val="(%2)"/>
      <w:numFmt w:val="lowerLetter"/>
      <w:start w:val="1"/>
    </w:lvl>
  </w:abstractNum>
  <w:abstractNum w:abstractNumId="149">
    <w:nsid w:val="73D4D3C4"/>
    <w:multiLevelType w:val="hybridMultilevel"/>
    <w:lvl w:ilvl="0">
      <w:lvlJc w:val="left"/>
      <w:lvlText w:val="%1."/>
      <w:numFmt w:val="decimal"/>
      <w:start w:val="1"/>
    </w:lvl>
    <w:lvl w:ilvl="1">
      <w:lvlJc w:val="left"/>
      <w:lvlText w:val="(%2)"/>
      <w:numFmt w:val="lowerLetter"/>
      <w:start w:val="1"/>
    </w:lvl>
  </w:abstractNum>
  <w:abstractNum w:abstractNumId="150">
    <w:nsid w:val="746F2E30"/>
    <w:multiLevelType w:val="hybridMultilevel"/>
    <w:lvl w:ilvl="0">
      <w:lvlJc w:val="left"/>
      <w:lvlText w:val="(%1)"/>
      <w:numFmt w:val="decimal"/>
      <w:start w:val="1"/>
    </w:lvl>
  </w:abstractNum>
  <w:abstractNum w:abstractNumId="151">
    <w:nsid w:val="6FDE8AF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66" Type="http://schemas.openxmlformats.org/officeDocument/2006/relationships/hyperlink" Target="http://www.sec.gov/Archives/edgar/data/1671584/000119312520059183/d872623dex21.htm" TargetMode="External"/><Relationship Id="rId67" Type="http://schemas.openxmlformats.org/officeDocument/2006/relationships/hyperlink" Target="http://www.sec.gov/Archives/edgar/data/1671584/000156459016022097/apvo-ex31_68.htm" TargetMode="External"/><Relationship Id="rId68" Type="http://schemas.openxmlformats.org/officeDocument/2006/relationships/hyperlink" Target="http://www.sec.gov/Archives/edgar/data/1671584/000119312520087225/d865645dex31.htm" TargetMode="External"/><Relationship Id="rId69" Type="http://schemas.openxmlformats.org/officeDocument/2006/relationships/hyperlink" Target="http://www.sec.gov/Archives/edgar/data/1671584/000156459016022097/apvo-ex32_67.htm" TargetMode="External"/><Relationship Id="rId70" Type="http://schemas.openxmlformats.org/officeDocument/2006/relationships/hyperlink" Target="http://www.sec.gov/Archives/edgar/data/1671584/000101905620000553/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2020-11-10T16:33:56Z</dcterms:created>
  <dcterms:modified xsi:type="dcterms:W3CDTF">2020-11-10T16:33:56Z</dcterms:modified>
</cp:coreProperties>
</file>