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69850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20" w:hanging="512"/>
        <w:spacing w:after="0" w:line="237"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9" w:lineRule="exact"/>
        <w:rPr>
          <w:sz w:val="24"/>
          <w:szCs w:val="24"/>
          <w:color w:val="auto"/>
        </w:rPr>
      </w:pPr>
    </w:p>
    <w:p>
      <w:pPr>
        <w:ind w:left="3240"/>
        <w:spacing w:after="0"/>
        <w:tabs>
          <w:tab w:leader="none" w:pos="6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3531235</wp:posOffset>
            </wp:positionH>
            <wp:positionV relativeFrom="paragraph">
              <wp:posOffset>-7620</wp:posOffset>
            </wp:positionV>
            <wp:extent cx="951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61"/>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3100" w:type="dxa"/>
            <w:vAlign w:val="bottom"/>
          </w:tcPr>
          <w:p>
            <w:pPr>
              <w:spacing w:after="0"/>
              <w:rPr>
                <w:sz w:val="22"/>
                <w:szCs w:val="22"/>
                <w:color w:val="auto"/>
              </w:rPr>
            </w:pPr>
          </w:p>
        </w:tc>
      </w:t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8"/>
              </w:rPr>
              <w:t>Seattle, Washington</w:t>
            </w:r>
          </w:p>
        </w:tc>
        <w:tc>
          <w:tcPr>
            <w:tcW w:w="3100" w:type="dxa"/>
            <w:vAlign w:val="bottom"/>
          </w:tcPr>
          <w:p>
            <w:pPr>
              <w:jc w:val="right"/>
              <w:ind w:right="261"/>
              <w:spacing w:after="0"/>
              <w:rPr>
                <w:sz w:val="20"/>
                <w:szCs w:val="20"/>
                <w:color w:val="auto"/>
              </w:rPr>
            </w:pPr>
            <w:r>
              <w:rPr>
                <w:rFonts w:ascii="Arial" w:cs="Arial" w:eastAsia="Arial" w:hAnsi="Arial"/>
                <w:sz w:val="18"/>
                <w:szCs w:val="18"/>
                <w:b w:val="1"/>
                <w:bCs w:val="1"/>
                <w:color w:val="auto"/>
              </w:rPr>
              <w:t>98121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(206) 838-0500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00" w:type="dxa"/>
            <w:vAlign w:val="bottom"/>
          </w:tcPr>
          <w:p>
            <w:pPr>
              <w:ind w:left="32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557" w:right="239" w:bottom="1440" w:gutter="0" w:footer="0" w:header="0"/>
        </w:sectPr>
      </w:pPr>
    </w:p>
    <w:p>
      <w:pPr>
        <w:spacing w:after="0" w:line="90" w:lineRule="exact"/>
        <w:rPr>
          <w:sz w:val="24"/>
          <w:szCs w:val="24"/>
          <w:color w:val="auto"/>
        </w:rPr>
      </w:pPr>
    </w:p>
    <w:p>
      <w:pPr>
        <w:jc w:val="center"/>
        <w:ind w:left="7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7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Trading Symbols(s)</w:t>
      </w:r>
    </w:p>
    <w:p>
      <w:pPr>
        <w:spacing w:after="0" w:line="5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APVO</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920"/>
        <w:spacing w:after="0" w:line="289" w:lineRule="auto"/>
        <w:rPr>
          <w:sz w:val="20"/>
          <w:szCs w:val="20"/>
          <w:color w:val="auto"/>
        </w:rPr>
      </w:pPr>
      <w:r>
        <w:rPr>
          <w:rFonts w:ascii="Arial" w:cs="Arial" w:eastAsia="Arial" w:hAnsi="Arial"/>
          <w:sz w:val="17"/>
          <w:szCs w:val="17"/>
          <w:b w:val="1"/>
          <w:bCs w:val="1"/>
          <w:color w:val="auto"/>
        </w:rPr>
        <w:t>Name of Exchange on Which Registered The Nasdaq Stock Market LLC (The Nasdaq Global Market)</w:t>
      </w:r>
    </w:p>
    <w:p>
      <w:pPr>
        <w:spacing w:after="0" w:line="14" w:lineRule="exact"/>
        <w:rPr>
          <w:sz w:val="24"/>
          <w:szCs w:val="24"/>
          <w:color w:val="auto"/>
        </w:rPr>
      </w:pPr>
    </w:p>
    <w:p>
      <w:pPr>
        <w:sectPr>
          <w:pgSz w:w="11900" w:h="16838" w:orient="portrait"/>
          <w:cols w:equalWidth="0" w:num="3">
            <w:col w:w="4420" w:space="720"/>
            <w:col w:w="1560" w:space="720"/>
            <w:col w:w="4000"/>
          </w:cols>
          <w:pgMar w:left="240" w:top="557" w:right="23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May 7, 2019, the number of shares of the registrant’s common stock outstanding was 45,090,219.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240030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1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440" w:type="dxa"/>
            <w:vAlign w:val="bottom"/>
            <w:gridSpan w:val="1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020" w:type="dxa"/>
            <w:vAlign w:val="bottom"/>
            <w:gridSpan w:val="10"/>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12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4"/>
          </w:tcPr>
          <w:p>
            <w:pPr>
              <w:spacing w:after="0"/>
              <w:rPr>
                <w:sz w:val="18"/>
                <w:szCs w:val="18"/>
                <w:color w:val="auto"/>
              </w:rPr>
            </w:pPr>
          </w:p>
        </w:tc>
        <w:tc>
          <w:tcPr>
            <w:tcW w:w="468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Stockholders’ Equity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1240" w:type="dxa"/>
            <w:vAlign w:val="bottom"/>
            <w:tcBorders>
              <w:top w:val="single" w:sz="8" w:color="0000EE"/>
            </w:tcBorders>
            <w:gridSpan w:val="2"/>
          </w:tcPr>
          <w:p>
            <w:pPr>
              <w:spacing w:after="0"/>
              <w:rPr>
                <w:sz w:val="18"/>
                <w:szCs w:val="18"/>
                <w:color w:val="auto"/>
              </w:rPr>
            </w:pPr>
          </w:p>
        </w:tc>
        <w:tc>
          <w:tcPr>
            <w:tcW w:w="382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08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742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8"/>
                <w:szCs w:val="18"/>
                <w:color w:val="auto"/>
              </w:rPr>
            </w:pPr>
          </w:p>
        </w:tc>
        <w:tc>
          <w:tcPr>
            <w:tcW w:w="8120" w:type="dxa"/>
            <w:vAlign w:val="bottom"/>
            <w:gridSpan w:val="1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5"/>
          </w:tcPr>
          <w:p>
            <w:pPr>
              <w:spacing w:after="0"/>
              <w:rPr>
                <w:sz w:val="18"/>
                <w:szCs w:val="18"/>
                <w:color w:val="auto"/>
              </w:rPr>
            </w:pPr>
          </w:p>
        </w:tc>
        <w:tc>
          <w:tcPr>
            <w:tcW w:w="5100" w:type="dxa"/>
            <w:vAlign w:val="bottom"/>
            <w:gridSpan w:val="6"/>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680" w:type="dxa"/>
            <w:vAlign w:val="bottom"/>
            <w:gridSpan w:val="1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8140" w:type="dxa"/>
            <w:vAlign w:val="bottom"/>
            <w:gridSpan w:val="1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Signatures</w:t>
              </w:r>
            </w:hyperlink>
          </w:p>
        </w:tc>
        <w:tc>
          <w:tcPr>
            <w:tcW w:w="40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37,011</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57,642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2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rebates and discounts payable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short-term liabilities</w:t>
            </w: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Long-term debt, net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 net of current portion</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issued or outstanding</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500,000,000 shares authorized; 45,090,219</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22,808,416 shares issued and outstanding at March 31, 2019 and</w:t>
            </w: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2018, respectively</w:t>
            </w: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178,511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(139,426)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(127,408)</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7,022</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basic share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(0.44)</w:t>
            </w: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9"/>
        </w:trPr>
        <w:tc>
          <w:tcPr>
            <w:tcW w:w="788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per share</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27,567,584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22,025,268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COLSOLIDATED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540" w:type="dxa"/>
            <w:vAlign w:val="bottom"/>
            <w:gridSpan w:val="7"/>
          </w:tcPr>
          <w:p>
            <w:pPr>
              <w:ind w:left="4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(12,018)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available-for-sale investments,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35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(12,018)</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(13,854)</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(2,561)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 of use asset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(3,371)</w:t>
            </w: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Sales rebates and discounts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(13,844)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of investments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received from sale of Hyperimmune Business</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(473)</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warrants, and pre-funded warrants,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Proceeds from exercise of common stock options</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pre-funded warrants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7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2760" w:type="dxa"/>
            <w:vAlign w:val="bottom"/>
          </w:tcPr>
          <w:p>
            <w:pPr>
              <w:spacing w:after="0"/>
              <w:rPr>
                <w:sz w:val="13"/>
                <w:szCs w:val="13"/>
                <w:color w:val="auto"/>
              </w:rPr>
            </w:pPr>
          </w:p>
        </w:tc>
        <w:tc>
          <w:tcPr>
            <w:tcW w:w="148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ind w:right="6"/>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64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22,808,416</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157,791</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(127,408)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80" w:type="dxa"/>
            <w:vAlign w:val="bottom"/>
            <w:tcBorders>
              <w:top w:val="single" w:sz="8" w:color="CFF0FC"/>
            </w:tcBorders>
            <w:shd w:val="clear" w:color="auto" w:fill="CFF0FC"/>
          </w:tcPr>
          <w:p>
            <w:pPr>
              <w:spacing w:after="0"/>
              <w:rPr>
                <w:sz w:val="19"/>
                <w:szCs w:val="19"/>
                <w:color w:val="auto"/>
              </w:rPr>
            </w:pPr>
          </w:p>
        </w:tc>
      </w:tr>
      <w:tr>
        <w:trPr>
          <w:trHeight w:val="209"/>
        </w:trPr>
        <w:tc>
          <w:tcPr>
            <w:tcW w:w="2760" w:type="dxa"/>
            <w:vAlign w:val="bottom"/>
          </w:tcPr>
          <w:p>
            <w:pPr>
              <w:spacing w:after="0"/>
              <w:rPr>
                <w:sz w:val="20"/>
                <w:szCs w:val="20"/>
                <w:color w:val="auto"/>
              </w:rPr>
            </w:pPr>
            <w:r>
              <w:rPr>
                <w:rFonts w:ascii="Arial" w:cs="Arial" w:eastAsia="Arial" w:hAnsi="Arial"/>
                <w:sz w:val="18"/>
                <w:szCs w:val="18"/>
                <w:color w:val="auto"/>
              </w:rPr>
              <w:t>Issuance of common stock, pre-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funded warrants and warrants, net</w:t>
            </w:r>
          </w:p>
        </w:tc>
        <w:tc>
          <w:tcPr>
            <w:tcW w:w="1240" w:type="dxa"/>
            <w:vAlign w:val="bottom"/>
          </w:tcPr>
          <w:p>
            <w:pPr>
              <w:jc w:val="right"/>
              <w:spacing w:after="0"/>
              <w:rPr>
                <w:sz w:val="20"/>
                <w:szCs w:val="20"/>
                <w:color w:val="auto"/>
              </w:rPr>
            </w:pPr>
            <w:r>
              <w:rPr>
                <w:rFonts w:ascii="Arial" w:cs="Arial" w:eastAsia="Arial" w:hAnsi="Arial"/>
                <w:sz w:val="18"/>
                <w:szCs w:val="18"/>
                <w:color w:val="auto"/>
              </w:rPr>
              <w:t>22,000,000</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20,184</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20,206</w:t>
            </w:r>
          </w:p>
        </w:tc>
        <w:tc>
          <w:tcPr>
            <w:tcW w:w="80" w:type="dxa"/>
            <w:vAlign w:val="bottom"/>
          </w:tcPr>
          <w:p>
            <w:pPr>
              <w:spacing w:after="0"/>
              <w:rPr>
                <w:sz w:val="20"/>
                <w:szCs w:val="20"/>
                <w:color w:val="auto"/>
              </w:rPr>
            </w:pPr>
          </w:p>
        </w:tc>
      </w:tr>
      <w:tr>
        <w:trPr>
          <w:trHeight w:val="215"/>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w w:val="99"/>
              </w:rPr>
              <w:t>Issuance of commitment shares of</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non-cash</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transaction</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195,867</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w w:val="96"/>
              </w:rPr>
              <w:t>Common stock issued upon vesting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of 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85,936</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(12,018)</w:t>
            </w:r>
          </w:p>
        </w:tc>
      </w:tr>
      <w:tr>
        <w:trPr>
          <w:trHeight w:val="223"/>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45,090,219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178,511</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2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2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7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2760" w:type="dxa"/>
            <w:vAlign w:val="bottom"/>
          </w:tcPr>
          <w:p>
            <w:pPr>
              <w:spacing w:after="0"/>
              <w:rPr>
                <w:sz w:val="13"/>
                <w:szCs w:val="13"/>
                <w:color w:val="auto"/>
              </w:rPr>
            </w:pPr>
          </w:p>
        </w:tc>
        <w:tc>
          <w:tcPr>
            <w:tcW w:w="1480" w:type="dxa"/>
            <w:vAlign w:val="bottom"/>
            <w:gridSpan w:val="2"/>
          </w:tcPr>
          <w:p>
            <w:pPr>
              <w:ind w:left="400"/>
              <w:spacing w:after="0" w:line="155"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ind w:right="6"/>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640"/>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21,605,716</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155,837</w:t>
            </w:r>
          </w:p>
        </w:tc>
        <w:tc>
          <w:tcPr>
            <w:tcW w:w="4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(73,719)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82,035</w:t>
            </w:r>
          </w:p>
        </w:tc>
        <w:tc>
          <w:tcPr>
            <w:tcW w:w="80" w:type="dxa"/>
            <w:vAlign w:val="bottom"/>
            <w:tcBorders>
              <w:top w:val="single" w:sz="8" w:color="CFF0FC"/>
            </w:tcBorders>
            <w:shd w:val="clear" w:color="auto" w:fill="CFF0FC"/>
          </w:tcPr>
          <w:p>
            <w:pPr>
              <w:spacing w:after="0"/>
              <w:rPr>
                <w:sz w:val="19"/>
                <w:szCs w:val="19"/>
                <w:color w:val="auto"/>
              </w:rPr>
            </w:pPr>
          </w:p>
        </w:tc>
      </w:tr>
      <w:tr>
        <w:trPr>
          <w:trHeight w:val="209"/>
        </w:trPr>
        <w:tc>
          <w:tcPr>
            <w:tcW w:w="2760" w:type="dxa"/>
            <w:vAlign w:val="bottom"/>
          </w:tcPr>
          <w:p>
            <w:pPr>
              <w:spacing w:after="0"/>
              <w:rPr>
                <w:sz w:val="20"/>
                <w:szCs w:val="20"/>
                <w:color w:val="auto"/>
              </w:rPr>
            </w:pPr>
            <w:r>
              <w:rPr>
                <w:rFonts w:ascii="Arial" w:cs="Arial" w:eastAsia="Arial" w:hAnsi="Arial"/>
                <w:sz w:val="18"/>
                <w:szCs w:val="18"/>
                <w:color w:val="auto"/>
              </w:rPr>
              <w:t>Unrealized losses on available-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color w:val="auto"/>
              </w:rPr>
              <w:t>for-sale investments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15"/>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upon</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75,425</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FF0FC"/>
          </w:tcPr>
          <w:p>
            <w:pPr>
              <w:spacing w:after="0"/>
              <w:rPr>
                <w:sz w:val="20"/>
                <w:szCs w:val="20"/>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w w:val="96"/>
              </w:rPr>
              <w:t>Common stock issued upon vesting</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of 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760,833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(742)</w:t>
            </w:r>
          </w:p>
        </w:tc>
      </w:tr>
      <w:tr>
        <w:trPr>
          <w:trHeight w:val="230"/>
        </w:trPr>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(13,854)</w:t>
            </w:r>
          </w:p>
        </w:tc>
      </w:tr>
      <w:tr>
        <w:trPr>
          <w:trHeight w:val="223"/>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2018</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22,441,974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155,998</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areas of immuno-oncology and autoimmune and inflammatory diseases.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Global Market under the symbol “APVO.”</w:t>
      </w:r>
    </w:p>
    <w:p>
      <w:pPr>
        <w:spacing w:after="0" w:line="22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accordance with Financial Accounting Standards Board, or the FASB, Accounting Standards Update No. 2014-15, Presentation of Financial Statements - Going Concern (Subtopic 205-40), our management evaluates whether there are conditions or events, considered in aggregate, that raise substantial doubt about our ability to continue as a going concern within one year after the date that the financial statements are issued. As of May 9, 2019, there are not such conditions or events, as we expect our existing cash and cash equivalents will be sufficient to fund our operations through May 9, 2020.</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March 2019, we completed a public offering relating to the issuance and sale of 19,850,000 shares of our common stock and warrants to purchase up to 19,850,000 shares of common stock at an exercise price of $1.30 per share, as well as pre-funded warrants to purchase up to 2,150,000 shares of common stock at an exercise price of $0.01 per share and 2,150,000 of related warrants to purchase shares of common stock at $1.30 per share. We received net proceeds of $20.2 million, after underwriting fees, legal fees, and other expenses. If the remaining warrants are fully exercised in the future, additional proceeds to be received upon exercise of these warrants totals up to $28.6 million over the ten-year term of the warrants.</w:t>
      </w:r>
    </w:p>
    <w:p>
      <w:pPr>
        <w:spacing w:after="0" w:line="18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results of operations will be highly dependent on IXINITY sales unless or until we develop or partner any of our development stage product candidates, which we expect may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While we may be able to access capital under our existing equity sales agreement with Lincoln Park Financial LLC or our Equity Distribution Agreement with Piper Jaffray, if we are unable to obtain additional financing when needed, or if IXINITY revenue growth does not continue or continue at the rates we expect, we may have to delay, reduce the scope of, suspend or eliminate one or more of our research and development programs.</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08"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condensed consolidated financial statements include the accounts of the company and its wholly owned subsidiaries: Aptevo Research and Development LLC; Aptevo BioTherapeutics LLC; and Aptevo Europe Limited. All intercompany balances and transactions have been eliminated.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January 1, 2019 we adopted ASU No. 2016-02, Leases (ASC 842), which amends the existing standards for lease accounting, requiring lessees to recognize most leases on their balance sheets and disclose key information about leasing arrangements. We adopted the new standard using a modified retrospective transition approach for the leases at the beginning of the current fiscal year, January 1, 2019. We did not adjust comparative periods in our financial statements prior to that period. See note 6 – Leases, of our condensed consolidated financial statements for additional information.</w:t>
      </w:r>
    </w:p>
    <w:p>
      <w:pPr>
        <w:spacing w:after="0" w:line="19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new standard establishes a right-of-use model that requires a lessee to recognize an operating lease right-of-use asset and lease liability on the balance sheet for all leases with a term longer than twelve months. Leases are to be classified as finance or operating at the lease commencement, which affects the classification of expense recognition in the income statement. Right-of-use assets represent the right to use an underlying asset for the lease term and lease liabilities represent the obligation to make lease payments, as agreed to in the lease. Operating lease liabilities are recognized at the date of lease commencement based on the present value of lease payments over the lease term. As leases may include options to extend the lease period, or options for early termination, when it is reasonably certain that an entity is going to exercise the renewal option, the additional payments are to be included in the lease’s terms. When it is reasonably certain that an early termination option will not be exercised, the lease’s terms are to be extended beyond the possible early termination date or dates.</w:t>
      </w:r>
    </w:p>
    <w:p>
      <w:pPr>
        <w:spacing w:after="0" w:line="21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standard requires that we use our incremental borrowing rate (IBR) as the discount rate in our lease evaluation if a rate implicit in the lease cannot be identified. Due to the significant judgment involved and the complex analysis needed to determine this discount rate, we engaged a third-party valuation specialist to advise us in our determination of our IBR.</w:t>
      </w:r>
    </w:p>
    <w:p>
      <w:pPr>
        <w:spacing w:after="0" w:line="22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w:t>
      </w:r>
    </w:p>
    <w:p>
      <w:pPr>
        <w:spacing w:after="0" w:line="22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Lease expense for operating leases is recognized on a straight-line basis over the lease term as part of our selling, general and administrative expenses and our research and development expenses on our consolidated statement of operations. Lease expense for financing leases consists of amortization of the right-of-use asset and interest on the lease liability as part of our research and development expenses on our consolidated statement of operations.</w:t>
      </w:r>
    </w:p>
    <w:p>
      <w:pPr>
        <w:spacing w:after="0" w:line="174"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For transition leases, entities are permitted to make an election to apply a package of practical expedients that allows entities not to reassess (i) whether any expired or existing contracts are or contain leases, (ii) lease classification for any expired or existing leases, and (iii) whether initial direct costs for any expired or existing leases qualify for capitalization under ASC 842. These practical expedients must be elected as a package and must be consistently applied to all leases. In addition, entities are also permitted to make an election to use hindsight when determining lease terms and when assessing the impairment of right-of-use assets. We have chosen to elect the package of practical expedients but did not elect the hindsight practical expedient for our transition leases.</w:t>
      </w:r>
    </w:p>
    <w:p>
      <w:pPr>
        <w:spacing w:after="0" w:line="19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Adoption of the new standard resulted in the recognition of a right-to-use asset of $1.5 million, an operating lease liability of $2.2 million dollars, and a related decrease in deferred rent liability of $0.7 million at January 1, 2019.</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2018 that was filed with the SEC on March 18, 2019. Our other significant accounting policies have not changed materially from the policies previously reported.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Adopted Standards</w:t>
      </w:r>
    </w:p>
    <w:p>
      <w:pPr>
        <w:spacing w:after="0" w:line="135"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February 2016, the FASB issued ASU No. 2016-02, Leases (ASC 842). Under the new guidance, lessees are required to recognize a lease liability and a right-of-use asset for all leases (with the exception of short-term leases) at the commencement date. We adopted this standard on January 1, 2019 and applied the practical expedients thereby continuing to account for leases that commenced before the effective date in accordance with previous GAAP. See note 1 – Significant Accounting Policies, and note 6 – Lease of our condensed consolidated financial statements, for further information.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ind w:firstLine="518"/>
        <w:spacing w:after="0" w:line="293" w:lineRule="auto"/>
        <w:rPr>
          <w:sz w:val="20"/>
          <w:szCs w:val="20"/>
          <w:color w:val="auto"/>
        </w:rPr>
      </w:pPr>
      <w:r>
        <w:rPr>
          <w:rFonts w:ascii="Arial" w:cs="Arial" w:eastAsia="Arial" w:hAnsi="Arial"/>
          <w:sz w:val="16"/>
          <w:szCs w:val="16"/>
          <w:color w:val="auto"/>
        </w:rPr>
        <w:t>In June 2018, the FASB issued ASU No. 2018-07, Compensation – Stock Compensation (ASC 718) – Improvements to Non-employee Share-Based Payment Accounting, which aligns the accounting for share-based payment awards issued to employees and nonemployees. Under ASU 2018-07,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used in lieu of an expected term in the option-pricing model for nonemployee awards. We adopted this on January 1, 2019, and there was no impact on our consolidated results of operations, financial position, and cash flows.</w:t>
      </w:r>
    </w:p>
    <w:p>
      <w:pPr>
        <w:spacing w:after="0" w:line="165"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August 2018, the SEC adopted amendments to certain disclosure requirements in Securities Act Release No. 33-10532, Disclosure Update and Simplification. Among the amendments is the requirement to present any changes in shareholders’ equity in the interim financial statements, either in a separate statement or footnote in the quarterly reports on Form 10-Q. The amendments became effective on November 5, 2018. We have included a separate statement, the Condensed Consolidated Statements of Changes in Stockholders’ Equity in this Quarterly Report on Form 10Q.</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w:t>
      </w:r>
    </w:p>
    <w:p>
      <w:pPr>
        <w:spacing w:after="0" w:line="21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21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00"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0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assessed the arrangement in accordance with ASC 606 and concluded that the contract counterparty, Alligator, is not a customer. As such the arrangement is not in the scope of ASC 606 and is instead treated as a collaborative agreement under ASC 808. For the three months ended March 31, 2019, we recorded a reduction in our research and development expense of $0.4 million and for the three months ended March 31, 2018, we recorded an increase in our research and development expense of less than $0.1 million related to the collaboration arrangement.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2019 and December 31, 2018, we had $34.1 million and $29.0 million in money market funds, respectively.</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amounts of our money market funds approximate their fair value. At March 31, 2019, we did not have any level two or level three assets.</w:t>
      </w:r>
    </w:p>
    <w:p>
      <w:pPr>
        <w:spacing w:after="0" w:line="200" w:lineRule="exact"/>
        <w:rPr>
          <w:sz w:val="20"/>
          <w:szCs w:val="20"/>
          <w:color w:val="auto"/>
        </w:rPr>
      </w:pP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13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Company’s cash equivalents are highly liquid investments with a maturity of 90 days or less at the date of purchase and include time deposits and investments in money market funds. Restricted cash, long-term includes $5.0 million related to the minimum cash covenant included in the Company’s Credit and Security Agreement (the Credit Agreement) with MidCap Financial Trust, and $2.4 million securing letters of credit.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long-term restricted cash as of March 31, 2019 and December 31, 2018:</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6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60"/>
              <w:spacing w:after="0"/>
              <w:rPr>
                <w:sz w:val="20"/>
                <w:szCs w:val="20"/>
                <w:color w:val="auto"/>
              </w:rPr>
            </w:pPr>
            <w:r>
              <w:rPr>
                <w:rFonts w:ascii="Arial" w:cs="Arial" w:eastAsia="Arial" w:hAnsi="Arial"/>
                <w:sz w:val="18"/>
                <w:szCs w:val="18"/>
                <w:color w:val="auto"/>
              </w:rPr>
              <w:t>Total inventories</w:t>
            </w:r>
          </w:p>
        </w:tc>
        <w:tc>
          <w:tcPr>
            <w:tcW w:w="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4,346</w:t>
            </w:r>
          </w:p>
        </w:tc>
        <w:tc>
          <w:tcPr>
            <w:tcW w:w="280" w:type="dxa"/>
            <w:vAlign w:val="bottom"/>
            <w:gridSpan w:val="2"/>
          </w:tcPr>
          <w:p>
            <w:pPr>
              <w:spacing w:after="0"/>
              <w:rPr>
                <w:sz w:val="19"/>
                <w:szCs w:val="19"/>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6.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2003, we entered into a lease for our corporate headquarters located in Seattle, Washington. This lease has been amended multiple times to add additional space and extend the lease term. Amendment number seven, became effective on September 1, 2014 and expires on April 30, 2020, covering 50,466 square feet of office, laboratory, and meeting space. We are required to pay a proportionate share of certain operating expenses as defined in the agreement with the lessor and a proportionate share of the real estate taxes as assessed. We received a tenant improvement allowance that was settled in June 2017 and which we elected to amortize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as a reduction in rent over the remaining term of the lease. The lease has a two-year renewal option at fair market value on the date of renewal and a termination option by giving nine months’ notice and a penalty equal to the unamortized tenant improvement allowance, the unamortized real estate fee, and the market value of free parking. For the three months ended March 31, 2019, we recorded $0.4 million in lease expense, including $0.1 million for variable payments.</w:t>
      </w:r>
    </w:p>
    <w:p>
      <w:pPr>
        <w:spacing w:after="0" w:line="21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 The future expense for this lease will be recorded as a straight-line expense, less the unamortized tenant incentive portion, plus any variable expenses due to true-ups of operating costs or real estate taxes.</w:t>
      </w:r>
    </w:p>
    <w:p>
      <w:pPr>
        <w:spacing w:after="0" w:line="21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 March 19, 2019, we entered into a new lease amendment, number eight, for our current headquarters in Seattle, Washington. This amendment extended the terms of the lease for ten years, until April 30, 2030, and reduced the total square footage of our office space to 47,692 after May 1, 2020. We determined we should not include any periods after the termination option when evaluating this amendment as we are not reasonably certain to not exercise the option, therefore we are recording our liability through April 30, 2023. 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06"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This new amendment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As of January 1, 2019, we have operating leases for one piece of lab equipment and four copiers in our Seattle, Washington headquarters. We recorded a right-of-use asset of $0.3 million on January 1, 2019 which reflects the remaining liability of the leases, less the balance of accrued and deferred rent. We also recorded a lease liability of $0.3 million which reflects the present value of the remaining payment for the leases, discounted using our incremental borrowing rate for the lab equipment lease is 16.53% and for the copier leases it is 16.19%, for the remaining term of the leases. The future expense for these leases will be straight-line and will include any variable expenses that arise.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of January 1, 2019, we had one equipment lease classified as a financing lease as the lease transfers ownership of the underlying asset to us at the end of the lease term. At the adoption of the standard at January 1, 2019, we did not make any additional reclassification for this lease as the entire carrying amount had already been recorded as a capital lease obligation under ASC 840 – Leases. The remaining term of this lease is seventeen months and has a remaining expense obligation of less than $0.1 million. There were no financing lease payments in the three months ended March 31, 2019.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lease expense: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Three Months</w:t>
            </w:r>
          </w:p>
        </w:tc>
      </w:tr>
      <w:tr>
        <w:trPr>
          <w:trHeight w:val="162"/>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Ended March 31,</w:t>
            </w:r>
          </w:p>
        </w:tc>
      </w:tr>
      <w:tr>
        <w:trPr>
          <w:trHeight w:val="171"/>
        </w:trPr>
        <w:tc>
          <w:tcPr>
            <w:tcW w:w="8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82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8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flows information related to leases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Right of use assets acquired under operating leases: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71"/>
        </w:trPr>
        <w:tc>
          <w:tcPr>
            <w:tcW w:w="8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Lease payments: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71"/>
        </w:trPr>
        <w:tc>
          <w:tcPr>
            <w:tcW w:w="8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8320" w:type="dxa"/>
            <w:vAlign w:val="bottom"/>
            <w:gridSpan w:val="2"/>
          </w:tcPr>
          <w:p>
            <w:pPr>
              <w:spacing w:after="0"/>
              <w:rPr>
                <w:sz w:val="20"/>
                <w:szCs w:val="20"/>
                <w:color w:val="auto"/>
              </w:rPr>
            </w:pPr>
            <w:r>
              <w:rPr>
                <w:rFonts w:ascii="Arial" w:cs="Arial" w:eastAsia="Arial" w:hAnsi="Arial"/>
                <w:sz w:val="18"/>
                <w:szCs w:val="18"/>
                <w:color w:val="auto"/>
              </w:rPr>
              <w:t>Future minimum payments as of March 31, 2019 are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9 months ended December 31, 2019</w:t>
            </w:r>
          </w:p>
        </w:tc>
        <w:tc>
          <w:tcPr>
            <w:tcW w:w="320" w:type="dxa"/>
            <w:vAlign w:val="bottom"/>
            <w:tcBorders>
              <w:top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12 months ended December 31, 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12 months ended December 31, 2021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12 months ended December 31, 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12 months ended December 31, 2023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3"/>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$4.0 million and the remainder of our lease liabilities are included in other current liabilities on our condensed consolidated balance sheets.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2019, the weighted average remaining lease term and weighted discount rate for operating leases was 4.0 years and 14.56%.</w:t>
      </w:r>
    </w:p>
    <w:p>
      <w:pPr>
        <w:spacing w:after="0" w:line="34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Debt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2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have been deferred to February 1,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5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22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Additionally, this amendment is subject to a subjective acceleration clause, although we believe the likelihood of an acceleration of the due date for this obligation is remote.</w:t>
      </w:r>
    </w:p>
    <w:p>
      <w:pPr>
        <w:spacing w:after="0" w:line="21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gridSpan w:val="4"/>
          </w:tcPr>
          <w:p>
            <w:pPr>
              <w:ind w:left="3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4,100</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31" w:lineRule="exact"/>
        <w:rPr>
          <w:sz w:val="20"/>
          <w:szCs w:val="20"/>
          <w:color w:val="auto"/>
        </w:rPr>
      </w:pPr>
    </w:p>
    <w:p>
      <w:pPr>
        <w:ind w:left="104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a combined public offering price of $1.00 per share of common stock and related warrants, 19,850,000 shares of common stock and related warrants with a 5-year life to purchase up to 19,850,000 shares of common stock at an exercise price of $1.30 per share,</w:t>
      </w:r>
    </w:p>
    <w:p>
      <w:pPr>
        <w:spacing w:after="0" w:line="51" w:lineRule="exact"/>
        <w:rPr>
          <w:rFonts w:ascii="Arial" w:cs="Arial" w:eastAsia="Arial" w:hAnsi="Arial"/>
          <w:sz w:val="17"/>
          <w:szCs w:val="17"/>
          <w:color w:val="auto"/>
        </w:rPr>
      </w:pPr>
    </w:p>
    <w:p>
      <w:pPr>
        <w:jc w:val="both"/>
        <w:ind w:left="1040" w:hanging="519"/>
        <w:spacing w:after="0" w:line="31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a combined public offering price of $0.99 per pre-funded warrant and related warrant, pre-funded warrants with a 10-year life to purchase up to 2,150,000 shares of common stock at an exercise price of $0.01 per share and related warrants with a 5-year life to purchase up to 2,150,000 shares of common stock at an exercise price of $1.30 per share. These pre-funded warrants were exercised on March 21, 2019.</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jc w:val="both"/>
        <w:ind w:firstLine="518"/>
        <w:spacing w:after="0" w:line="277" w:lineRule="auto"/>
        <w:rPr>
          <w:sz w:val="20"/>
          <w:szCs w:val="20"/>
          <w:color w:val="auto"/>
        </w:rPr>
      </w:pPr>
      <w:r>
        <w:rPr>
          <w:rFonts w:ascii="Arial" w:cs="Arial" w:eastAsia="Arial" w:hAnsi="Arial"/>
          <w:sz w:val="18"/>
          <w:szCs w:val="18"/>
          <w:color w:val="auto"/>
        </w:rPr>
        <w:t>For the three months ended March 31, 2019, we issued 85,936 shares of common stock due to the vesting of RSUs. In addition, pursuant to our purchase agreement with Lincoln Park, we issued 195,867 of commitment shares in a non-cash transaction.</w:t>
      </w:r>
    </w:p>
    <w:p>
      <w:pPr>
        <w:spacing w:after="0" w:line="19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During the three months ended March 31, 2018, we received proceeds of $0.2 million upon the exercise of stock options which resulted in the issuance of 75,425 shares of common stock and issued 760,833 shares of common stock due to the vesting of restricted stock units.</w:t>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such shares of common stock by Piper Jaffray will be effected pursuant to a Registration Statement on Form S-3 which we filed on November 9, 2017. We issued 13,265 shares under the Equity Distribution Agreement in the fourth quarter of 2018, and no shares in the first quarter of 2019.</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1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9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June 1, 2018, at the 2018 Annual Meeting, the Company’s stockholders approved a new 2018 Stock Incentive Plan (2018 SIP), which replaces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both"/>
        <w:spacing w:after="0" w:line="297" w:lineRule="auto"/>
        <w:rPr>
          <w:sz w:val="20"/>
          <w:szCs w:val="20"/>
          <w:color w:val="auto"/>
        </w:rPr>
      </w:pPr>
      <w:r>
        <w:rPr>
          <w:rFonts w:ascii="Arial" w:cs="Arial" w:eastAsia="Arial" w:hAnsi="Arial"/>
          <w:sz w:val="16"/>
          <w:szCs w:val="16"/>
          <w:color w:val="auto"/>
        </w:rPr>
        <w:t>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March 31, 2019, there are 2.0 million shares available to be granted under the 2018 SIP.</w:t>
      </w:r>
    </w:p>
    <w:p>
      <w:pPr>
        <w:spacing w:after="0" w:line="19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non-employees and has been reported in our Condensed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Borders>
              <w:bottom w:val="single" w:sz="8" w:color="auto"/>
            </w:tcBorders>
            <w:gridSpan w:val="9"/>
          </w:tcPr>
          <w:p>
            <w:pPr>
              <w:jc w:val="right"/>
              <w:ind w:right="35"/>
              <w:spacing w:after="0"/>
              <w:rPr>
                <w:sz w:val="20"/>
                <w:szCs w:val="20"/>
                <w:color w:val="auto"/>
              </w:rPr>
            </w:pPr>
            <w:r>
              <w:rPr>
                <w:rFonts w:ascii="Arial" w:cs="Arial" w:eastAsia="Arial" w:hAnsi="Arial"/>
                <w:sz w:val="14"/>
                <w:szCs w:val="14"/>
                <w:b w:val="1"/>
                <w:bCs w:val="1"/>
                <w:color w:val="auto"/>
              </w:rPr>
              <w:t>For the Three Months Ended March 31,</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center"/>
              <w:ind w:right="479"/>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55"/>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center"/>
              <w:spacing w:after="0"/>
              <w:rPr>
                <w:sz w:val="20"/>
                <w:szCs w:val="20"/>
                <w:color w:val="auto"/>
              </w:rPr>
            </w:pPr>
            <w:r>
              <w:rPr>
                <w:rFonts w:ascii="Arial" w:cs="Arial" w:eastAsia="Arial" w:hAnsi="Arial"/>
                <w:sz w:val="18"/>
                <w:szCs w:val="18"/>
                <w:color w:val="auto"/>
                <w:w w:val="93"/>
              </w:rPr>
              <w:t>0.00%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ind w:right="75"/>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5"/>
          </w:tcPr>
          <w:p>
            <w:pPr>
              <w:jc w:val="center"/>
              <w:ind w:left="254"/>
              <w:spacing w:after="0"/>
              <w:rPr>
                <w:sz w:val="20"/>
                <w:szCs w:val="20"/>
                <w:color w:val="auto"/>
              </w:rPr>
            </w:pPr>
            <w:r>
              <w:rPr>
                <w:rFonts w:ascii="Arial" w:cs="Arial" w:eastAsia="Arial" w:hAnsi="Arial"/>
                <w:sz w:val="18"/>
                <w:szCs w:val="18"/>
                <w:color w:val="auto"/>
                <w:w w:val="91"/>
              </w:rPr>
              <w:t>75.00%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center"/>
              <w:ind w:right="55"/>
              <w:spacing w:after="0"/>
              <w:rPr>
                <w:sz w:val="20"/>
                <w:szCs w:val="20"/>
                <w:color w:val="auto"/>
              </w:rPr>
            </w:pPr>
            <w:r>
              <w:rPr>
                <w:rFonts w:ascii="Arial" w:cs="Arial" w:eastAsia="Arial" w:hAnsi="Arial"/>
                <w:sz w:val="18"/>
                <w:szCs w:val="18"/>
                <w:color w:val="auto"/>
                <w:w w:val="91"/>
              </w:rPr>
              <w:t>75.00%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5"/>
            <w:shd w:val="clear" w:color="auto" w:fill="CFF0FC"/>
          </w:tcPr>
          <w:p>
            <w:pPr>
              <w:jc w:val="center"/>
              <w:ind w:left="254"/>
              <w:spacing w:after="0"/>
              <w:rPr>
                <w:sz w:val="20"/>
                <w:szCs w:val="20"/>
                <w:color w:val="auto"/>
              </w:rPr>
            </w:pPr>
            <w:r>
              <w:rPr>
                <w:rFonts w:ascii="Arial" w:cs="Arial" w:eastAsia="Arial" w:hAnsi="Arial"/>
                <w:sz w:val="18"/>
                <w:szCs w:val="18"/>
                <w:color w:val="auto"/>
                <w:w w:val="93"/>
              </w:rPr>
              <w:t>2.52%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ind w:right="75"/>
              <w:spacing w:after="0"/>
              <w:rPr>
                <w:sz w:val="20"/>
                <w:szCs w:val="20"/>
                <w:color w:val="auto"/>
              </w:rPr>
            </w:pPr>
            <w:r>
              <w:rPr>
                <w:rFonts w:ascii="Arial" w:cs="Arial" w:eastAsia="Arial" w:hAnsi="Arial"/>
                <w:sz w:val="18"/>
                <w:szCs w:val="18"/>
                <w:color w:val="auto"/>
                <w:w w:val="90"/>
              </w:rPr>
              <w:t>2.72%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gridSpan w:val="7"/>
          </w:tcPr>
          <w:p>
            <w:pPr>
              <w:ind w:left="440"/>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20"/>
                <w:szCs w:val="20"/>
                <w:color w:val="auto"/>
              </w:rPr>
            </w:pPr>
          </w:p>
        </w:tc>
        <w:tc>
          <w:tcPr>
            <w:tcW w:w="820" w:type="dxa"/>
            <w:vAlign w:val="bottom"/>
          </w:tcPr>
          <w:p>
            <w:pPr>
              <w:jc w:val="right"/>
              <w:ind w:right="155"/>
              <w:spacing w:after="0"/>
              <w:rPr>
                <w:sz w:val="20"/>
                <w:szCs w:val="20"/>
                <w:color w:val="auto"/>
              </w:rPr>
            </w:pPr>
            <w:r>
              <w:rPr>
                <w:rFonts w:ascii="Arial" w:cs="Arial" w:eastAsia="Arial" w:hAnsi="Arial"/>
                <w:sz w:val="18"/>
                <w:szCs w:val="18"/>
                <w:color w:val="auto"/>
                <w:w w:val="98"/>
              </w:rPr>
              <w:t>6 years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580" w:type="dxa"/>
            <w:vAlign w:val="bottom"/>
            <w:gridSpan w:val="4"/>
          </w:tcPr>
          <w:p>
            <w:pPr>
              <w:spacing w:after="0"/>
              <w:rPr>
                <w:sz w:val="20"/>
                <w:szCs w:val="20"/>
                <w:color w:val="auto"/>
              </w:rPr>
            </w:pPr>
            <w:r>
              <w:rPr>
                <w:rFonts w:ascii="Arial" w:cs="Arial" w:eastAsia="Arial" w:hAnsi="Arial"/>
                <w:sz w:val="18"/>
                <w:szCs w:val="18"/>
                <w:color w:val="auto"/>
                <w:w w:val="94"/>
              </w:rPr>
              <w:t>Management has applied an estimated forfeiture rate of 10% for the periods presented.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80" w:type="dxa"/>
            <w:vAlign w:val="bottom"/>
            <w:gridSpan w:val="4"/>
          </w:tcPr>
          <w:p>
            <w:pPr>
              <w:spacing w:after="0"/>
              <w:rPr>
                <w:sz w:val="20"/>
                <w:szCs w:val="20"/>
                <w:color w:val="auto"/>
              </w:rPr>
            </w:pPr>
            <w:r>
              <w:rPr>
                <w:rFonts w:ascii="Arial" w:cs="Arial" w:eastAsia="Arial" w:hAnsi="Arial"/>
                <w:sz w:val="18"/>
                <w:szCs w:val="18"/>
                <w:color w:val="auto"/>
                <w:w w:val="92"/>
              </w:rPr>
              <w:t>The following is a summary of option activity for the three months ended March 31, 2019: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54"/>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24"/>
                <w:szCs w:val="24"/>
                <w:color w:val="auto"/>
              </w:rPr>
            </w:pPr>
          </w:p>
        </w:tc>
        <w:tc>
          <w:tcPr>
            <w:tcW w:w="820" w:type="dxa"/>
            <w:vAlign w:val="bottom"/>
          </w:tcPr>
          <w:p>
            <w:pPr>
              <w:jc w:val="center"/>
              <w:ind w:left="115"/>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74"/>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20" w:type="dxa"/>
            <w:vAlign w:val="bottom"/>
          </w:tcPr>
          <w:p>
            <w:pPr>
              <w:jc w:val="center"/>
              <w:ind w:left="115"/>
              <w:spacing w:after="0" w:line="149" w:lineRule="exact"/>
              <w:rPr>
                <w:sz w:val="20"/>
                <w:szCs w:val="20"/>
                <w:color w:val="auto"/>
              </w:rPr>
            </w:pPr>
            <w:r>
              <w:rPr>
                <w:rFonts w:ascii="Arial" w:cs="Arial" w:eastAsia="Arial" w:hAnsi="Arial"/>
                <w:sz w:val="14"/>
                <w:szCs w:val="14"/>
                <w:b w:val="1"/>
                <w:bCs w:val="1"/>
                <w:color w:val="auto"/>
                <w:w w:val="95"/>
              </w:rPr>
              <w:t>Intrinsic</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0" w:type="dxa"/>
            <w:vAlign w:val="bottom"/>
          </w:tcPr>
          <w:p>
            <w:pPr>
              <w:spacing w:after="0"/>
              <w:rPr>
                <w:sz w:val="14"/>
                <w:szCs w:val="14"/>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Remaining Term</w:t>
            </w:r>
          </w:p>
        </w:tc>
        <w:tc>
          <w:tcPr>
            <w:tcW w:w="20" w:type="dxa"/>
            <w:vAlign w:val="bottom"/>
          </w:tcPr>
          <w:p>
            <w:pPr>
              <w:spacing w:after="0"/>
              <w:rPr>
                <w:sz w:val="14"/>
                <w:szCs w:val="14"/>
                <w:color w:val="auto"/>
              </w:rPr>
            </w:pPr>
          </w:p>
        </w:tc>
        <w:tc>
          <w:tcPr>
            <w:tcW w:w="820" w:type="dxa"/>
            <w:vAlign w:val="bottom"/>
          </w:tcPr>
          <w:p>
            <w:pPr>
              <w:jc w:val="center"/>
              <w:ind w:left="115"/>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3,329,618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9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821,523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(50,670)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4,100,471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60"/>
              <w:spacing w:after="0"/>
              <w:rPr>
                <w:sz w:val="20"/>
                <w:szCs w:val="20"/>
                <w:color w:val="auto"/>
              </w:rPr>
            </w:pPr>
            <w:r>
              <w:rPr>
                <w:rFonts w:ascii="Arial" w:cs="Arial" w:eastAsia="Arial" w:hAnsi="Arial"/>
                <w:sz w:val="18"/>
                <w:szCs w:val="18"/>
                <w:color w:val="auto"/>
              </w:rPr>
              <w:t>Exercisable at March 31, 2019</w:t>
            </w: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2,062,402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March 31, 2019, we had $2.6 million of unrecognized compensation expense related to options expected to vest over a weighted average period of 2.0 years. The weighted average remaining contractual life of outstanding and exercisable options is 5.6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both"/>
        <w:ind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March 2019 and the exercise price, multiplied by the number of in the money options) that would have been received by the option holders had all the option holders exercised their options on the last trading day of the quarter. As of December 31, 2018, and March 31, 2019, we had no outstanding options with an exercise price below the trading price of our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three months ended March 31,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Value per Unit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133,040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tcPr>
          <w:p>
            <w:pPr>
              <w:jc w:val="right"/>
              <w:spacing w:after="0"/>
              <w:rPr>
                <w:sz w:val="20"/>
                <w:szCs w:val="20"/>
                <w:color w:val="auto"/>
              </w:rPr>
            </w:pPr>
            <w:r>
              <w:rPr>
                <w:rFonts w:ascii="Arial" w:cs="Arial" w:eastAsia="Arial" w:hAnsi="Arial"/>
                <w:sz w:val="18"/>
                <w:szCs w:val="18"/>
                <w:color w:val="auto"/>
              </w:rPr>
              <w:t>123,442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2019</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March 31, 2019, we had less than $0.1 million of unrecognized compensation expense related to RSU’s, which will all be fully vested by May 10, 2019.</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Global Market.</w:t>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March 2019, as part of a public offering, we issued warrants to purchase up to 24,150,000 shares of our common stock, 22,000,000 of which have an exercise price of $1.30 per share and have a five-year life, and 2,150,000 of pre-funded warrants with an exercise price of $0.01 per share. The pre-funded warrants have a ten-year life and expire on March 11, 2029. The warrants with a $0.01 per share exercise price were exercised in March 2019. We determined the warrants do not meet liability classification pursuant to ASC 480 – Distinguishing Liabilities from Equity. There are therefore included within equity on our consolidated balance sheet. As of March 31, 2019, there were 22,000,000 outstanding.</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Revenue Reserves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activity in each of our product revenue allowance and reserve categories for the three months ending March 31, 2019:</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9"/>
              </w:rPr>
              <w:t>Chargebacks and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Distribution Fees,</w:t>
            </w:r>
          </w:p>
        </w:tc>
        <w:tc>
          <w:tcPr>
            <w:tcW w:w="0" w:type="dxa"/>
            <w:vAlign w:val="bottom"/>
          </w:tcPr>
          <w:p>
            <w:pPr>
              <w:spacing w:after="0"/>
              <w:rPr>
                <w:sz w:val="1"/>
                <w:szCs w:val="1"/>
                <w:color w:val="auto"/>
              </w:rPr>
            </w:pPr>
          </w:p>
        </w:tc>
      </w:tr>
      <w:tr>
        <w:trPr>
          <w:trHeight w:val="149"/>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Rebates and Patient</w:t>
            </w:r>
          </w:p>
        </w:tc>
        <w:tc>
          <w:tcPr>
            <w:tcW w:w="0" w:type="dxa"/>
            <w:vAlign w:val="bottom"/>
          </w:tcPr>
          <w:p>
            <w:pPr>
              <w:spacing w:after="0"/>
              <w:rPr>
                <w:sz w:val="1"/>
                <w:szCs w:val="1"/>
                <w:color w:val="auto"/>
              </w:rPr>
            </w:pPr>
          </w:p>
        </w:tc>
      </w:tr>
      <w:tr>
        <w:trPr>
          <w:trHeight w:val="171"/>
        </w:trPr>
        <w:tc>
          <w:tcPr>
            <w:tcW w:w="6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Cash Discounts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Assistance</w:t>
            </w:r>
          </w:p>
        </w:tc>
        <w:tc>
          <w:tcPr>
            <w:tcW w:w="0" w:type="dxa"/>
            <w:vAlign w:val="bottom"/>
          </w:tcPr>
          <w:p>
            <w:pPr>
              <w:spacing w:after="0"/>
              <w:rPr>
                <w:sz w:val="1"/>
                <w:szCs w:val="1"/>
                <w:color w:val="auto"/>
              </w:rPr>
            </w:pPr>
          </w:p>
        </w:tc>
      </w:tr>
      <w:tr>
        <w:trPr>
          <w:trHeight w:val="223"/>
        </w:trPr>
        <w:tc>
          <w:tcPr>
            <w:tcW w:w="63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8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quarterly report.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206"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For the three months ended March 31, 2019, we had a net loss of $12.0 million, compared to the three months ended March 31, 2018, when we had a net loss $13.9 million. We had an accumulated deficit of $139.4 million as of March 31, 2019. For the three months ended March 31, 2019, net cash used in our operating activities was $13.8 million. On March 7, 2019, we completed a public offering relating to the issuance and sale of 19,850,000 shares of our common stock and warrants to purchase up to 19,850,000 shares of common stock at $1.30 per share, as well as pre-funded warrants to purchase up to 2,150,000 shares of common stock at an exercise prices of $0.01 per share and 2,150,000 of related warrants to purchase shares of common stock at $1.30 per share. We received net proceeds of $20.2 million, after underwriting fees, legal fees, and other expenses. If the remaining warrants are fully exercised in the future, additional proceeds to be received upon exercise of these warrants totals up to $28.6 million over the ten-year term of the warrants.</w:t>
      </w:r>
    </w:p>
    <w:p>
      <w:pPr>
        <w:spacing w:after="0" w:line="194"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Although we expect our existing cash and cash equivalents will be sufficient to fund our operations for at least twelve months from the date of this filing, if we are unable to obtain additional financing when needed, we may have to delay, reduce the scope of, suspend or eliminate one or more of our research and development programs. Our results of operations will be highly dependent on IXINITY sales unless or until we develop or partner any of our development stage product candidates. We will not generate commercial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Pipeline Highlights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70"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also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Our investigational stage product candidates are:</w:t>
      </w:r>
    </w:p>
    <w:p>
      <w:pPr>
        <w:spacing w:after="0" w:line="131" w:lineRule="exact"/>
        <w:rPr>
          <w:sz w:val="20"/>
          <w:szCs w:val="20"/>
          <w:color w:val="auto"/>
        </w:rPr>
      </w:pPr>
    </w:p>
    <w:p>
      <w:pPr>
        <w:jc w:val="both"/>
        <w:ind w:left="10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APVO436, a bispecific ADAPTIR candidate targeting CD123, a cell surface receptor highly expressed on several hematological malignancies and CD3. APVO436 engages T cells to initiate killing of tumor cells. We commenced a Phase 1/1b clinical trial in the United States in December 2018 in patients with AML and MDS. The objective of the trial is to evaluate safety, pharmacokinetics, and pharmacodynamics of APVO436 in patients. We anticipate that we will have anti-drug antibody (ADA) date in the third quarter of 2019, and preliminary Phase 1 safety data in the fourth quarter of 2019.</w:t>
      </w:r>
    </w:p>
    <w:p>
      <w:pPr>
        <w:spacing w:after="0" w:line="80" w:lineRule="exact"/>
        <w:rPr>
          <w:rFonts w:ascii="Arial" w:cs="Arial" w:eastAsia="Arial" w:hAnsi="Arial"/>
          <w:sz w:val="18"/>
          <w:szCs w:val="18"/>
          <w:color w:val="auto"/>
        </w:rPr>
      </w:pPr>
    </w:p>
    <w:p>
      <w:pPr>
        <w:jc w:val="both"/>
        <w:ind w:left="1040" w:hanging="519"/>
        <w:spacing w:after="0" w:line="27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APVO210, a bispecific ADAPTIR preclinical candidate with a novel mechanism of action based on targeted cytokine delivery. APVO210 is composed of a humanized anti-CD86 antibody fused with a modified form of IL-10 that specifically induces IL-10 signaling on antigen presenting cells, but not on lymphoid populations. APVO210 functions by suppressing immune responses and inducing certain tolerogenic responses and therefore may have potential benefit for the treatment of autoimmune and inflammatory diseases. We initiated a Phase 1 clinical trial in Australia in March 2019. The Phase 1 clinical trial will evaluate safety, tolerability, pharmacokinetics and pharmacodynamics of APVO210 in healthy volunteers. The trial will consist of two stages. Stage 1 will consist of up to 64 healthy volunteers receiving a single ascending dose. Stage 2 will consist of up to 40 healthy volunteers receiving multiple ascending doses. For both stages of the Phase 1 clinical trial, healthy volunteers will receive APVO210 or placebo administered by intravenous infusion. We anticipate that initial results of APVO210 single dose cohorts will be available in the third quarter of 2019, and that preliminary Phase 1 data will be available in the fourth quarter of 2019 for cohorts enrolled by the beginning of fourth quarter of 2019.</w:t>
      </w:r>
    </w:p>
    <w:p>
      <w:pPr>
        <w:spacing w:after="0" w:line="69" w:lineRule="exact"/>
        <w:rPr>
          <w:rFonts w:ascii="Arial" w:cs="Arial" w:eastAsia="Arial" w:hAnsi="Arial"/>
          <w:sz w:val="17"/>
          <w:szCs w:val="17"/>
          <w:color w:val="auto"/>
        </w:rPr>
      </w:pPr>
    </w:p>
    <w:p>
      <w:pPr>
        <w:jc w:val="both"/>
        <w:ind w:left="1040" w:hanging="519"/>
        <w:spacing w:after="0" w:line="27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ALG.APV-527, a bispecific antibody candidate, partnered with Alligator Bioscience, featuring a novel mechanism of action 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tumor antigen, including breast, cervical, non-small-cell-lung, prostate, renal, gastric, colorectal and bladder cancers. Aptevo intends to file a clinical trial authorization (CTA) in the second half of 2019.</w:t>
      </w:r>
    </w:p>
    <w:p>
      <w:pPr>
        <w:spacing w:after="0" w:line="70" w:lineRule="exact"/>
        <w:rPr>
          <w:rFonts w:ascii="Arial" w:cs="Arial" w:eastAsia="Arial" w:hAnsi="Arial"/>
          <w:sz w:val="17"/>
          <w:szCs w:val="17"/>
          <w:color w:val="auto"/>
        </w:rPr>
      </w:pPr>
    </w:p>
    <w:p>
      <w:pPr>
        <w:jc w:val="both"/>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RORI Bispecific, is a proof-of-concept bispecific candidate in pre-clinical development featuring an immunotherapeutic protein targeting ROR1, an antigen found on several solid tumors and hematologic, or blood-related malignancies and CD3, a component of the T-cell receptor complex expressed on all T-cells. Initial pre-clinical data demonstrate redirected T-cell killing of tumors expressing ROR1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animal studies.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Alligator Bioscience AB</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Under this Collaboration Agreement, Alligator also granted to Aptevo R&amp;D a time-limited option to enter into a second agreement with Alligator for the joint development of a separate bispecific antibody.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ind w:firstLine="518"/>
        <w:spacing w:after="0" w:line="254" w:lineRule="auto"/>
        <w:rPr>
          <w:sz w:val="20"/>
          <w:szCs w:val="20"/>
          <w:color w:val="auto"/>
        </w:rPr>
      </w:pPr>
      <w:r>
        <w:rPr>
          <w:rFonts w:ascii="Arial" w:cs="Arial" w:eastAsia="Arial" w:hAnsi="Arial"/>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9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IXINITY</w:t>
      </w:r>
    </w:p>
    <w:p>
      <w:pPr>
        <w:spacing w:after="0" w:line="13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IXINITY is a third-generation recombinant human coagulation factor IX approved by the FDA in April 2015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20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In 2019, we intend to introduce a new 3,000 IU assay size and anticipate that this new assay will be available mid-2019. The 3,000 IU assay size will provide enhanced convenience for patients who use IXINITY. The 3,000 IU assay size is designed to allow some patients to use fewer vials when infusing. We believe that the 3,000 IU assay size will also be a more attractive option for some patients on IXINITY when traveling.</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anticipate commencing a Phase 4 post-marketing study in the third quarter of 2019 that has the potential to support a pediatric label expansion. We performed a pilot study in patients under 12 years of age that showed that IXINITY was well tolerated. The pilot study also showed comparable results to that of the overall patient population studied in the Phase 3 pivotal clinical trial of IXINITY.</w:t>
      </w:r>
    </w:p>
    <w:p>
      <w:pPr>
        <w:spacing w:after="0" w:line="22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exploring distribution and partnership opportunities for IXINITY outside of the U.S. We believe that we may be able to leverage existing relationships to grow the IXINITY market outside of the United States. Currently all IXINITY sales are in the U.S.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Comparison of the three months ended March 31, 2019 and March 31,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Financial Summary</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recognized a net loss of $12.0 million and $13.9 million for the three months ended March 31, 2019, and March 31, 2018 respectively. For the three months ended March 31, 2019 compared to the three months ended March 31, 2018, product sales were higher by $3.0 million, which was offset by an increase in cost of products sold of $2.1 million. Research and development costs decreased by $0.9 million for the quarter and selling, general and administrative costs decreased for the same period by $0.3 million.</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 Revenue</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Product sales of IXINITY increased by $3.0 million, or 73%, to $7.0 million for the three months ended March 31, 2019 from $4.1 million for the three months ended March 31, 2018. This increase was primarily related to the continuing expansion of our Hemophilia B patient base and a price increase which went into effect on January 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color w:val="auto"/>
        </w:rPr>
        <w:t>Cost of Product Sales</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provides information regarding our cost of products sales, including gross profit and gross margin percent for the three months ended March 31, 2019 and 2018:</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CFF0FC"/>
          </w:tcPr>
          <w:p>
            <w:pPr>
              <w:spacing w:after="0"/>
              <w:rPr>
                <w:sz w:val="19"/>
                <w:szCs w:val="19"/>
                <w:color w:val="auto"/>
              </w:rPr>
            </w:pPr>
          </w:p>
        </w:tc>
        <w:tc>
          <w:tcPr>
            <w:tcW w:w="18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margin percent</w:t>
            </w:r>
          </w:p>
        </w:tc>
        <w:tc>
          <w:tcPr>
            <w:tcW w:w="18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Cost of product sales increased by $2.1 million, or 116% for the three months ended March 31, 2019 to $3.8 million from $1.8 million for the three months ended March 31, 2018. This increase in cost of product sales is primarily due to the increase in sales, as well as the first quarter of 2018 having reduced costs of goods sold due to lower cost inventory being sold in the quarter.</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7"/>
          <w:szCs w:val="17"/>
          <w:color w:val="auto"/>
        </w:rPr>
        <w:t>Our research and development expenses by program for the three months ended March 31, 2019 and 2018 are shown in the following table:</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97"/>
              </w:rPr>
              <w:t>For the Three Months Ended March 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APVO436</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1,154</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2,132</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APVO210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IXINITY</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Research and development expenses decreased by $0.9 million, to $7.3 million for the three months ended March 31, 2019 from $8.2 million for the three months ended March 31, 2018. These changes were primarily comprised of:</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expenses for APVO436 is primarily due to the timing of manufacturing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expense for APVO210 is primarily due to the timing of manufacturing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decrease in expenses for other clinical programs is due to discontinuing two of our clinical trials in the third quarter of 2018; offset by</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expenses for our preclinical program, general research and discovery programs, which is primarily related to research and development activities around new pipeline product candidates or programs as they are being evaluated;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in expense for IXINITY associated with start-up costs relating to the pediatric clinical study which will be commencing in 2019.</w:t>
      </w:r>
    </w:p>
    <w:p>
      <w:pPr>
        <w:spacing w:after="0" w:line="34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IXINITY sales and marketing, business development, finance, accounting, information technology, legal and human resource functions. Other costs include facility costs not otherwise included in cost of product sales or research and development expenses.</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For the three months ended March 31, 2019, selling, general and administrative expenses decreased by $0.3 million, or 3%, to $7.3 million from $7.6 million for March 31, 2018. This decrease was primarily due to reduced personnel and professional services costs.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March 31, 2019.</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As of March 31, 2019, we had cash, and cash equivalents in the amount of $37.0 million, and accounts receivable of $5.8 million that we expect to collect in a timely fashion. In addition, we have an Equity Distribution Agreement (the Equity Distribution Agreement) with Piper Jaffray &amp; Co. (Piper Jaffray) and a Purchase Agreement (the Purchase Agreement) with Lincoln Park Capital Fund, LLC (Lincoln Park) as discussed in the paragraphs below. In March 2019, we received net proceeds of $20.2 million, after underwriting fees, legal fees, and other expenses, from an underwritten public offering of common stock and related warrants. See Note 1 – Organization and Liquidity of our condensed consolidated financial statements, for additional information.</w:t>
      </w:r>
    </w:p>
    <w:p>
      <w:pPr>
        <w:spacing w:after="0" w:line="19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For the three months ended March 31, 2019, we reported a net loss of $12.0 million and we had an accumulated deficit of $139.4 million as of March 31, 2019. For the three months ended March 31, 2019, net cash used in our operating activities was $13.8 million. In March 2019, we completed a public offering relating to the issuance and sale of 19,850,000 shares of our common stock and warrants to purchase up to 19,850,000 shares of common stock at $1.30 per share, as well as pre-funded warrants to purchase up to 2,150,000 shares of common stock at an exercise prices of $0.01 per share and 2,150,000 of related warrants to purchase shares of common stock at $1.30 per share. We received net proceeds of $20.2 million, after underwriting fees, legal fees, and other expenses. If the remaining warrants are fully exercised in the future, additional proceeds to be received upon exercise of these warrants totals up to $28.6 million over the ten-year term of the warrants.</w:t>
      </w:r>
    </w:p>
    <w:p>
      <w:pPr>
        <w:spacing w:after="0" w:line="189"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Although we expect our existing cash and cash equivalents will be sufficient to fund our operations for at least twelve months from the date of this filing, if we are unable to obtain additional financing when needed, we may have to delay, reduce the scope of, suspend or eliminate one or more of our research and development programs. Our sole marketed product is IXINITY, and therefore IXINITY will be our only source of product revenue. As such, our results of operations will be highly dependent on IXINITY sales unless or until we develop or partner any of our development stage product candidates.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While we may be able to access capital under our existing equity sales agreement with Lincoln Park Financial LLC or our Equity Distribution Agreement with Piper Jaffray, if we are unable to obtain additional financing when needed, or if IXINITY revenue growth does not continue or continue at the rates we expect, we may have to delay, reduce the scope of, suspend or eliminate one or more of our research and development programs.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3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August 4, 2016, we entered into a Credit and Security Agreement or the Credit Agreement, with MidCap Financial Trust or MidCap.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0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were deferred to February 1, 2019.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5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August 6, 2018, we entered into an Amended and Restated Credit and Security Agreement, or the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$10.0 million to $5.0 million. On December 14, 2018, we entered into an amendment to the Amended Credit Agreement to amend certain provisions as related to our Equity Distribution Agreement.</w:t>
      </w:r>
    </w:p>
    <w:p>
      <w:pPr>
        <w:spacing w:after="0" w:line="21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w:t>
      </w:r>
    </w:p>
    <w:p>
      <w:pPr>
        <w:spacing w:after="0" w:line="21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This amendment is subject to a subjective acceleration clause, although we believe the likelihood of an acceleration of the due date for this obligation is remote.</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November 9, 2017, we entered into an Equity Distribution Agreement with Piper Jaffray. The Equity Distribution Agreement provides that, upon the terms and subject to the conditions set forth therein, we may issue and sell through Piper Jaffray, acting as sales agent, shares of our common stock having an aggregate offering price of up to $17.5 million. We have no obligation to sell any such shares under the Equity Distribution Agreement. The sale of the shares of our common stock by Piper Jaffray will be effected pursuant to a Registration Statement on Form S-3 which we filed on November 9, 2017. We have issued 13,265 shares under the Equity Distribution Agreement as of March 31, 2019.</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Jaffray upon notice to the other party.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this agreement Lincoln Park has committed to purchase up to $35.0 million worth of our common stock over a 36-month period commencing on February 13, 2019, the date the registration statement covering the resale of the shares was deemed effective by the SEC. Pursuant to this purchase agreement we issued 105,467 commitment shares of common stock in December 2018, and 195,867 commitment shares of common stock in the first quarter of 2019.</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Under the Purchase Agreement, on any business day selected by us, we may direct Lincoln Park to purchase shares of our common stock provided that Lincoln Park’s maximum commitment on any single day not exceed $2.0 million. The purchase price per share will be based off of prevailing market prices of our common stock immediately preceding the time of sale. In addition, we may also direct Lincoln Park to purchase other amounts as accelerated purchases or as additional accelerated purchases if the closing sale price of our common stock exceeds certain threshold prices as set forth in the Purchase Agreement.</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timing and cost of IXINITY product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improvements to new or existing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payment obligations under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66"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expect our cash and cash equivalents will support our operations for the next twelve months, at least, based on current operating plans and financial forecasts. If we are unable to obtain additional financing when needed, we may have to delay, reduce the scope of, suspend or eliminate one or more of our research and development programs.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expect to continue to incur negative cash flows until other sources of revenue such as corporate partnering generates sufficient cash inflows to finance our operations and debt service requirements, or IXINITY revenue and profitability grows significantly. Until we are cash flow positive, we anticipate we will need to continue to raise operating funds through the issuance of public or private equity securities, incurring additional debt or pursuing additional partnerships.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three months ended March 31, </w:t>
      </w:r>
      <w:r>
        <w:rPr>
          <w:rFonts w:ascii="Arial" w:cs="Arial" w:eastAsia="Arial" w:hAnsi="Arial"/>
          <w:sz w:val="18"/>
          <w:szCs w:val="18"/>
          <w:color w:val="231F20"/>
        </w:rPr>
        <w:t>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For the</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(13,844)</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(16,978)</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Net cash used in operating activities of $13.8 million for the three months ended March 31, 2019 was primarily due to our net loss of $12.0 million and changes in working capital accounts. Net cash used in operating activities of $17.0 million for the three months ended March 31, 2018 was primarily due to our net loss of $13.9 million, and changes in working capital accounts.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Net cash used in investing activities for the three months ended March 31, 2019, was due to the purchase of property and equipment. For the three months ended March 31, 2018, the largest components of the cash provided by investing activities were $25.9 million in maturity and redemption of investments, offset by $2.0 million in purchases of corporate bonds and U.S. government debt securities.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Net cash provided by financing activities for the three months ended March 31, 2019 is primarily due to $20.2 million received from the issuance of common stock and purchase of warrants exercised. Net cash used in financing activities for the three months ended March 31, 2018 was primarily due to the payment of tax liability associated with restricted stock units that vested in the quarter.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Since our Annual Report on Form 10-K for the year ended December 31, 2018 that was filed with the SEC on March 18, 2019, we have entered into an amendment to our building lease. See note 6 – Leases for our future contractual obligations as of March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of March 31, 2019, there was no material changes to the information provided under Item 7A, Quantitative and Qualitative Disclosures About Market Risk in our Annual Report filed on Form 10-K for the year ended December 31, 2018 and filed on March 18,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As of March 31, 2019,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March 31, 2019,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March 31, 2019, that have materially affected, or are reasonably likely to materially affect, our internal control over financial reporting.</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You should carefully consider the following risks and other information in this quarterly report on Form 10-Q in evaluating us and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of the following risks could materially and adversely affect our results of operations, financial condition or financial prospects.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For the three months ended March 31, 2019, we had a net loss of $12.0 million. Except for the third quarter of 2017 and year ended December 31, 2017, we have experienced net losses in all other periods since our spin-off from Emergent. The net income for the third quarter of 2017 and year ended December 31, 2017 were the result of our receipt of proceeds from the sale of our Hyperimmune Business in September 2017. As of March 31, 2019, we had an accumulated deficit of $139.4 million. Although we expect our existing cash and cash equivalents will be sufficient to fund our operations for at least twelve months from the date of this filing, if we cannot achieve profitability or generate positive cash from operating activities, our business operations may be adversely impacted and the trading value of our common stock may decline.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As of March 31, 2019, we had cash, cash equivalents, and restricted cash in the amount of $44.5 million. If we are not able to secure adequate additional funding, we plan to make reductions in spending. This may include extending payment terms with suppliers, liquidating assets, and suspending or curtailing planned programs. We may also have to delay, reduce the scope of, suspend or eliminate one or more research and development programs. A failure to raise the additional funding or to effectively implement cost reductions could harm our business, results of operations and future prospects.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7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timing and cost of IXINITY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comply with the continued listing requirements of the Nasdaq Capital Market and the risk that our common shares will be delisted if we cannot do so;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our credit facility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jc w:val="both"/>
        <w:ind w:firstLine="518"/>
        <w:spacing w:after="0" w:line="289"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(i) any sale of up to $17.5 million worth of shares of our common stock pursuant to our Equity Distribution Agreement with Piper Jaffray &amp; Co entered into in November 2017 and (ii) any sale of up to $35.0 million worth of shares of our common stock in a private placement pursuant to our Purchase Agreement with Lincoln Park Capital Fund, LLC, or Lincoln Park, entered into in December 2018.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rely on only one revenue-generating product, IXINITY.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have only one revenue-generating product, IXINITY. The commercial success of IXINITY depends upon:</w:t>
      </w:r>
    </w:p>
    <w:p>
      <w:pPr>
        <w:spacing w:after="0" w:line="117"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acceptance by regulators, physicians, patients and other key decision-makers of IXINITY as a safe, therapeutic and cost-effective option;</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further develop IXINITY and obtain marketing approval for its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AGC Biologics and our third-party service providers to provide us with sufficient saleable quantities of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safety and efficacy of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what extent and in what amount government and third-party payors cover or reimburse for the costs of IXINITY;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IXINITY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3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IXINITY revenue figures will likely fluctuate from month to month. IXINITY sales are difficult to predict from period to period and as a result, you should not rely on IXINITY sales results in any period as being indicative of future performance, and sales of IXINITY may be below the expectations of management, securities analysts or investors in the future. We believe that our quarterly and annual results of operations may be affected by a variety of factors, including:</w:t>
      </w:r>
    </w:p>
    <w:p>
      <w:pPr>
        <w:spacing w:after="0" w:line="77" w:lineRule="exact"/>
        <w:rPr>
          <w:sz w:val="20"/>
          <w:szCs w:val="20"/>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timing of commercial sales of IXINITY as well as our product candidates, if and when such candidates are approved or commercialized;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coverage and reimbursement for IXINITY and the amount of IXINITY chargebacks, rebates and product returns;</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8" w:name="page29"/>
    <w:bookmarkEnd w:id="28"/>
    <w:p>
      <w:pPr>
        <w:jc w:val="both"/>
        <w:ind w:firstLine="518"/>
        <w:spacing w:after="0" w:line="279" w:lineRule="auto"/>
        <w:rPr>
          <w:sz w:val="20"/>
          <w:szCs w:val="20"/>
          <w:color w:val="auto"/>
        </w:rPr>
      </w:pPr>
      <w:r>
        <w:rPr>
          <w:rFonts w:ascii="Arial" w:cs="Arial" w:eastAsia="Arial" w:hAnsi="Arial"/>
          <w:sz w:val="17"/>
          <w:szCs w:val="17"/>
          <w:color w:val="auto"/>
        </w:rPr>
        <w:t>In addition, the number of indications in which IXINITY or any of our product candidates, if commercialized, would be used may be significantly less than the total number of such indications or total possible market size. These and other factors, including our limited history of product sales, may make it difficult for us to forecast and provide accurate guidance (including updates to prior guidance) related to our expected financial performance. If our operating results are below the expectations of securities analysts or investors, the trading price of our stock could decline.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2016, we entered into a Credit and Security Agreement, or the Credit Agreement, by and among us and certain our subsidiaries as borrowers, MidCap Financial Trust, as agent, and the lenders from time to time party thereto. The Credit Agreement was amended and restated in August 2018. The terms of the Credit Agreement and borrowings we may make under the Credit Agreement in the future, could have significant adverse consequences for our business, including:</w:t>
      </w:r>
    </w:p>
    <w:p>
      <w:pPr>
        <w:spacing w:after="0" w:line="79" w:lineRule="exact"/>
        <w:rPr>
          <w:sz w:val="20"/>
          <w:szCs w:val="20"/>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sale of IXINITY or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jc w:val="both"/>
        <w:ind w:firstLine="518"/>
        <w:spacing w:after="0" w:line="270" w:lineRule="auto"/>
        <w:rPr>
          <w:sz w:val="20"/>
          <w:szCs w:val="20"/>
          <w:color w:val="auto"/>
        </w:rPr>
      </w:pPr>
      <w:r>
        <w:rPr>
          <w:rFonts w:ascii="Arial" w:cs="Arial" w:eastAsia="Arial" w:hAnsi="Arial"/>
          <w:sz w:val="17"/>
          <w:szCs w:val="17"/>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IXINITY or any product candidates we successfully develop, withdrawal of clinical trial participants and potential termination of clinical trial sites or entire clinical programs, and could cause our stock price to fall.</w:t>
      </w:r>
    </w:p>
    <w:p>
      <w:pPr>
        <w:spacing w:after="0" w:line="18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3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of December 31, 2018, we had approximately $20.3 million and $2.3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recent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Undesirable side effects,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3"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For example, in 2018, we announced the discontinuation of development of APVO414 and otlertuzumab as a result of clinical trial results.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3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We believe that our most significant competitors in the hematology/oncology and inflammation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7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similar to IXINITY.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IXINITY or 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IXINITY and our ability to generate revenues on such sales are dependent, in significant part, on the availability of coverage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adequate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ind w:firstLine="51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Patient Protection and Affordable Care Act (as amended by the Health Care and Education Reconciliation Act), or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future revenues will depend on the availability outside the United States of adequate coverage, pricing and reimbursement from third-party payors for IXINITY, if we pursue registration and sale of IXINITY outside of the United States, and future drug products, if any.</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future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 &amp; 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19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both"/>
        <w:ind w:firstLine="518"/>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IXINITY or any product candidates we successfully develop or additional pricing pressures.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and our distributors our financial condition could be adversely affected.</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loss of any of our sole source manufacturers, or delays or problems in the manufacture of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or our product candidates, could result in product shortages and loss in revenue or delays in clinical development.</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5" w:name="page36"/>
    <w:bookmarkEnd w:id="35"/>
    <w:p>
      <w:pPr>
        <w:jc w:val="both"/>
        <w:ind w:right="20" w:firstLine="518"/>
        <w:spacing w:after="0" w:line="264" w:lineRule="auto"/>
        <w:rPr>
          <w:sz w:val="20"/>
          <w:szCs w:val="20"/>
          <w:color w:val="auto"/>
        </w:rPr>
      </w:pPr>
      <w:r>
        <w:rPr>
          <w:rFonts w:ascii="Arial" w:cs="Arial" w:eastAsia="Arial" w:hAnsi="Arial"/>
          <w:sz w:val="18"/>
          <w:szCs w:val="18"/>
          <w:color w:val="auto"/>
        </w:rPr>
        <w:t>For example, during 2015, we ordered nine manufacturing lots of bulk drug substance from AGC and only one of those lots was successfully manufactured and released in 2015. During 2016, we ordered five manufacturing lots of bulk drug substance from AGC and none of these lots satisfied product release specifications.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Manufacturer of our products and product candidates, especially in large quantities, is complex and time consuming.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APVO210,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IXINITY and our product candidates may be terminated or delayed.</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Certain of our products in development have experienced regulatory and/or clinical setbacks.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The protocol was amended to continuous intravenous infusion which delayed the development of ADA compared to the weekly IV infusion. However, with longer dosing, ADA developed that cleared the drug from the blood in some patients. We elected to discontinue the development of APVO414 and are no longer enrolling patients into the Phase 1 clinical study, although we will continue to monitor the patients remaining on the therapy.</w:t>
      </w:r>
    </w:p>
    <w:p>
      <w:pPr>
        <w:spacing w:after="0" w:line="19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In addition, in 2018 we commenced a pilot Phase 2 clinical trial of otlertuzumab in combination with bendamustine in peripheral T cell lymphoma (PTCL). Otlertuzumab is a first-generation monospecific antibody targeting CD37. Reports in the literature showed that CD37 appeared to be overexpressed in various T-cell lymphomas, suggesting a potential role for otlertuzumab in the treatment of T-cell malignancies. One patient showed a complete response, there was some evidence of tumor regression (43% in primary tumor) in a second patient, and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At this time, we have elected to discontinue the otlertuzumab development program and to close the study to further enrollment, although we will continue to monitor patients remaining on therapy and to explore options to partner or sell this asset.</w:t>
      </w:r>
    </w:p>
    <w:p>
      <w:pPr>
        <w:spacing w:after="0" w:line="17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regulatory approval is limited to those specific diseases, indications and patient populations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jc w:val="both"/>
        <w:ind w:firstLine="51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trials and approved by the regulatory authorities, our ability to promote the products is limited to those indications and patient populations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or that our communications regarding our investigational products are not in compliance with the relevant regulatory requirements and that we have improperly engaged in pre-approval promotion, we may be subject to significant liability, including civil and administrative remedies as well as criminal sanctions.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9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addition, the FDA has post-approval authority to require post-approval clinical trials and/or safety labeling changes if warranted by the appearance of new safety information.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7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Failure by AGC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5"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5"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80" w:lineRule="exact"/>
        <w:rPr>
          <w:rFonts w:ascii="Arial" w:cs="Arial" w:eastAsia="Arial" w:hAnsi="Arial"/>
          <w:sz w:val="18"/>
          <w:szCs w:val="18"/>
          <w:color w:val="auto"/>
        </w:rPr>
      </w:pPr>
    </w:p>
    <w:p>
      <w:pPr>
        <w:jc w:val="both"/>
        <w:ind w:left="1040" w:hanging="519"/>
        <w:spacing w:after="0" w:line="272"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1040" w:hanging="519"/>
        <w:spacing w:after="0" w:line="293"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56" w:lineRule="exact"/>
        <w:rPr>
          <w:rFonts w:ascii="Arial" w:cs="Arial" w:eastAsia="Arial" w:hAnsi="Arial"/>
          <w:sz w:val="16"/>
          <w:szCs w:val="16"/>
          <w:color w:val="auto"/>
        </w:rPr>
      </w:pPr>
    </w:p>
    <w:p>
      <w:pPr>
        <w:jc w:val="both"/>
        <w:ind w:left="1040" w:hanging="519"/>
        <w:spacing w:after="0" w:line="297"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50" w:lineRule="exact"/>
        <w:rPr>
          <w:rFonts w:ascii="Arial" w:cs="Arial" w:eastAsia="Arial" w:hAnsi="Arial"/>
          <w:sz w:val="16"/>
          <w:szCs w:val="16"/>
          <w:color w:val="auto"/>
        </w:rPr>
      </w:pPr>
    </w:p>
    <w:p>
      <w:pPr>
        <w:jc w:val="both"/>
        <w:ind w:left="1040" w:hanging="519"/>
        <w:spacing w:after="0" w:line="25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518"/>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8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both"/>
        <w:ind w:firstLine="518"/>
        <w:spacing w:after="0" w:line="288" w:lineRule="auto"/>
        <w:rPr>
          <w:sz w:val="20"/>
          <w:szCs w:val="20"/>
          <w:color w:val="auto"/>
        </w:rPr>
      </w:pPr>
      <w:r>
        <w:rPr>
          <w:rFonts w:ascii="Arial" w:cs="Arial" w:eastAsia="Arial" w:hAnsi="Arial"/>
          <w:sz w:val="16"/>
          <w:szCs w:val="16"/>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$184,767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Additionally, 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the outcome of a patent opposition proceeding currently pending in Europe relating to IXINITY is unsuccessful, we may need to identify an additional fill/finish manufacturer, which could result in significant production delays and additional costs associated with moving our fill/finish manufacturing activities and identifying another fill/finish manufacturer</w:t>
      </w:r>
      <w:r>
        <w:rPr>
          <w:rFonts w:ascii="Arial" w:cs="Arial" w:eastAsia="Arial" w:hAnsi="Arial"/>
          <w:sz w:val="18"/>
          <w:szCs w:val="18"/>
          <w:color w:val="auto"/>
        </w:rPr>
        <w:t>.</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7"/>
          <w:szCs w:val="17"/>
          <w:color w:val="auto"/>
        </w:rPr>
        <w:t>several more years before the Boards of Appeal hears and decides on any appeals. We are currently opposing a European patent owned by Baxalta Incorporated, which relates to factor IX proteins such as IXINITY. Depending on the final outcome of the currently pending opposition proceeding, we may be unable to continue to conduct our current IXINITY fill/finish manufacturing activities. We were previously involved in five similar opposition proceedings in Europe relating to factor IX proteins in which Baxter International Inc., former parent of Baxalta, or Baxalta was the patentee or opposing party. None of the previous five oppositions are still pending, and all came to a conclusion in a manner favorable to Aptevo.</w:t>
      </w:r>
    </w:p>
    <w:p>
      <w:pPr>
        <w:spacing w:after="0" w:line="17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Patheon UK Limited, through an affiliate, is currently the sole source third-party manufacturer that provides fill and finish services for our IXINITY product, which conducts such activities in Europe. If, as a result of an adverse outcome in this proceeding, we are required to identify an additional fill/finish manufacturer in another location, we would not be able to do so without significant delay and likely significant additional cost.</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depending on the final outcome of this proceeding, we may be unable to sell factor IX products in Europe relating to the subject matter claimed in the European patent we are opposing.</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Although we do not have current marketing authorization for IXINITY in Europe, nor do we sell IXINITY in Europe, if we are unsuccessful in opposing Baxalta’s European patent, we may never be able to obtain marketing authorization to sell IXINITY in Europe or any other recombinant vitamin K dependent products we may develop in the future.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International patent protection is particularly uncertain, and if we are involved in additional opposition proceedings in foreign countries, we may have to expend substantial sums and management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jc w:val="both"/>
        <w:ind w:firstLine="518"/>
        <w:spacing w:after="0" w:line="259" w:lineRule="auto"/>
        <w:rPr>
          <w:sz w:val="20"/>
          <w:szCs w:val="20"/>
          <w:color w:val="auto"/>
        </w:rPr>
      </w:pPr>
      <w:r>
        <w:rPr>
          <w:rFonts w:ascii="Arial" w:cs="Arial" w:eastAsia="Arial" w:hAnsi="Arial"/>
          <w:sz w:val="18"/>
          <w:szCs w:val="18"/>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sales of IXINITY or the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Risk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7" w:name="page48"/>
    <w:bookmarkEnd w:id="47"/>
    <w:p>
      <w:pPr>
        <w:jc w:val="both"/>
        <w:ind w:firstLine="51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$0.82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Global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common stock is currently listed on the Nasdaq Global Market. The Nasdaq Stock Market LLC has minimum requirements that a company must meet in order to remain listed on Nasdaq, including a requirement that we maintain a minimum closing bid price of $1.00 per share. On April 18, 2019, we received a letter from the listing qualifications department staff of Nasdaq notifying us that for the last 30 consecutive business days the bid price of our common stock had closed below $1.00 per share.</w:t>
      </w:r>
    </w:p>
    <w:p>
      <w:pPr>
        <w:spacing w:after="0" w:line="22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accordance with Nasdaq listing rules, we have 180 calendar days, or until October 15, 2019, to regain compliance with the minimum bid price rule. To regain compliance, the closing bid price of our common stock must be at least $1.00 per share for a minimum of ten consecutive business days before October 15, 2019.</w:t>
      </w:r>
    </w:p>
    <w:p>
      <w:pPr>
        <w:spacing w:after="0" w:line="208"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If our common stock does not achieve compliance by October 15, 2019, we may be eligible for an additional 180-day period to regain compliance if we submit, prior to October 15, 2019, a transfer application to transfer our listing of shares to the Nasdaq Capital Market. We will be required to meet the continued listing requirement for market value of publicly held shares and all other initial listing standards of the Nasdaq Capital Market, with the exception of the bid price requirement, and must provide written notice to Nasdaq of our intention to cure the deficiency during the second compliance period by effecting a reverse stock split, if necessary. However, if it appears to the Nasdaq staff that we will not be able to cure the deficiency, or if we do not meet the other listing standards, Nasdaq could provide notice that our common stock will become subject to delisting. In the event we receive notice that our common stock is being delisted, Nasdaq rules permit us to appeal any delisting determination by the Nasdaq staff to a hearings panel.</w:t>
      </w:r>
    </w:p>
    <w:p>
      <w:pPr>
        <w:spacing w:after="0" w:line="20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intend to actively monitor the closing bid price of our common stock between now and October 15, 2019 and will evaluate available options to resolve the deficiency and regain compliance with the minimum bid price rule. However, if our common stock were to be delisted, the liquidity of our common stock would be adversely affected and the market price of our common stock could decrease.</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4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Future issuances of common stock may include (i) any sale of up to $17.5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entered into in December 2018 and (iii) the issuance of up to 22,000,000 share of common stock upon the exercise of warrants issued in connection with our March 2019 public offering of common stock and warrants.</w:t>
      </w:r>
    </w:p>
    <w:p>
      <w:pPr>
        <w:spacing w:after="0" w:line="171"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6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46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10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140"/>
              <w:spacing w:after="0"/>
              <w:rPr>
                <w:sz w:val="20"/>
                <w:szCs w:val="20"/>
                <w:color w:val="auto"/>
              </w:rPr>
            </w:pPr>
            <w:r>
              <w:rPr>
                <w:rFonts w:ascii="Arial" w:cs="Arial" w:eastAsia="Arial" w:hAnsi="Arial"/>
                <w:sz w:val="18"/>
                <w:szCs w:val="18"/>
                <w:color w:val="auto"/>
              </w:rPr>
              <w:t>4.1</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Form of Warrant (incorporated by reference from exhibit 4.1 to Current Report on Form 8-K (File No. 001-37746) filed by Aptevo Therapeutics</w:t>
              </w:r>
            </w:hyperlink>
          </w:p>
        </w:tc>
      </w:tr>
      <w:tr>
        <w:trPr>
          <w:trHeight w:val="196"/>
        </w:trPr>
        <w:tc>
          <w:tcPr>
            <w:tcW w:w="960" w:type="dxa"/>
            <w:vAlign w:val="bottom"/>
          </w:tcPr>
          <w:p>
            <w:pPr>
              <w:spacing w:after="0"/>
              <w:rPr>
                <w:sz w:val="17"/>
                <w:szCs w:val="17"/>
                <w:color w:val="auto"/>
              </w:rPr>
            </w:pPr>
          </w:p>
        </w:tc>
        <w:tc>
          <w:tcPr>
            <w:tcW w:w="10460" w:type="dxa"/>
            <w:vAlign w:val="bottom"/>
            <w:gridSpan w:val="8"/>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Inc. with the SEC on March 11, 2019).</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ind w:left="140"/>
              <w:spacing w:after="0"/>
              <w:rPr>
                <w:sz w:val="20"/>
                <w:szCs w:val="20"/>
                <w:color w:val="auto"/>
              </w:rPr>
            </w:pPr>
            <w:r>
              <w:rPr>
                <w:rFonts w:ascii="Arial" w:cs="Arial" w:eastAsia="Arial" w:hAnsi="Arial"/>
                <w:sz w:val="18"/>
                <w:szCs w:val="18"/>
                <w:color w:val="auto"/>
              </w:rPr>
              <w:t>4.2</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Form of Pre-Funded Warrant (incorporated by reference from exhibit 4.2 to Current Report on Form 8-K (File No. 001-37746) filed by Aptevo</w:t>
              </w:r>
            </w:hyperlink>
          </w:p>
        </w:tc>
      </w:tr>
      <w:tr>
        <w:trPr>
          <w:trHeight w:val="196"/>
        </w:trPr>
        <w:tc>
          <w:tcPr>
            <w:tcW w:w="960" w:type="dxa"/>
            <w:vAlign w:val="bottom"/>
          </w:tcPr>
          <w:p>
            <w:pPr>
              <w:spacing w:after="0"/>
              <w:rPr>
                <w:sz w:val="17"/>
                <w:szCs w:val="17"/>
                <w:color w:val="auto"/>
              </w:rPr>
            </w:pPr>
          </w:p>
        </w:tc>
        <w:tc>
          <w:tcPr>
            <w:tcW w:w="10460" w:type="dxa"/>
            <w:vAlign w:val="bottom"/>
            <w:gridSpan w:val="8"/>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Therapeutics Inc. with the SEC on March 11, 2019.</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10.1</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5"/>
              </w:rPr>
            </w:pPr>
            <w:hyperlink r:id="rId71">
              <w:r>
                <w:rPr>
                  <w:rFonts w:ascii="Arial" w:cs="Arial" w:eastAsia="Arial" w:hAnsi="Arial"/>
                  <w:sz w:val="18"/>
                  <w:szCs w:val="18"/>
                  <w:color w:val="0000EE"/>
                  <w:w w:val="95"/>
                </w:rPr>
                <w:t>Intellectual Property Security Agreement dated February 7, 2019, by and among, Aptevo Therapeutics Inc., Aptevo Biotherapeutics LLC.,</w:t>
              </w:r>
            </w:hyperlink>
          </w:p>
        </w:tc>
      </w:tr>
      <w:tr>
        <w:trPr>
          <w:trHeight w:val="196"/>
        </w:trPr>
        <w:tc>
          <w:tcPr>
            <w:tcW w:w="960" w:type="dxa"/>
            <w:vAlign w:val="bottom"/>
          </w:tcPr>
          <w:p>
            <w:pPr>
              <w:spacing w:after="0"/>
              <w:rPr>
                <w:sz w:val="17"/>
                <w:szCs w:val="17"/>
                <w:color w:val="auto"/>
              </w:rPr>
            </w:pPr>
          </w:p>
        </w:tc>
        <w:tc>
          <w:tcPr>
            <w:tcW w:w="10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Aptevo Research and Development, LLC and MidCap Financial Trust (incorporated by reference from exhibit 10.44 to Annual Report on Form</w:t>
              </w:r>
            </w:hyperlink>
          </w:p>
        </w:tc>
      </w:tr>
      <w:tr>
        <w:trPr>
          <w:trHeight w:val="196"/>
        </w:trPr>
        <w:tc>
          <w:tcPr>
            <w:tcW w:w="960" w:type="dxa"/>
            <w:vAlign w:val="bottom"/>
          </w:tcPr>
          <w:p>
            <w:pPr>
              <w:spacing w:after="0"/>
              <w:rPr>
                <w:sz w:val="17"/>
                <w:szCs w:val="17"/>
                <w:color w:val="auto"/>
              </w:rPr>
            </w:pPr>
          </w:p>
        </w:tc>
        <w:tc>
          <w:tcPr>
            <w:tcW w:w="69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10-K (File No. 001-37746) filed by Aptevo Therapeutics Inc. with the SEC on March 18, 2019).</w:t>
              </w:r>
            </w:hyperlink>
          </w:p>
        </w:tc>
        <w:tc>
          <w:tcPr>
            <w:tcW w:w="3520" w:type="dxa"/>
            <w:vAlign w:val="bottom"/>
            <w:gridSpan w:val="2"/>
          </w:tcPr>
          <w:p>
            <w:pPr>
              <w:spacing w:after="0"/>
              <w:rPr>
                <w:sz w:val="17"/>
                <w:szCs w:val="17"/>
                <w:color w:val="auto"/>
              </w:rPr>
            </w:pP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10.2</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Eighth Amendment to Office Lease, dated as of March 19, 2019, by and between Aptevo Therapeutics Inc. and Selig Real Estate Holdings Eight</w:t>
              </w:r>
            </w:hyperlink>
          </w:p>
        </w:tc>
      </w:tr>
      <w:tr>
        <w:trPr>
          <w:trHeight w:val="196"/>
        </w:trPr>
        <w:tc>
          <w:tcPr>
            <w:tcW w:w="960" w:type="dxa"/>
            <w:vAlign w:val="bottom"/>
          </w:tcPr>
          <w:p>
            <w:pPr>
              <w:spacing w:after="0"/>
              <w:rPr>
                <w:sz w:val="17"/>
                <w:szCs w:val="17"/>
                <w:color w:val="auto"/>
              </w:rPr>
            </w:pPr>
          </w:p>
        </w:tc>
        <w:tc>
          <w:tcPr>
            <w:tcW w:w="10460" w:type="dxa"/>
            <w:vAlign w:val="bottom"/>
            <w:gridSpan w:val="8"/>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L.L.C. (incorporated by reference from exhibit 10.1 to Current Report on Form 8-K (File No. 001-37746) filed by Aptevo Therapeutics Inc. with</w:t>
              </w:r>
            </w:hyperlink>
          </w:p>
        </w:tc>
      </w:tr>
      <w:tr>
        <w:trPr>
          <w:trHeight w:val="196"/>
        </w:trPr>
        <w:tc>
          <w:tcPr>
            <w:tcW w:w="960" w:type="dxa"/>
            <w:vAlign w:val="bottom"/>
          </w:tcPr>
          <w:p>
            <w:pPr>
              <w:spacing w:after="0"/>
              <w:rPr>
                <w:sz w:val="17"/>
                <w:szCs w:val="17"/>
                <w:color w:val="auto"/>
              </w:rPr>
            </w:pPr>
          </w:p>
        </w:tc>
        <w:tc>
          <w:tcPr>
            <w:tcW w:w="10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the SEC on March 22, 2019.</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Principal Executive Officer Pursuant to Rules 13a-14(a) and 15d-14(a) under the Securities Exchange Act of 1934, as Adopted</w:t>
              </w:r>
            </w:hyperlink>
          </w:p>
        </w:tc>
      </w:tr>
      <w:tr>
        <w:trPr>
          <w:trHeight w:val="196"/>
        </w:trPr>
        <w:tc>
          <w:tcPr>
            <w:tcW w:w="96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Pursuant to Section 302 of the Sarbanes Oxley Act of 2002.</w:t>
              </w:r>
            </w:hyperlink>
          </w:p>
        </w:tc>
        <w:tc>
          <w:tcPr>
            <w:tcW w:w="6160" w:type="dxa"/>
            <w:vAlign w:val="bottom"/>
            <w:gridSpan w:val="3"/>
          </w:tcPr>
          <w:p>
            <w:pPr>
              <w:spacing w:after="0"/>
              <w:rPr>
                <w:sz w:val="17"/>
                <w:szCs w:val="17"/>
                <w:color w:val="auto"/>
              </w:rPr>
            </w:pP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Executive Officer Pursuant to Rules 13a-14(a) and 15d-14(a) under the Securities Exchange Act of 1934, as Adopted</w:t>
              </w:r>
            </w:hyperlink>
          </w:p>
        </w:tc>
      </w:tr>
      <w:tr>
        <w:trPr>
          <w:trHeight w:val="196"/>
        </w:trPr>
        <w:tc>
          <w:tcPr>
            <w:tcW w:w="960" w:type="dxa"/>
            <w:vAlign w:val="bottom"/>
          </w:tcPr>
          <w:p>
            <w:pPr>
              <w:spacing w:after="0"/>
              <w:rPr>
                <w:sz w:val="17"/>
                <w:szCs w:val="17"/>
                <w:color w:val="auto"/>
              </w:rPr>
            </w:pPr>
          </w:p>
        </w:tc>
        <w:tc>
          <w:tcPr>
            <w:tcW w:w="43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Pursuant to Section 302 of the Sarbanes Oxley Act of 2002.</w:t>
              </w:r>
            </w:hyperlink>
          </w:p>
        </w:tc>
        <w:tc>
          <w:tcPr>
            <w:tcW w:w="6160" w:type="dxa"/>
            <w:vAlign w:val="bottom"/>
            <w:gridSpan w:val="3"/>
          </w:tcPr>
          <w:p>
            <w:pPr>
              <w:spacing w:after="0"/>
              <w:rPr>
                <w:sz w:val="17"/>
                <w:szCs w:val="17"/>
                <w:color w:val="auto"/>
              </w:rPr>
            </w:pP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Certification of Principal Executive Officer Pursuant to 18 U.S.C. Section 1350, as Adopted Pursuant to Section 906 of the Sarbanes-Oxley Act</w:t>
              </w:r>
            </w:hyperlink>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of 2002.</w:t>
              </w:r>
            </w:hyperlink>
          </w:p>
        </w:tc>
        <w:tc>
          <w:tcPr>
            <w:tcW w:w="9860" w:type="dxa"/>
            <w:vAlign w:val="bottom"/>
            <w:gridSpan w:val="7"/>
          </w:tcPr>
          <w:p>
            <w:pPr>
              <w:spacing w:after="0"/>
              <w:rPr>
                <w:sz w:val="17"/>
                <w:szCs w:val="17"/>
                <w:color w:val="auto"/>
              </w:rPr>
            </w:pP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Principal Executive Officer Pursuant to 18 U.S.C. Section 1350, as Adopted Pursuant to Section 906 of the Sarbanes-Oxley Act</w:t>
              </w:r>
            </w:hyperlink>
          </w:p>
        </w:tc>
      </w:tr>
      <w:tr>
        <w:trPr>
          <w:trHeight w:val="196"/>
        </w:trPr>
        <w:tc>
          <w:tcPr>
            <w:tcW w:w="9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of 2002.</w:t>
              </w:r>
            </w:hyperlink>
          </w:p>
        </w:tc>
        <w:tc>
          <w:tcPr>
            <w:tcW w:w="9860" w:type="dxa"/>
            <w:vAlign w:val="bottom"/>
            <w:gridSpan w:val="7"/>
          </w:tcPr>
          <w:p>
            <w:pPr>
              <w:spacing w:after="0"/>
              <w:rPr>
                <w:sz w:val="17"/>
                <w:szCs w:val="17"/>
                <w:color w:val="auto"/>
              </w:rPr>
            </w:pPr>
          </w:p>
        </w:tc>
      </w:tr>
      <w:tr>
        <w:trPr>
          <w:trHeight w:val="34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24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40" w:hanging="472"/>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connection with the Annual Report of Aptevo Therapeutics Inc. on Form 10-Q for the period ending March 31, 2019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 connection with the Annual Report of Aptevo Inc. on Form 10-Q for the period ending March 31, 2019 as filed with the Securities and Exchange Commission on the date hereof (the “Report”), I certify, pursuant to 18 U.S.C. § 1350, as adopted pursuant to § 906 of the Sarbanes-Oxley Act of 2002, that:</w:t>
      </w:r>
    </w:p>
    <w:p>
      <w:pPr>
        <w:spacing w:after="0" w:line="16"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69" Type="http://schemas.openxmlformats.org/officeDocument/2006/relationships/hyperlink" Target="http://www.sec.gov/Archives/edgar/data/1671584/000119312519070196/d692608dex41.htm" TargetMode="External"/><Relationship Id="rId70" Type="http://schemas.openxmlformats.org/officeDocument/2006/relationships/hyperlink" Target="http://www.sec.gov/Archives/edgar/data/1671584/000119312519070196/d692608dex42.htm" TargetMode="External"/><Relationship Id="rId71" Type="http://schemas.openxmlformats.org/officeDocument/2006/relationships/hyperlink" Target="http://www.sec.gov/Archives/edgar/data/1671584/000156459019008184/apvo-ex1044_218.htm" TargetMode="External"/><Relationship Id="rId72" Type="http://schemas.openxmlformats.org/officeDocument/2006/relationships/hyperlink" Target="http://www.sec.gov/Archives/edgar/data/1671584/000119312519083529/d7084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2019-12-28T12:13:25Z</dcterms:created>
  <dcterms:modified xsi:type="dcterms:W3CDTF">2019-12-28T12:13:25Z</dcterms:modified>
</cp:coreProperties>
</file>