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69850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 w:lineRule="exact"/>
        <w:rPr>
          <w:sz w:val="24"/>
          <w:szCs w:val="24"/>
          <w:color w:val="auto"/>
        </w:rPr>
      </w:pPr>
    </w:p>
    <w:p>
      <w:pPr>
        <w:ind w:left="520" w:hanging="512"/>
        <w:spacing w:after="0" w:line="237"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5" w:lineRule="exact"/>
        <w:rPr>
          <w:sz w:val="24"/>
          <w:szCs w:val="24"/>
          <w:color w:val="auto"/>
        </w:rPr>
      </w:pPr>
    </w:p>
    <w:p>
      <w:pPr>
        <w:ind w:left="3240"/>
        <w:spacing w:after="0"/>
        <w:tabs>
          <w:tab w:leader="none" w:pos="62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3531235</wp:posOffset>
            </wp:positionH>
            <wp:positionV relativeFrom="paragraph">
              <wp:posOffset>-5080</wp:posOffset>
            </wp:positionV>
            <wp:extent cx="951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APTEVO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1680" w:type="dxa"/>
        <w:tblCellMar>
          <w:top w:w="0" w:type="dxa"/>
          <w:left w:w="0" w:type="dxa"/>
          <w:bottom w:w="0" w:type="dxa"/>
          <w:right w:w="0" w:type="dxa"/>
        </w:tblCellMar>
      </w:tblPr>
      <w:tr>
        <w:trPr>
          <w:trHeight w:val="214"/>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81-1567056</w:t>
            </w:r>
          </w:p>
        </w:tc>
      </w:tr>
      <w:tr>
        <w:trPr>
          <w:trHeight w:val="149"/>
        </w:trPr>
        <w:tc>
          <w:tcPr>
            <w:tcW w:w="436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9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9"/>
              </w:rPr>
              <w:t>2401 4</w:t>
            </w:r>
            <w:r>
              <w:rPr>
                <w:rFonts w:ascii="Times New Roman" w:cs="Times New Roman" w:eastAsia="Times New Roman" w:hAnsi="Times New Roman"/>
                <w:sz w:val="15"/>
                <w:szCs w:val="15"/>
                <w:b w:val="1"/>
                <w:bCs w:val="1"/>
                <w:color w:val="auto"/>
                <w:w w:val="99"/>
              </w:rPr>
              <w:t>th</w:t>
            </w:r>
            <w:r>
              <w:rPr>
                <w:rFonts w:ascii="Times New Roman" w:cs="Times New Roman" w:eastAsia="Times New Roman" w:hAnsi="Times New Roman"/>
                <w:sz w:val="18"/>
                <w:szCs w:val="18"/>
                <w:b w:val="1"/>
                <w:bCs w:val="1"/>
                <w:color w:val="auto"/>
                <w:w w:val="99"/>
              </w:rPr>
              <w:t xml:space="preserve"> Avenue, Suite 1050</w:t>
            </w:r>
          </w:p>
        </w:tc>
        <w:tc>
          <w:tcPr>
            <w:tcW w:w="3100" w:type="dxa"/>
            <w:vAlign w:val="bottom"/>
          </w:tcPr>
          <w:p>
            <w:pPr>
              <w:spacing w:after="0"/>
              <w:rPr>
                <w:sz w:val="22"/>
                <w:szCs w:val="22"/>
                <w:color w:val="auto"/>
              </w:rPr>
            </w:pPr>
          </w:p>
        </w:tc>
      </w:tr>
      <w:tr>
        <w:trPr>
          <w:trHeight w:val="214"/>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Seattle, Washington</w:t>
            </w:r>
          </w:p>
        </w:tc>
        <w:tc>
          <w:tcPr>
            <w:tcW w:w="31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98121</w:t>
            </w:r>
          </w:p>
        </w:tc>
      </w:tr>
      <w:tr>
        <w:trPr>
          <w:trHeight w:val="190"/>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420"/>
          </w:cols>
          <w:pgMar w:left="240" w:top="551" w:right="239" w:bottom="1440" w:gutter="0" w:footer="0" w:header="0"/>
        </w:sectPr>
      </w:pPr>
    </w:p>
    <w:p>
      <w:pPr>
        <w:spacing w:after="0" w:line="77"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Trading Symbols(s)</w:t>
      </w:r>
    </w:p>
    <w:p>
      <w:pPr>
        <w:spacing w:after="0" w:line="4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APVO</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920"/>
        <w:spacing w:after="0" w:line="268" w:lineRule="auto"/>
        <w:rPr>
          <w:sz w:val="20"/>
          <w:szCs w:val="20"/>
          <w:color w:val="auto"/>
        </w:rPr>
      </w:pPr>
      <w:r>
        <w:rPr>
          <w:rFonts w:ascii="Times New Roman" w:cs="Times New Roman" w:eastAsia="Times New Roman" w:hAnsi="Times New Roman"/>
          <w:sz w:val="18"/>
          <w:szCs w:val="18"/>
          <w:b w:val="1"/>
          <w:bCs w:val="1"/>
          <w:color w:val="auto"/>
        </w:rPr>
        <w:t>Name of Exchange on Which Registered The Nasdaq Stock Market LLC (The Nasdaq Global Market)</w:t>
      </w:r>
    </w:p>
    <w:p>
      <w:pPr>
        <w:spacing w:after="0" w:line="40" w:lineRule="exact"/>
        <w:rPr>
          <w:sz w:val="24"/>
          <w:szCs w:val="24"/>
          <w:color w:val="auto"/>
        </w:rPr>
      </w:pPr>
    </w:p>
    <w:p>
      <w:pPr>
        <w:sectPr>
          <w:pgSz w:w="11900" w:h="16838" w:orient="portrait"/>
          <w:cols w:equalWidth="0" w:num="3">
            <w:col w:w="4420" w:space="720"/>
            <w:col w:w="1560" w:space="720"/>
            <w:col w:w="4000"/>
          </w:cols>
          <w:pgMar w:left="240" w:top="551" w:right="239" w:bottom="1440" w:gutter="0" w:footer="0" w:header="0"/>
          <w:type w:val="continuous"/>
        </w:sectPr>
      </w:pPr>
    </w:p>
    <w:p>
      <w:pPr>
        <w:jc w:val="both"/>
        <w:ind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40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38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6, 2019, the number of shares of the registrant’s common stock outstanding was 45,098,823.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18"/>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20" w:type="dxa"/>
            <w:vAlign w:val="bottom"/>
            <w:gridSpan w:val="2"/>
            <w:vMerge w:val="continue"/>
          </w:tcPr>
          <w:p>
            <w:pPr>
              <w:spacing w:after="0"/>
              <w:rPr>
                <w:sz w:val="14"/>
                <w:szCs w:val="14"/>
                <w:color w:val="auto"/>
              </w:rPr>
            </w:pPr>
          </w:p>
        </w:tc>
        <w:tc>
          <w:tcPr>
            <w:tcW w:w="9740" w:type="dxa"/>
            <w:vAlign w:val="bottom"/>
            <w:gridSpan w:val="18"/>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w:t>
              </w:r>
            </w:hyperlink>
          </w:p>
        </w:tc>
        <w:tc>
          <w:tcPr>
            <w:tcW w:w="642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w:t>
              </w:r>
            </w:hyperlink>
          </w:p>
        </w:tc>
        <w:tc>
          <w:tcPr>
            <w:tcW w:w="5700" w:type="dxa"/>
            <w:vAlign w:val="bottom"/>
            <w:gridSpan w:val="8"/>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6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Loss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w:t>
              </w:r>
            </w:hyperlink>
          </w:p>
        </w:tc>
        <w:tc>
          <w:tcPr>
            <w:tcW w:w="660" w:type="dxa"/>
            <w:vAlign w:val="bottom"/>
            <w:tcBorders>
              <w:top w:val="single" w:sz="8" w:color="0000EE"/>
            </w:tcBorders>
            <w:gridSpan w:val="4"/>
          </w:tcPr>
          <w:p>
            <w:pPr>
              <w:spacing w:after="0"/>
              <w:rPr>
                <w:sz w:val="18"/>
                <w:szCs w:val="18"/>
                <w:color w:val="auto"/>
              </w:rPr>
            </w:pPr>
          </w:p>
        </w:tc>
        <w:tc>
          <w:tcPr>
            <w:tcW w:w="4980" w:type="dxa"/>
            <w:vAlign w:val="bottom"/>
            <w:gridSpan w:val="3"/>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60" w:type="dxa"/>
            <w:vAlign w:val="bottom"/>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Changes in Stockholders’ Equity</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w:t>
              </w:r>
            </w:hyperlink>
          </w:p>
        </w:tc>
        <w:tc>
          <w:tcPr>
            <w:tcW w:w="1240" w:type="dxa"/>
            <w:vAlign w:val="bottom"/>
            <w:tcBorders>
              <w:top w:val="single" w:sz="8" w:color="0000EE"/>
            </w:tcBorders>
            <w:gridSpan w:val="2"/>
          </w:tcPr>
          <w:p>
            <w:pPr>
              <w:spacing w:after="0"/>
              <w:rPr>
                <w:sz w:val="18"/>
                <w:szCs w:val="18"/>
                <w:color w:val="auto"/>
              </w:rPr>
            </w:pPr>
          </w:p>
        </w:tc>
        <w:tc>
          <w:tcPr>
            <w:tcW w:w="412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8"/>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3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Controls and Procedures</w:t>
              </w:r>
            </w:hyperlink>
          </w:p>
        </w:tc>
        <w:tc>
          <w:tcPr>
            <w:tcW w:w="798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39"/>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27">
              <w:r>
                <w:rPr>
                  <w:rFonts w:ascii="Times New Roman" w:cs="Times New Roman" w:eastAsia="Times New Roman" w:hAnsi="Times New Roman"/>
                  <w:sz w:val="18"/>
                  <w:szCs w:val="18"/>
                  <w:b w:val="1"/>
                  <w:bCs w:val="1"/>
                  <w:color w:val="0000EE"/>
                  <w:w w:val="98"/>
                </w:rPr>
                <w:t>OTHER INFORMATION</w:t>
              </w:r>
            </w:hyperlink>
          </w:p>
        </w:tc>
        <w:tc>
          <w:tcPr>
            <w:tcW w:w="772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18"/>
                <w:szCs w:val="18"/>
                <w:color w:val="auto"/>
              </w:rPr>
            </w:pPr>
          </w:p>
        </w:tc>
        <w:tc>
          <w:tcPr>
            <w:tcW w:w="8420" w:type="dxa"/>
            <w:vAlign w:val="bottom"/>
            <w:gridSpan w:val="13"/>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Unregistered Sales of Equity Securities and Use of Proceeds</w:t>
              </w:r>
            </w:hyperlink>
          </w:p>
        </w:tc>
        <w:tc>
          <w:tcPr>
            <w:tcW w:w="540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Defaults Upon Senior Securities</w:t>
              </w:r>
            </w:hyperlink>
          </w:p>
        </w:tc>
        <w:tc>
          <w:tcPr>
            <w:tcW w:w="7360" w:type="dxa"/>
            <w:vAlign w:val="bottom"/>
            <w:gridSpan w:val="10"/>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Mine Safety Disclosures</w:t>
              </w:r>
            </w:hyperlink>
          </w:p>
        </w:tc>
        <w:tc>
          <w:tcPr>
            <w:tcW w:w="798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18"/>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Other Information</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Exhibits</w:t>
              </w:r>
            </w:hyperlink>
          </w:p>
        </w:tc>
        <w:tc>
          <w:tcPr>
            <w:tcW w:w="8440" w:type="dxa"/>
            <w:vAlign w:val="bottom"/>
            <w:gridSpan w:val="1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Signatures</w:t>
              </w:r>
            </w:hyperlink>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ind w:left="3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FF0FC"/>
          </w:tcPr>
          <w:p>
            <w:pPr>
              <w:ind w:left="18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rebates and discounts payable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short-term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zero shares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or outstanding</w:t>
            </w:r>
          </w:p>
        </w:tc>
        <w:tc>
          <w:tcPr>
            <w:tcW w:w="2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45,098,823</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and 22,808,416 shares issued and outstanding at June 30, 2019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31, 2018,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(152,758)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(127,408)</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5"/>
                <w:szCs w:val="15"/>
                <w:color w:val="auto"/>
              </w:rPr>
            </w:pPr>
          </w:p>
        </w:tc>
        <w:tc>
          <w:tcPr>
            <w:tcW w:w="25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160" w:type="dxa"/>
            <w:vAlign w:val="bottom"/>
          </w:tcPr>
          <w:p>
            <w:pPr>
              <w:spacing w:after="0"/>
              <w:rPr>
                <w:sz w:val="19"/>
                <w:szCs w:val="19"/>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product sales</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basic share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(0.70)</w:t>
            </w:r>
          </w:p>
        </w:tc>
        <w:tc>
          <w:tcPr>
            <w:tcW w:w="3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per share</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calculations</w:t>
            </w: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45,095,041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22,588,334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36,379,731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22,308,356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5"/>
                <w:szCs w:val="15"/>
                <w:color w:val="auto"/>
              </w:rPr>
            </w:pPr>
          </w:p>
        </w:tc>
        <w:tc>
          <w:tcPr>
            <w:tcW w:w="25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(26,999)</w:t>
            </w:r>
          </w:p>
        </w:tc>
        <w:tc>
          <w:tcPr>
            <w:tcW w:w="100" w:type="dxa"/>
            <w:vAlign w:val="bottom"/>
            <w:shd w:val="clear" w:color="auto" w:fill="CFF0FC"/>
          </w:tcPr>
          <w:p>
            <w:pPr>
              <w:spacing w:after="0"/>
              <w:rPr>
                <w:sz w:val="19"/>
                <w:szCs w:val="19"/>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on available-for-sale investments,</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0"/>
                <w:szCs w:val="20"/>
                <w:color w:val="auto"/>
              </w:rPr>
            </w:pPr>
          </w:p>
        </w:tc>
      </w:tr>
      <w:tr>
        <w:trPr>
          <w:trHeight w:val="23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(13,332)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(25,350)</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(26,930)</w:t>
            </w: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(25,350)</w:t>
            </w:r>
          </w:p>
        </w:tc>
        <w:tc>
          <w:tcPr>
            <w:tcW w:w="980" w:type="dxa"/>
            <w:vAlign w:val="bottom"/>
            <w:gridSpan w:val="2"/>
          </w:tcPr>
          <w:p>
            <w:pPr>
              <w:jc w:val="right"/>
              <w:ind w:right="84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(26,999)</w:t>
            </w: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(2,158)</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(4,004)</w:t>
            </w:r>
          </w:p>
        </w:tc>
      </w:tr>
      <w:tr>
        <w:trPr>
          <w:trHeight w:val="230"/>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(5,182)</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(1,942)</w:t>
            </w: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(1,360)</w:t>
            </w:r>
          </w:p>
        </w:tc>
      </w:tr>
      <w:tr>
        <w:trPr>
          <w:trHeight w:val="230"/>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accrued compensation and other liabilities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(1,840)</w:t>
            </w:r>
          </w:p>
        </w:tc>
      </w:tr>
      <w:tr>
        <w:trPr>
          <w:trHeight w:val="230"/>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rebates and discounts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(29,735)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(32,984)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maturity of investments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52,843</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sale of Hyperimmune Business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(16,534)</w:t>
            </w: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warrants, and pre-funded warrants, net</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exercise of pre-funded warrants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Payment of tax liability for vested equity awards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(807)</w:t>
            </w: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amounts, unaudited)</w:t>
      </w:r>
    </w:p>
    <w:p>
      <w:pPr>
        <w:sectPr>
          <w:pgSz w:w="11900" w:h="16838" w:orient="portrait"/>
          <w:cols w:equalWidth="0" w:num="1">
            <w:col w:w="11360"/>
          </w:cols>
          <w:pgMar w:left="240" w:top="333" w:right="299" w:bottom="1440" w:gutter="0" w:footer="0" w:header="0"/>
        </w:sect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266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2019</w:t>
            </w:r>
          </w:p>
        </w:tc>
        <w:tc>
          <w:tcPr>
            <w:tcW w:w="1460" w:type="dxa"/>
            <w:vAlign w:val="bottom"/>
            <w:gridSpan w:val="2"/>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740" w:type="dxa"/>
            <w:vAlign w:val="bottom"/>
            <w:vMerge w:val="continue"/>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45,090,219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upon</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2019</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45,098,823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740" w:type="dxa"/>
            <w:vAlign w:val="bottom"/>
          </w:tcPr>
          <w:p>
            <w:pPr>
              <w:spacing w:after="0"/>
              <w:rPr>
                <w:sz w:val="24"/>
                <w:szCs w:val="24"/>
                <w:color w:val="auto"/>
              </w:rPr>
            </w:pPr>
          </w:p>
        </w:tc>
        <w:tc>
          <w:tcPr>
            <w:tcW w:w="266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2018</w:t>
            </w:r>
          </w:p>
        </w:tc>
        <w:tc>
          <w:tcPr>
            <w:tcW w:w="1460" w:type="dxa"/>
            <w:vAlign w:val="bottom"/>
            <w:gridSpan w:val="2"/>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740" w:type="dxa"/>
            <w:vAlign w:val="bottom"/>
            <w:vMerge w:val="continue"/>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22,441,974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available-</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for-sale investments</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upon</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178,661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upon</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2018</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22,667,873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740" w:type="dxa"/>
            <w:vAlign w:val="bottom"/>
          </w:tcPr>
          <w:p>
            <w:pPr>
              <w:spacing w:after="0"/>
              <w:rPr>
                <w:sz w:val="24"/>
                <w:szCs w:val="24"/>
                <w:color w:val="auto"/>
              </w:rPr>
            </w:pPr>
          </w:p>
        </w:tc>
        <w:tc>
          <w:tcPr>
            <w:tcW w:w="266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1460" w:type="dxa"/>
            <w:vAlign w:val="bottom"/>
            <w:gridSpan w:val="2"/>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740" w:type="dxa"/>
            <w:vAlign w:val="bottom"/>
            <w:vMerge w:val="continue"/>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22,808,416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pre-</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funded warrants and warrants,</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commitment shares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common stock, non-cash</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upon</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94,540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2019</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45,098,823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740" w:type="dxa"/>
            <w:vAlign w:val="bottom"/>
          </w:tcPr>
          <w:p>
            <w:pPr>
              <w:spacing w:after="0"/>
              <w:rPr>
                <w:sz w:val="24"/>
                <w:szCs w:val="24"/>
                <w:color w:val="auto"/>
              </w:rPr>
            </w:pPr>
          </w:p>
        </w:tc>
        <w:tc>
          <w:tcPr>
            <w:tcW w:w="266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1460" w:type="dxa"/>
            <w:vAlign w:val="bottom"/>
            <w:gridSpan w:val="2"/>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740" w:type="dxa"/>
            <w:vAlign w:val="bottom"/>
            <w:vMerge w:val="continue"/>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21,605,716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available-</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for-sale investments</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upon</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254,086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upon</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808,071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2018</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22,667,873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-6130925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-4853305</wp:posOffset>
            </wp:positionV>
            <wp:extent cx="7246620" cy="266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-4321810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-2915285</wp:posOffset>
            </wp:positionV>
            <wp:extent cx="7246620"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-2254885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-1980565</wp:posOffset>
            </wp:positionV>
            <wp:extent cx="72466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-3463925</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-4046855</wp:posOffset>
            </wp:positionV>
            <wp:extent cx="72466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-5273675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-5856605</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-6551295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vMerge w:val="restart"/>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11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178,511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(139,426)</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(13,332)</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(13,332)</w:t>
            </w:r>
          </w:p>
        </w:tc>
        <w:tc>
          <w:tcPr>
            <w:tcW w:w="0" w:type="dxa"/>
            <w:vAlign w:val="bottom"/>
          </w:tcPr>
          <w:p>
            <w:pPr>
              <w:spacing w:after="0"/>
              <w:rPr>
                <w:sz w:val="1"/>
                <w:szCs w:val="1"/>
                <w:color w:val="auto"/>
              </w:rPr>
            </w:pPr>
          </w:p>
        </w:tc>
      </w:tr>
      <w:tr>
        <w:trPr>
          <w:trHeight w:val="213"/>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178,912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(152,758)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vMerge w:val="restart"/>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43"/>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11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155,998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(87,574)</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378</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6"/>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449</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(13,144)</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(13,144)</w:t>
            </w:r>
          </w:p>
        </w:tc>
        <w:tc>
          <w:tcPr>
            <w:tcW w:w="0" w:type="dxa"/>
            <w:vAlign w:val="bottom"/>
          </w:tcPr>
          <w:p>
            <w:pPr>
              <w:spacing w:after="0"/>
              <w:rPr>
                <w:sz w:val="1"/>
                <w:szCs w:val="1"/>
                <w:color w:val="auto"/>
              </w:rPr>
            </w:pPr>
          </w:p>
        </w:tc>
      </w:tr>
      <w:tr>
        <w:trPr>
          <w:trHeight w:val="213"/>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156,760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(100,718)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vMerge w:val="restart"/>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43"/>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11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157,791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(127,408)</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2"/>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20,184</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9"/>
        </w:trPr>
        <w:tc>
          <w:tcPr>
            <w:tcW w:w="11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6"/>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995</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(25,350)</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(25,350)</w:t>
            </w:r>
          </w:p>
        </w:tc>
        <w:tc>
          <w:tcPr>
            <w:tcW w:w="0" w:type="dxa"/>
            <w:vAlign w:val="bottom"/>
          </w:tcPr>
          <w:p>
            <w:pPr>
              <w:spacing w:after="0"/>
              <w:rPr>
                <w:sz w:val="1"/>
                <w:szCs w:val="1"/>
                <w:color w:val="auto"/>
              </w:rPr>
            </w:pPr>
          </w:p>
        </w:tc>
      </w:tr>
      <w:tr>
        <w:trPr>
          <w:trHeight w:val="213"/>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178,912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(152,758)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vMerge w:val="restart"/>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43"/>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11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155,837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(73,719)</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564</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(807)</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216"/>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1,166</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(26,999)</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(26,999)</w:t>
            </w:r>
          </w:p>
        </w:tc>
        <w:tc>
          <w:tcPr>
            <w:tcW w:w="0" w:type="dxa"/>
            <w:vAlign w:val="bottom"/>
          </w:tcPr>
          <w:p>
            <w:pPr>
              <w:spacing w:after="0"/>
              <w:rPr>
                <w:sz w:val="1"/>
                <w:szCs w:val="1"/>
                <w:color w:val="auto"/>
              </w:rPr>
            </w:pPr>
          </w:p>
        </w:tc>
      </w:tr>
      <w:tr>
        <w:trPr>
          <w:trHeight w:val="213"/>
        </w:trPr>
        <w:tc>
          <w:tcPr>
            <w:tcW w:w="11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156,760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(100,718)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-8255</wp:posOffset>
            </wp:positionV>
            <wp:extent cx="763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-1251585</wp:posOffset>
            </wp:positionV>
            <wp:extent cx="7632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-1817370</wp:posOffset>
            </wp:positionV>
            <wp:extent cx="7632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-3318510</wp:posOffset>
            </wp:positionV>
            <wp:extent cx="763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-3884295</wp:posOffset>
            </wp:positionV>
            <wp:extent cx="7632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-5127625</wp:posOffset>
            </wp:positionV>
            <wp:extent cx="7632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-5693410</wp:posOffset>
            </wp:positionV>
            <wp:extent cx="7632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-6405245</wp:posOffset>
            </wp:positionV>
            <wp:extent cx="7632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180"/>
            <w:col w:w="5460"/>
          </w:cols>
          <w:pgMar w:left="240" w:top="333" w:right="299" w:bottom="1440" w:gutter="0" w:footer="0" w:header="0"/>
          <w:type w:val="continuous"/>
        </w:sectPr>
      </w:pP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Aptevo Therapeutics Inc. (Aptevo, we, us, or the Company) is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IXINITY, as well as various investigational stage product candidates in the areas of immuno-oncology and autoimmune and inflammatory diseases.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trading on the Nasdaq Global Market under the symbol “APVO.”</w:t>
      </w:r>
    </w:p>
    <w:p>
      <w:pPr>
        <w:spacing w:after="0" w:line="3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3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Aptevo Research and Development LLC; Aptevo BioTherapeutics LLC; and Aptevo Europe Limited. All intercompany balances and transactions have been eliminated and we have determined that we operate in one segment.</w:t>
      </w:r>
    </w:p>
    <w:p>
      <w:pPr>
        <w:spacing w:after="0" w:line="203"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the rules and regulations of the Securities and Exchange Commission (SEC) and U.S. generally accepted accounting principles (GAAP) for unaudited interim financial information. Accordingly, they do not include all of the information and footnotes required by GAAP for audited annual financial statements. These condensed consolidated financial statements include all adjustments, which include normal recurring adjustments, necessary for the fair presentation of the Company’s financial position.</w:t>
      </w:r>
    </w:p>
    <w:p>
      <w:pPr>
        <w:spacing w:after="0" w:line="180"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our audited consolidated financial statements and accompanying notes included in our Form 10-K for the year ended December 31, 2018, which was filed with the SEC on March 18, 2019.</w:t>
      </w:r>
    </w:p>
    <w:p>
      <w:pPr>
        <w:spacing w:after="0" w:line="16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17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accordance with Financial Accounting Standards Board, or the FASB, Accounting Standards Update No. 2014-15, Presentation of Financial Statements - Going Concern (Subtopic 205-40), our management evaluates whether there are conditions or events, considered in aggregate, that raise substantial doubt about our ability to continue as a going concern within one year after the date that the financial statements are issued. We believe that our existing cash resources, the cash to be generated from future product sales and the $4.3 million we received from Saol in August 2019, will be sufficient to meet our projected operating requirements for at least twelve months from the date of filing of this Form 10-Q Quarterly Report.</w:t>
      </w:r>
    </w:p>
    <w:p>
      <w:pPr>
        <w:spacing w:after="0" w:line="224"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Our results of operations will be highly dependent on IXINITY sales unless or until we develop or partner any of our development stage product candidates, which we expect may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While we may be able to access capital under our existing equity sales agreement with Lincoln Park Financial LLC or our Equity Distribution Agreement with Piper Jaffray &amp; Co. (Piper Jaffray), if we are unable to obtain additional financing when needed, or if IXINITY revenue growth does not continue or continue at the rates we expect, we may have to delay, reduce the scope of, suspend or eliminate one or more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3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On January 1, 2019 we adopted ASU No. 2016-02, Leases (ASC 842), which amended the existing standards for lease accounting, requiring lessees to recognize most leases on their balance sheets and disclose key information about leasing arrangements. We adopted the new standard using a modified retrospective transition approach at the beginning of the current fiscal year, January 1, 2019. We did not adjust comparative periods in our financial statements prior to that period.</w:t>
      </w:r>
    </w:p>
    <w:p>
      <w:pPr>
        <w:spacing w:after="0" w:line="207"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For transition leases, entities were permitted to make an election to apply a package of practical expedients that allows entities not to reassess (i) whether any expired or existing contracts are or contain leases, (ii) lease classification for any expired or existing leases, and (iii) whether initial direct costs for any expired or existing leases qualify for capitalization under ASC 842. In addition, entities were also permitted to make an election to use hindsight when determining lease terms and when assessing the impairment of right-of-use assets. We have chosen to elect the package of practical expedients but did not elect the hindsight practical expedient for our transition leases.</w:t>
      </w:r>
    </w:p>
    <w:p>
      <w:pPr>
        <w:spacing w:after="0" w:line="224"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a lease at inception date. Leases are to be classified as finance or operating at the lease commencement date, which affects the classification of expense recognition in the income statement. Right-of-use assets represent the right to use an underlying asset for the lease term and lease liabilities represent the obligation to make lease payments, as agreed to in the lease. Operating lease liabilities and the corresponding right-of-use assets are recognized based on the present value of the future minimum lease payments over the lease term at commencement date. An operating right-of-use asset is measured as the amount of the initial measurement of the lease liability, adjusted for prepaid or accrued lease payments, the remaining balance of any lease incentive received, unamortized initial direct costs, and any impairment of the right-of-use asset. The initial measurement of the lease liabilities and right-to-use assets of finance leases is the same as for operating leases. We include options to extend the lease and certain termination options in our lease liability and right-of-use asset when it is reasonably certain that we will exercise those options.</w:t>
      </w:r>
    </w:p>
    <w:p>
      <w:pPr>
        <w:spacing w:after="0" w:line="22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As our existing leases do not contain an implicit interest rate, we estimate our incremental borrowing rate based on information available at commencement date in determining the present value of future payments. Due to the significant judgment involved and the complex analysis needed to determine this discount rate, we engaged a third-party valuation specialist to advise us in our determination of our IBR for the initial adoption of the standard.</w:t>
      </w:r>
    </w:p>
    <w:p>
      <w:pPr>
        <w:spacing w:after="0" w:line="203"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part of our selling, general and administrative expenses and our research and development expenses on our consolidated statement of operations. Lease expense for financing leases consists of amortization of the right-of-use asset and interest on the lease liability as part of our research and development expenses on our consolidated statement of operations.</w:t>
      </w:r>
    </w:p>
    <w:p>
      <w:pPr>
        <w:spacing w:after="0" w:line="217"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Adoption of the new standard resulted in the recognition of a right-to-use asset of $1.5 million, an operating lease liability of $2.2 million dollars, and a related decrease in deferred rent liability of $0.7 million at January 1, 2019. Refer to Note 6 for additional information.</w:t>
      </w:r>
    </w:p>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is recognized for all share-based payments made to employees, directors and non-employees based on estimated fair values as of the date of grant. The fair value of our stock options is calculated using the Black-Scholes option-pricing model which requires judgmental assumptions including volatility, risk-free rates and expected option life. We recognize stock-based compensation expense on a straight-line basis over the requisite service period, net of an estimated forfeiture rate.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color w:val="auto"/>
        </w:rPr>
        <w:t>ther Significant Accounting Policies</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Our other significant accounting policies were reported in our Annual Report on Form 10-K for the year ended December 31, 2018 that was filed with the SEC on March 18, 2019. Our other significant accounting policies have not changed materially from the policies previously reported.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which changes how entities account for credit losses on most financial assets and certain other instruments, and expands disclosures. The standard is effective for annual and interim periods beginning after December 15, 2019 with early adoption permitted. We expect to adopt the standard on January 1, 2020 and are still in the process of evaluating the effect of adoption on our consolidated financial statements and disclosures.</w:t>
      </w:r>
    </w:p>
    <w:p>
      <w:pPr>
        <w:spacing w:after="0" w:line="180"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Framework-Changes to the Disclosure Requirements for Fair Value Measurement (“ASU 2018-13”), which modifies the disclosure requirements for fair value measurements. The new standard is effective for the Company on January 1, 2020. Early adoption is permitted. We are evaluating the impact the adoption of ASU 2018-13 may have on our disclosures.</w:t>
      </w: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2.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Alligator</w:t>
      </w:r>
    </w:p>
    <w:p>
      <w:pPr>
        <w:spacing w:after="0" w:line="11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which is designed to expand on the utility and effectiveness of therapeutic antibodies.</w:t>
      </w:r>
    </w:p>
    <w:p>
      <w:pPr>
        <w:spacing w:after="0" w:line="21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Collaboration Agreement, the parties intend to develop the lead bispecific antibody candidate targeting 4-1BB (CD137) and 5T4 through the completion of Phase II clinical trials in accordance with an agreed upon development plan and budget. Subject to certain exceptions for Aptevo’s manufacturing and platform technologies, the parties will jointly own intellectual property generated in the performance of the development activities under the Collaboration Agreement.</w:t>
      </w:r>
    </w:p>
    <w:p>
      <w:pPr>
        <w:spacing w:after="0" w:line="207"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candidate.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21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the product candidate, subject to a requirement to pay a percentage of revenue received from any future commercialization partner for this product, or, if the continuing party elects to self-commercialize, tiered royalties on the net sales of the product by the continuing party ranging from the low to mid-single digits, based on the point in development at which the opt-out occurs. The parties have also agreed on certain technical criteria or “stage gates” related to the development of this product candidate that, if not met, will cause an automatic termination and wind-down of this Collaboration Agreement and the activities thereunder, provided that the parties do not agree to continue.</w:t>
      </w:r>
    </w:p>
    <w:p>
      <w:pPr>
        <w:spacing w:after="0" w:line="21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Collaboration Agreement contains industry standard termination rights, including for material breach following a specified cure period, and in the case of a party’s insolvency.</w:t>
      </w:r>
    </w:p>
    <w:p>
      <w:pPr>
        <w:spacing w:after="0" w:line="162"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assessed the arrangement in accordance with ASC 606 and concluded that the contract counterparty, Alligator, is not a customer. As such the arrangement is not in the scope of ASC 606 and is instead treated as a collaborative agreement under ASC 808. For the three and six months ended June 30, 2019, we recorded a reduction in our research and development expense of $0.1 million and $0.5 million, respectively, and for the three and six months ended June 30, 2018, we recorded a decrease in our research and development expense of $0.3 million and $0.2 million, respectively, related to the collaboration arrangement.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jc w:val="both"/>
        <w:ind w:right="20" w:firstLine="518"/>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266"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At June 30, 2019 and December 31, 2018, we had $21.3 million and $29.0 million in money market funds, respectively. Money market funds are level one balances as they are valued at fair value, which is the closing price reported by the fund sponsor from an actively traded exchange. At June 30, 2019, and December 31, 2018, we did not have any level two or level three assets.</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p>
      <w:pPr>
        <w:spacing w:after="0" w:line="135"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include time deposits and investments in money market funds. Restricted cash, long-term includes $5.0 million related to the minimum cash covenant included in the Company’s Credit and Security Agreement (the Credit Agreement) with MidCap Financial Trust, and $2.5 million securing letters of credit.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cash equivalents and long-term restricted cash as of June 30, 2019 and December 31,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820" w:type="dxa"/>
            <w:vAlign w:val="bottom"/>
            <w:gridSpan w:val="2"/>
            <w:vMerge w:val="continue"/>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8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inventories</w:t>
            </w:r>
          </w:p>
        </w:tc>
        <w:tc>
          <w:tcPr>
            <w:tcW w:w="284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6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 Operating</w:t>
      </w:r>
    </w:p>
    <w:p>
      <w:pPr>
        <w:spacing w:after="0" w:line="135"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w:t>
      </w:r>
    </w:p>
    <w:p>
      <w:pPr>
        <w:spacing w:after="0" w:line="176"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We recorded a right-of-use asset for this lease on January 1, 2019, of $1.2 million which reflects the amount of the remaining lease liability, less the balance of accrued and deferred rent, and net of the unamortized balance of tenant incentives. We also recorded a lease liability of $1.9 million which reflects the present value of the remaining lease payments, discounted using our incremental borrowing rate of 16.95% for the remaining term of the lease. The future expense for this lease will be recorded as a straight-line expense, less the unamortized tenant incentive portion, plus any variable expenses due to true-ups of operating costs or real estate taxes.</w:t>
      </w:r>
    </w:p>
    <w:p>
      <w:pPr>
        <w:spacing w:after="0" w:line="211"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As a result of the lease amendment in March 2019, we recorded an increase to our right-of-use asset for this lease amendment of $3.2 million which reflects the amount of the remaining lease liability through April 30, 2023, less the balance of accrued and deferred rent, and net of the unamortized balance of tenant incentives. In March 2019, we also recorded an increase to our lease liability for this lease amendment of $3.2 million which reflects the present value of the remaining lease payments through April 30, 2023, discounted using our incremental borrowing rate of 14.45% for the remaining term of the lease on the date of amendment.</w:t>
      </w:r>
    </w:p>
    <w:p>
      <w:pPr>
        <w:spacing w:after="0" w:line="211"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The amended lease has a renewal option of two five-year renewals at fair market value as determined at the time of renewal, and a termination option after month thirty-six with nine months written notice. The termination option also requires a penalty equal to the unamortized tenant improvement allowance at 8% interest, the unamortized real estate taxes at 8% interest, and the equivalent of four-months’ rent at the base rent price at the time of termination. The estimated termination penalty has been recorded in our lease payments. We determined we should not include any periods after the termination option when evaluating this amendment as we are not reasonably certain to not exercise the option, therefore we are recording our liability through April 30, 2023.</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and six months ended June 30, 2019, we recorded $0.1 million and $0.2 million, respectively, related to variable expenses.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Equipment Leases - Operating</w:t>
      </w:r>
    </w:p>
    <w:p>
      <w:pPr>
        <w:spacing w:after="0" w:line="121"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As of January 1, 2019, we have operating leases for one piece of lab equipment and four copiers in our Seattle, Washington headquarters. We recorded a right-of-use asset of $0.3 million on January 1, 2019 which reflects the remaining liability of the leases, less the balance of accrued and deferred rent. We also recorded a lease liability of $0.3 million which reflects the present value of the remaining payment for the leases, discounted using our incremental borrowing rate for the lab equipment lease is 16.53% and for the copier leases it is 16.19%, for the remaining term of the leases. The future expense for these leases will be straight-line and will include any variable expenses that arise.</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Equipment Lease – Financing</w:t>
      </w:r>
    </w:p>
    <w:p>
      <w:pPr>
        <w:spacing w:after="0" w:line="121"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January 1, 2019, we had one equipment lease classified as a financing lease as the lease transfers ownership of the underlying asset to us at the end of the lease term. The remaining term of this lease is fourteen months and has a remaining expense obligation of less than $0.1 million. There were no financing lease payments in the six months ended June 30, 2019.</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Components of lease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0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6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Right of use assets acquired under operating leases: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13"/>
        </w:trPr>
        <w:tc>
          <w:tcPr>
            <w:tcW w:w="8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 excluding Seattle office lease</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Seattle office lease, including amendment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leases</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Lease payments: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13"/>
        </w:trPr>
        <w:tc>
          <w:tcPr>
            <w:tcW w:w="8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operating leases</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payments as of June 30, 2019 are as follows: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(remainder of year)</w:t>
            </w:r>
          </w:p>
        </w:tc>
        <w:tc>
          <w:tcPr>
            <w:tcW w:w="520" w:type="dxa"/>
            <w:vAlign w:val="bottom"/>
            <w:tcBorders>
              <w:top w:val="single" w:sz="8" w:color="CFF0FC"/>
            </w:tcBorders>
            <w:gridSpan w:val="3"/>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23"/>
        </w:trPr>
        <w:tc>
          <w:tcPr>
            <w:tcW w:w="8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tcPr>
          <w:p>
            <w:pPr>
              <w:spacing w:after="0"/>
              <w:rPr>
                <w:sz w:val="19"/>
                <w:szCs w:val="19"/>
                <w:color w:val="auto"/>
              </w:rPr>
            </w:pPr>
          </w:p>
        </w:tc>
        <w:tc>
          <w:tcPr>
            <w:tcW w:w="3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The long-term portion of the lease liabilities included in the amounts above is $3.8 million and the remainder of our lease liabilities are included in other current liabilities on our condensed consolidated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2019, the weighted average remaining lease term and weighted discount rate for operating leases was 3.8 years and 14.56%.</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35"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the Hyperimmune Business under the LLC purchase agreement, and to reflect changes in the remaining business as a result of such sale.</w:t>
      </w:r>
    </w:p>
    <w:p>
      <w:pPr>
        <w:spacing w:after="0" w:line="21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w:t>
      </w:r>
    </w:p>
    <w:p>
      <w:pPr>
        <w:spacing w:after="0" w:line="224"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On August 6, 2018, we entered into an Amended and Restated Credit and Security Agreement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 million to $5 million.</w:t>
      </w:r>
    </w:p>
    <w:p>
      <w:pPr>
        <w:spacing w:after="0" w:line="180"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January 2019, our unrestricted cash level fell below $25.0 million which triggered the effectiveness of a security agreement in favor of MidCap with respect to our registered intellectual property to secure our obligations under the Amended Credit Agreement. MidCap now holds a security interest in our registered intellectual property and may take ownership of such intellectual property if we do not satisfy our obligations under the Amended Credit Agreement.</w:t>
      </w:r>
    </w:p>
    <w:p>
      <w:pPr>
        <w:spacing w:after="0" w:line="207"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Additionally, this facility is subject to a subjective acceleration clause that could be invoked by the lender upon the occurrence of any event the lender deems to have a material adverse effect on our ability to repay the lender.</w:t>
      </w:r>
    </w:p>
    <w:p>
      <w:pPr>
        <w:spacing w:after="0" w:line="20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obligations under the Amended Credit Agreement will mature on February 1, 2023. Amounts drawn under the Amended Credit Agreement continue to accrue interest at a rate of LIBOR plus 7.60% per annum.</w:t>
      </w:r>
    </w:p>
    <w:p>
      <w:pPr>
        <w:spacing w:after="0" w:line="3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8. Net Loss per Share</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common shares outstanding for the period. Diluted net loss per share is computed by dividing the net loss by the weighted average number of common share equivalents outstanding for the period using the as-if converted method. For the purpose of this calculation, warrants, stock options and restricted stock units (RSUs) are only included in the calculation of diluted net income per share when their effect is dilutive.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equivalents include warrants, stock options and unvested RSUs.</w:t>
      </w:r>
    </w:p>
    <w:p>
      <w:pPr>
        <w:spacing w:after="0" w:line="225"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all potentially dilutive shares, which were all anti-dilutive and therefore excluded from the calculation of diluted net loss per share: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80" w:type="dxa"/>
            <w:vAlign w:val="bottom"/>
            <w:gridSpan w:val="2"/>
            <w:vMerge w:val="continue"/>
          </w:tcPr>
          <w:p>
            <w:pPr>
              <w:spacing w:after="0"/>
              <w:rPr>
                <w:sz w:val="13"/>
                <w:szCs w:val="13"/>
                <w:color w:val="auto"/>
              </w:rPr>
            </w:pPr>
          </w:p>
        </w:tc>
        <w:tc>
          <w:tcPr>
            <w:tcW w:w="1420" w:type="dxa"/>
            <w:vAlign w:val="bottom"/>
          </w:tcPr>
          <w:p>
            <w:pPr>
              <w:jc w:val="right"/>
              <w:ind w:right="4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210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9. Equity</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u w:val="single" w:color="auto"/>
          <w:color w:val="auto"/>
        </w:rPr>
        <w:t>ommon Stock</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11, 2019, we completed a public offering of common stock and warrants, as follows:</w:t>
      </w:r>
    </w:p>
    <w:p>
      <w:pPr>
        <w:spacing w:after="0" w:line="131" w:lineRule="exact"/>
        <w:rPr>
          <w:sz w:val="20"/>
          <w:szCs w:val="20"/>
          <w:color w:val="auto"/>
        </w:rPr>
      </w:pPr>
    </w:p>
    <w:p>
      <w:pPr>
        <w:ind w:left="104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combined public offering price of $1.00 per share of common stock and related warrants, 19,850,000 shares of common stock and related warrants with a 5-year life to purchase up to 19,850,000 shares of common stock at an exercise price of $1.30 per share,</w:t>
      </w:r>
    </w:p>
    <w:p>
      <w:pPr>
        <w:spacing w:after="0" w:line="67"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combined public offering price of $0.99 per pre-funded warrant and related warrant, pre-funded warrants with a 10-year life to purchase up to 2,150,000 shares of common stock at an exercise price of $0.01 per share and related warrants with a 5-year life to purchase up to 2,150,000 shares of common stock at an exercise price of $1.30 per share. These pre-funded warrants were exercised on March 21, 2019.</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received net proceeds of $20.2 million, net of transaction costs, as a result of this offering.</w:t>
      </w:r>
    </w:p>
    <w:p>
      <w:pPr>
        <w:spacing w:after="0" w:line="252"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2019, we issued 94,540 shares of common stock due to the vesting of RSUs. In addition, pursuant to our purchase agreement with Lincoln Park Financial LLC, we issued 195,867 commitment shares in a non-cash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4" w:name="page15"/>
    <w:bookmarkEnd w:id="14"/>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2018, we received proceeds of $0.6 million upon the exercise of stock options which resulted in the issuance of 254,086 shares of common stock and issued 808,071 shares of common stock due to the vesting of restricted stock units.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33"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On November 9, 2017, we entered into an Equity Distribution Agreement (the Equity Distribution Agreement) with Piper Jaffray. The Equity Distribution Agreement provides that, upon the terms and subject to the conditions set forth therein, we may issue and sell through Piper Jaffray, acting as sales agent, shares of our common stock, $0.001 par value per share (the Common Stock) having an aggregate offering price of up to $17.5 million. We have no obligation to sell any such shares under the Equity Distribution Agreement. The sale of such shares of common stock by Piper Jaffray will be effected pursuant to a Registration Statement on Form S-3 which we filed on November 9, 2017. We issued 13,265 shares under the Equity Distribution Agreement in the fourth quarter of 2018, and no shares in the first two quarters of 2019.</w:t>
      </w:r>
    </w:p>
    <w:p>
      <w:pPr>
        <w:spacing w:after="0" w:line="3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u w:val="single" w:color="auto"/>
          <w:color w:val="auto"/>
        </w:rPr>
        <w:t>onverted Equity Awards Incentive Plan</w:t>
      </w:r>
    </w:p>
    <w:p>
      <w:pPr>
        <w:spacing w:after="0" w:line="11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A total of 1.3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2016 Stock Incentive Plan</w:t>
      </w:r>
    </w:p>
    <w:p>
      <w:pPr>
        <w:spacing w:after="0" w:line="11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On August 1, 2016, the Company adopted the 2016 Stock Incentive Plan (2016 SIP). A total of 3.1 million shares of Aptevo common stock have been authorized for issuance under the 2016 SIP in the form of equity stock options.</w:t>
      </w:r>
    </w:p>
    <w:p>
      <w:pPr>
        <w:spacing w:after="0" w:line="20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180"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0"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1.3 million shares of Aptevo common stock. The Restated 2016 Plan was previously approved, subject to stockholder approval, by the Board of Directors of the Company.</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133"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On June 1, 2018, at the 2018 Annual Meeting, the Company’s stockholders approved a new 2018 Stock Incentive Plan (2018 SIP), which replaced the Restated 2016 Plan on a go-forward basis. All stock options, RSUs or other equity awards granted subsequent to June 1, 2018 will be issued out of the 2018 SIP, which has 2.9 million shares of Aptevo common stock authorized for issuance. The 2018 Plan became effective immediately upon stockholder approval at the Annual Meeting.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w:t>
      </w:r>
    </w:p>
    <w:p>
      <w:pPr>
        <w:spacing w:after="0" w:line="3" w:lineRule="exact"/>
        <w:rPr>
          <w:sz w:val="20"/>
          <w:szCs w:val="20"/>
          <w:color w:val="auto"/>
        </w:rPr>
      </w:pPr>
    </w:p>
    <w:p>
      <w:pPr>
        <w:jc w:val="both"/>
        <w:ind w:firstLine="8"/>
        <w:spacing w:after="0" w:line="254" w:lineRule="auto"/>
        <w:tabs>
          <w:tab w:leader="none" w:pos="2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would have returned to the 2016 SIP for future grant pursuant to the terms of the 2016 Plan (such shares, the “Returning Shares”) will immediately be added to the share reserve under the 2018 SIP as and when such shares become Returning Shares, up to a maximum of 3,711,620 shares. The 2018 SIP was previously approved, subject to stockholder approval, by the Board of Directors of the Company. As of June 30, 2019, there are 2.0 million shares available to be granted under the 2018 SIP.</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RSUs granted to employees and has been reported in our condensed consolidated statements of operations as follows: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242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has applied an estimated forfeiture rate of 10% for the periods presented.</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33"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Aptevo utilizes the Black-Scholes valuation model for estimating the fair value of all stock options granted. Set forth below are the assumptions used in valuing the stock options granted:</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840" w:type="dxa"/>
            <w:vAlign w:val="bottom"/>
            <w:tcBorders>
              <w:top w:val="single" w:sz="8" w:color="auto"/>
            </w:tcBorders>
          </w:tcPr>
          <w:p>
            <w:pPr>
              <w:jc w:val="center"/>
              <w:ind w:left="11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60" w:type="dxa"/>
            <w:vAlign w:val="bottom"/>
            <w:tcBorders>
              <w:top w:val="single" w:sz="8" w:color="auto"/>
            </w:tcBorders>
            <w:gridSpan w:val="3"/>
          </w:tcPr>
          <w:p>
            <w:pPr>
              <w:jc w:val="center"/>
              <w:ind w:left="3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40" w:type="dxa"/>
            <w:vAlign w:val="bottom"/>
            <w:tcBorders>
              <w:top w:val="single" w:sz="8" w:color="auto"/>
            </w:tcBorders>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w w:val="98"/>
              </w:rPr>
              <w:t>0.00%</w:t>
            </w: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tcPr>
          <w:p>
            <w:pPr>
              <w:jc w:val="center"/>
              <w:ind w:left="116"/>
              <w:spacing w:after="0"/>
              <w:rPr>
                <w:sz w:val="20"/>
                <w:szCs w:val="20"/>
                <w:color w:val="auto"/>
              </w:rPr>
            </w:pPr>
            <w:r>
              <w:rPr>
                <w:rFonts w:ascii="Times New Roman" w:cs="Times New Roman" w:eastAsia="Times New Roman" w:hAnsi="Times New Roman"/>
                <w:sz w:val="18"/>
                <w:szCs w:val="18"/>
                <w:color w:val="auto"/>
              </w:rPr>
              <w:t>75.00%</w:t>
            </w:r>
          </w:p>
        </w:tc>
        <w:tc>
          <w:tcPr>
            <w:tcW w:w="1460" w:type="dxa"/>
            <w:vAlign w:val="bottom"/>
            <w:gridSpan w:val="3"/>
          </w:tcPr>
          <w:p>
            <w:pPr>
              <w:jc w:val="center"/>
              <w:ind w:left="319"/>
              <w:spacing w:after="0"/>
              <w:rPr>
                <w:sz w:val="20"/>
                <w:szCs w:val="20"/>
                <w:color w:val="auto"/>
              </w:rPr>
            </w:pPr>
            <w:r>
              <w:rPr>
                <w:rFonts w:ascii="Times New Roman" w:cs="Times New Roman" w:eastAsia="Times New Roman" w:hAnsi="Times New Roman"/>
                <w:sz w:val="18"/>
                <w:szCs w:val="18"/>
                <w:color w:val="auto"/>
                <w:w w:val="97"/>
              </w:rPr>
              <w:t>75.00%</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w w:val="98"/>
              </w:rPr>
              <w:t>1.94%</w:t>
            </w:r>
          </w:p>
        </w:tc>
        <w:tc>
          <w:tcPr>
            <w:tcW w:w="1460" w:type="dxa"/>
            <w:vAlign w:val="bottom"/>
            <w:gridSpan w:val="3"/>
            <w:shd w:val="clear" w:color="auto" w:fill="CFF0FC"/>
          </w:tcPr>
          <w:p>
            <w:pPr>
              <w:jc w:val="center"/>
              <w:ind w:left="319"/>
              <w:spacing w:after="0"/>
              <w:rPr>
                <w:sz w:val="20"/>
                <w:szCs w:val="20"/>
                <w:color w:val="auto"/>
              </w:rPr>
            </w:pPr>
            <w:r>
              <w:rPr>
                <w:rFonts w:ascii="Times New Roman" w:cs="Times New Roman" w:eastAsia="Times New Roman" w:hAnsi="Times New Roman"/>
                <w:sz w:val="18"/>
                <w:szCs w:val="18"/>
                <w:color w:val="auto"/>
                <w:w w:val="98"/>
              </w:rPr>
              <w:t>2.78%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 years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 years</w:t>
            </w: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 years</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option activity for the six months ended June 30, 2019:</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Remaining Term</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3,329,618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 and expired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(192,136)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4,109,005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2019</w:t>
            </w: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As of June 30, 2019, we had $2.2 million of unrecognized compensation expense related to options expected to vest over a weighted average period of 1.8 years. The weighted average remaining contractual life of outstanding and exercisable options is 5.6 years.</w:t>
      </w:r>
    </w:p>
    <w:p>
      <w:pPr>
        <w:spacing w:after="0" w:line="16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Aptevo’s common stock on the last trading day of June 2019 and the exercise price, multiplied by the number of in the money options) that would have been received by the option holders had all the option holders exercised their options on the last trading day of the quarter. As of December 31, 2018, and June 30, 2019, we had no outstanding options with an exercise price below the trading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RSU activity for the six months ended June 30, 2019:</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2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Value per Unit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133,040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to Vest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2019, there was no unrecognized stock-based compensation expense related to unvested RSUs.</w:t>
      </w:r>
    </w:p>
    <w:p>
      <w:pPr>
        <w:spacing w:after="0" w:line="225"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stock on the date of grant as quoted on the Nasdaq Global Market.</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11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March 2019, as part of a public offering, we issued warrants to purchase up to 24,150,000 shares of our common stock, 22,000,000 of which have an exercise price of $1.30 per share and have a five-year life, and 2,150,000 of pre-funded warrants with an exercise price of $0.01 per share. The pre-funded warrants had a ten-year life and would have expired on March 11, 2029; however, the pre-funded warrants were exercised in March 2019. We determined the warrants do not meet liability classification pursuant to ASC 480 – Distinguishing Liabilities from Equity. They are therefore included within equity on our consolidated balance sheet. As of June 30, 2019, there were 22,000,000 warrants outstanding.</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10. Revenue Reserves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activity in each of our product revenue allowance and reserve categories for the six months ending June 30, 2019:</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Chargebacks and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Distribution Fees,</w:t>
            </w:r>
          </w:p>
        </w:tc>
        <w:tc>
          <w:tcPr>
            <w:tcW w:w="0" w:type="dxa"/>
            <w:vAlign w:val="bottom"/>
          </w:tcPr>
          <w:p>
            <w:pPr>
              <w:spacing w:after="0"/>
              <w:rPr>
                <w:sz w:val="1"/>
                <w:szCs w:val="1"/>
                <w:color w:val="auto"/>
              </w:rPr>
            </w:pPr>
          </w:p>
        </w:tc>
      </w:tr>
      <w:tr>
        <w:trPr>
          <w:trHeight w:val="149"/>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Rebates and Patient</w:t>
            </w:r>
          </w:p>
        </w:tc>
        <w:tc>
          <w:tcPr>
            <w:tcW w:w="0" w:type="dxa"/>
            <w:vAlign w:val="bottom"/>
          </w:tcPr>
          <w:p>
            <w:pPr>
              <w:spacing w:after="0"/>
              <w:rPr>
                <w:sz w:val="1"/>
                <w:szCs w:val="1"/>
                <w:color w:val="auto"/>
              </w:rPr>
            </w:pPr>
          </w:p>
        </w:tc>
      </w:tr>
      <w:tr>
        <w:trPr>
          <w:trHeight w:val="173"/>
        </w:trPr>
        <w:tc>
          <w:tcPr>
            <w:tcW w:w="6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Cash Discounts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0" w:type="dxa"/>
            <w:vAlign w:val="bottom"/>
          </w:tcPr>
          <w:p>
            <w:pPr>
              <w:spacing w:after="0"/>
              <w:rPr>
                <w:sz w:val="1"/>
                <w:szCs w:val="1"/>
                <w:color w:val="auto"/>
              </w:rPr>
            </w:pPr>
          </w:p>
        </w:tc>
      </w:tr>
      <w:tr>
        <w:trPr>
          <w:trHeight w:val="223"/>
        </w:trPr>
        <w:tc>
          <w:tcPr>
            <w:tcW w:w="634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 or payments made during the period</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11. Subsequent Event</w:t>
      </w:r>
    </w:p>
    <w:p>
      <w:pPr>
        <w:spacing w:after="0" w:line="135"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On August 6, 2019, we received a $4.3 million milestone payment from Saol International Limited pursuant to the LLC Purchase Agreement dated August 31, 2017 and amended on August 6, 2019, in conjunction with the sale of the Hyperimmune Business. No additional amounts are outstanding related to the milestones.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91" w:lineRule="exact"/>
        <w:rPr>
          <w:sz w:val="20"/>
          <w:szCs w:val="20"/>
          <w:color w:val="auto"/>
        </w:rPr>
      </w:pPr>
    </w:p>
    <w:p>
      <w:pPr>
        <w:jc w:val="both"/>
        <w:ind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financial statements and the related notes to those statements included elsewhere in this Quarterly Report.</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immuno-oncology and autoimmune and inflammatory diseases.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Pipeline Highlights</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We have one marketed product, IXINITY coagulation factor IX (recombinant), indicated in adults and children 12 years of age and older with Hemophilia B for control and prevention of bleeding episodes, and management of bleeding during operations.</w:t>
      </w:r>
    </w:p>
    <w:p>
      <w:pPr>
        <w:spacing w:after="0" w:line="162"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also have numerous investigational stage product candidates based on our ADAPTIR platform. The ADAPTIR platform technology can produce monospecific and multispecific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engage immune effector cells and disease targets in a novel manner to produce unique signaling responses and ultimately kill tumors or modulate the immune system to kill tumors. We are skilled at product candidate generation, validation and subsequent preclinical and clinical development using the ADAPTIR platform. We have the ability to progress ADAPTIR molecules from concept to commercialization by way of our protein engineering, preclinical development and process development capabilities, cGMP manufacturing oversight and clinical development capabilities. We also have the ability to launch, market and commercialize these product candidates upon approval.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investigational stage product candidates are:</w:t>
      </w:r>
    </w:p>
    <w:p>
      <w:pPr>
        <w:spacing w:after="0" w:line="131" w:lineRule="exact"/>
        <w:rPr>
          <w:sz w:val="20"/>
          <w:szCs w:val="20"/>
          <w:color w:val="auto"/>
        </w:rPr>
      </w:pPr>
    </w:p>
    <w:p>
      <w:pPr>
        <w:jc w:val="both"/>
        <w:ind w:left="1040" w:hanging="519"/>
        <w:spacing w:after="0" w:line="25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APVO436, a bispecific ADAPTIR candidate targeting CD123, a cell surface receptor highly expressed on several hematological malignancies and CD3, a component of the T-cell receptor complex expressed on all T-cells. APVO436 engages T cells to initiate killing of tumor cells. We commenced a Phase 1/1b clinical trial in the United States in December 2018 in patients with AML and MDS. The objective of the trial is to evaluate safety, pharmacokinetics, and pharmacodynamics of APVO436 in patients. In July 2019, we announced that through our first three dosing cohorts, we have not seen any dose limiting toxicities and importantly, no evidence of anti-drug antibodies has been observed to date in the study. We anticipate that we will have anti-drug antibody (ADA) data in the third quarter of 2019.</w:t>
      </w:r>
    </w:p>
    <w:p>
      <w:pPr>
        <w:spacing w:after="0" w:line="79" w:lineRule="exact"/>
        <w:rPr>
          <w:rFonts w:ascii="Times New Roman" w:cs="Times New Roman" w:eastAsia="Times New Roman" w:hAnsi="Times New Roman"/>
          <w:sz w:val="18"/>
          <w:szCs w:val="18"/>
          <w:color w:val="auto"/>
        </w:rPr>
      </w:pPr>
    </w:p>
    <w:p>
      <w:pPr>
        <w:jc w:val="both"/>
        <w:ind w:left="1040" w:hanging="519"/>
        <w:spacing w:after="0" w:line="254"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APVO210, a bispecific ADAPTIR preclinical candidate with a novel mechanism of action based on targeted cytokine delivery. APVO210 is composed of a humanized anti-CD86 antibody fused with a modified form of IL-10 that specifically induces IL-10 signaling on antigen presenting cells, but not on lymphoid cell populations. APVO210 functions by suppressing immune responses and inducing certain tolerogenic responses and therefore may have potential benefit for the treatment of autoimmune and inflammatory diseases. We initiated a Phase 1 clinical trial in Australia in March 2019. The Phase 1 clinical trial will evaluate safety, tolerability, pharmacokinetics and pharmacodynamics of APVO210 in healthy volunteers. The trial will consist of two stages. Stage 1, which we announced in July 2019 was completed, consisted of 64 healthy volunteers receiving a single ascending dose. Stage 2 will consist of up to 40 healthy volunteers receiving multiple ascending doses. For both stages of the Phase 1 clinical trial, healthy volunteers will receive APVO210 or placebo administered by intravenous infusion. We anticipate that initial results of APVO210 single dose cohorts will be available in the third quarter of 2019, and that preliminary Phase 1 safety data will be available in the fourth quarter of 2019 for cohorts enrolled by the beginning of fourth quarter of 2019.</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8" w:name="page19"/>
    <w:bookmarkEnd w:id="18"/>
    <w:p>
      <w:pPr>
        <w:jc w:val="both"/>
        <w:ind w:left="1040" w:hanging="519"/>
        <w:spacing w:after="0" w:line="25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ALG.APV-527, a bispecific antibody candidate, partnered with Alligator Bioscience, featuring a novel mechanism of action designed to simultaneously target 4-1BB (CD137) and 5T4, a tumor antigen widely overexpressed in a number of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tumor antigen, including breast, cervical, non-small-cell-lung, prostate, renal, gastric, colorectal and bladder cancers. Aptevo intends to file a clinical trial authorization (CTA) in the second half of 2019.</w:t>
      </w:r>
    </w:p>
    <w:p>
      <w:pPr>
        <w:spacing w:after="0" w:line="79"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RORI Bispecific, is a proof-of-concept bispecific candidate in pre-clinical development featuring an immunotherapeutic protein targeting ROR1, an antigen found on several solid tumors and hematologic, or blood-related malignancies and CD3, a component of the T-cell receptor complex expressed on all T-cells. Initial pre-clinical data demonstrate redirected T-cell killing of tumors expressing ROR1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animal studies.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Collaboration with Alligator Bioscience AB</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(Collaboration Agreement) with Alligator Bioscience AB, (Alligator), pursuant to which Aptevo R&amp;D and Alligator are collaboratively developing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Under this Collaboration Agreement, Alligator also granted to Aptevo R&amp;D a time-limited option to enter into a second agreement with Alligator for the joint development of a separate bispecific antibody.</w:t>
      </w:r>
    </w:p>
    <w:p>
      <w:pPr>
        <w:spacing w:after="0" w:line="188"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this Collaboration Agreement, the parties intend to develop the lead bispecific antibody candidate targeting 4-1BB (CD137) through the completion of Phase II clinical trials in accordance with an agreed upon development plan and budget. Subject to certain exceptions for Aptevo R&amp;D’s manufacturing and platform technologies, the parties will jointly own intellectual property generated in the performance of the development activities under the Collaboration Agreement.</w:t>
      </w:r>
    </w:p>
    <w:p>
      <w:pPr>
        <w:spacing w:after="0" w:line="18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84"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185"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Collaboration Agreement contains industry standard termination rights, including for material breach following a specified cure period, and in the case of a party’s insolvency.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IXINITY</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IXINITY is a third-generation recombinant human coagulation factor IX approved by the FDA in April 2015 in the United States for the control and prevention of bleeding episodes and for perioperative management in adults and children 12 years of age or older with hemophilia B. Hemophilia B, also known as Christmas disease, is a rare, inherited bleeding disorder. The blood of hemophilia B patients has an impaired clotting ability, which results from substantially reduced or missing factor IX activity. Patients with hemophilia B commonly experience joint bleeding with pain and swelling, which can result in irreversible joint damage. They may also experience more serious or life-threatening hemorrhages. People with hemophilia B require factor IX injections to restore normal blood coagulation temporarily. Many patients use regular, prophylactic treatment to try to prevent bleeding episodes, while others use on-demand treatment to control bleeding episodes after they occur. Treatment selection and approach is individualized based on factors including the patient’s condition and age, factor level severity, bleeding pattern, activity level and individual pharmacokinetic parameters.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9" w:name="page20"/>
    <w:bookmarkEnd w:id="19"/>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In June 2019, we introduced a new 3,000 IU assay size. This 3,000 IU assay size will provide enhanced convenience for patients who use IXINITY and is designed to allow some patients to use fewer vials when infusing. We believe that the 3,000 IU assay size will also be a more attractive option for some patients on IXINITY when traveling.</w:t>
      </w:r>
    </w:p>
    <w:p>
      <w:pPr>
        <w:spacing w:after="0" w:line="203"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We anticipate commencing a Phase 4 post-marketing study in the third quarter of 2019 that has the potential to support a pediatric label expansion. We performed a pilot study in patients under 12 years of age that showed that IXINITY was well tolerated. The pilot study also showed comparable results to that of the overall patient population studied in the Phase 3 pivotal clinical trial of IXINITY.</w:t>
      </w:r>
    </w:p>
    <w:p>
      <w:pPr>
        <w:spacing w:after="0" w:line="217"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We are exploring distribution and partnership opportunities for IXINITY outside of the U.S. We believe that we may be able to leverage existing relationships to grow the IXINITY market outside of the United States. Currently all IXINITY sales are in the U.S.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2019 and June 30, 2018</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21"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We recognized a net loss of $13.3 million and $25.4 million for the three and six months ended June 30, 2019, and $13.1 million and $27.0 million, respectively, for the three and six months ended June 30, 2018, respectively. Product sales in 2019 were higher than both the three and six months in 2018, offset by increased cost of products sold. Research and development costs as well as selling, general and administrative costs were lower in both the second quarter and six months in 2019.</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121"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Product sales of IXINITY increased by $0.5 million, or 8%, to $7.4 million for the three months ended June 30, 2019 from $6.8 million in the second quarter of 2018, and by $3.5 million, or 32%, to $14.4 million for the six months ended June 30, 2019 from $10.9 million in the six months ended June 30, 2018. This increase was primarily related to the continuing expansion of our Hemophilia B patient base and a price increase which went into effect on January 1, 2019.</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Product Sales</w:t>
      </w:r>
    </w:p>
    <w:p>
      <w:pPr>
        <w:spacing w:after="0" w:line="121"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The primary expense we incur to deliver IXINITY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80"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cost of products sales, including gross profit and gross margin percent for the three and six months ended June 30,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vMerge w:val="restart"/>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0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vMerge w:val="continue"/>
            <w:shd w:val="clear" w:color="auto" w:fill="CFF0FC"/>
          </w:tcPr>
          <w:p>
            <w:pPr>
              <w:spacing w:after="0"/>
              <w:rPr>
                <w:sz w:val="19"/>
                <w:szCs w:val="19"/>
                <w:color w:val="auto"/>
              </w:rPr>
            </w:pPr>
          </w:p>
        </w:tc>
        <w:tc>
          <w:tcPr>
            <w:tcW w:w="19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2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3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Gross margin percent</w:t>
            </w:r>
          </w:p>
        </w:tc>
        <w:tc>
          <w:tcPr>
            <w:tcW w:w="1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0" w:type="dxa"/>
            <w:vAlign w:val="bottom"/>
            <w:vMerge w:val="continue"/>
          </w:tcPr>
          <w:p>
            <w:pPr>
              <w:spacing w:after="0"/>
              <w:rPr>
                <w:sz w:val="18"/>
                <w:szCs w:val="18"/>
                <w:color w:val="auto"/>
              </w:rPr>
            </w:pPr>
          </w:p>
        </w:tc>
        <w:tc>
          <w:tcPr>
            <w:tcW w:w="3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4"/>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24"/>
                <w:szCs w:val="24"/>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vMerge w:val="restart"/>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0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vMerge w:val="continue"/>
            <w:shd w:val="clear" w:color="auto" w:fill="CFF0FC"/>
          </w:tcPr>
          <w:p>
            <w:pPr>
              <w:spacing w:after="0"/>
              <w:rPr>
                <w:sz w:val="19"/>
                <w:szCs w:val="19"/>
                <w:color w:val="auto"/>
              </w:rPr>
            </w:pPr>
          </w:p>
        </w:tc>
        <w:tc>
          <w:tcPr>
            <w:tcW w:w="19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2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3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Gross margin percent</w:t>
            </w:r>
          </w:p>
        </w:tc>
        <w:tc>
          <w:tcPr>
            <w:tcW w:w="1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vMerge w:val="continue"/>
          </w:tcPr>
          <w:p>
            <w:pPr>
              <w:spacing w:after="0"/>
              <w:rPr>
                <w:sz w:val="19"/>
                <w:szCs w:val="19"/>
                <w:color w:val="auto"/>
              </w:rPr>
            </w:pPr>
          </w:p>
        </w:tc>
        <w:tc>
          <w:tcPr>
            <w:tcW w:w="330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20" w:name="page21"/>
    <w:bookmarkEnd w:id="20"/>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Cost of product sales increased by $3.5 million, or 136% for the three months ended June 30, 2019 to $6.0 million from $2.5 million for the three months ended June 30, 2018. Included in the cost of product sales for the three months ended June 30, 2019 are $0.9 million in costs related to testing and stability costs for the initial commercial production of the new 3000 IU assay size, which was launched in June 2019 to the market. In addition, cost of product sales for the three months ended June 30, 2019 includes $0.5 million for the write-off of costs related to inventory. Cost of product sales also increased due to the volume-driven increase IU’s sold during the three months ended June 30, 2019.</w:t>
      </w:r>
    </w:p>
    <w:p>
      <w:pPr>
        <w:spacing w:after="0" w:line="184"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Cost of product sales increased by $5.5 million or 128%, for the six months ended June 30, 2019 to $9.8 million from $4.3 million, due primarily to the unusual costs for stability and the write-off of costs related to inventory write-offs in the six months ended June 30, 2019, as well as increased cost of product sales due to increased IU’s sold in the period, and lower cost inventory being sold in the first half of 2018 due to a credit received from our supplier.</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consist primarily of the costs associated with our research and development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include:</w:t>
      </w:r>
    </w:p>
    <w:p>
      <w:pPr>
        <w:spacing w:after="0" w:line="117" w:lineRule="exact"/>
        <w:rPr>
          <w:sz w:val="20"/>
          <w:szCs w:val="20"/>
          <w:color w:val="auto"/>
        </w:rPr>
      </w:pPr>
    </w:p>
    <w:p>
      <w:pPr>
        <w:ind w:left="104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salaries and related expenses, including stock-based compensation and benefits for our employees involved in our drug discovery and development activities;</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 incurred under agreements with third-party contract research organizations (CROs) and investigative sites;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material expense for third-party manufacturing;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costs such as rent, utilities and depreciation.</w:t>
      </w:r>
    </w:p>
    <w:p>
      <w:pPr>
        <w:spacing w:after="0" w:line="225"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expect our future research and development spending will also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program for the three and six months ended June 30, 2019 and 2018 are shown in the following table:</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APVO436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APVO210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IXINITY</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APVO436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APVO210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IXINITY</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$2.0 million and $2.9 million for the three and six months ended June 30, 2019 compared to the three and six months ended June 30, 2018, respectively. These changes were primarily comprised of:</w:t>
      </w:r>
    </w:p>
    <w:p>
      <w:pPr>
        <w:spacing w:after="0" w:line="54"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expenses for APVO436 is primarily due to the timing of manufacturing and clinical trial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expense for APVO210 is primarily due to the timing of manufacturing and clinical trial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expenses for other clinical programs is due to discontinuing two of our clinical trials in 2018; offset by</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expenses for our preclinical program, general research and discovery programs, which is primarily related to research and development activities around new pipeline product candidates or programs as they are being evaluated;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expense for IXINITY associated with start-up costs relating to the pediatric clinical study which will be commencing in 2019.</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personnel-related costs and professional fees in support of our executive, IXINITY sales and marketing, business development, finance, accounting, information technology, quality assurance, legal and human resource functions. Other costs include facility costs not otherwise included in cost of product sales or research and development expenses.</w:t>
      </w:r>
    </w:p>
    <w:p>
      <w:pPr>
        <w:spacing w:after="0" w:line="17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2019, selling, general and administrative expenses decreased by $0.5 million, or 7%, to $6.5 million from $7.0 million for June 30, 2018. This decrease was primarily due to reduced personnel and professional services costs.</w:t>
      </w:r>
    </w:p>
    <w:p>
      <w:pPr>
        <w:spacing w:after="0" w:line="162"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2019, selling, general and administrative expenses decreased by $0.7 million, or 5%, to $13.9 million from $14.6 million for June 30, 2018. This decrease was primarily due to reduced personnel and professional services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188"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We believe the judgments, estimates and assumptions associated with the following critical accounting policies have the greatest potential impact on our condensed consolidated financial statements:</w:t>
      </w:r>
    </w:p>
    <w:p>
      <w:pPr>
        <w:spacing w:after="0" w:line="54"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June 30, 2019.</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have financed our operations to date primarily through revenue generated from our commercial products, the sale of the Hyperimmune Products, public offerings of our common stock, loan proceeds, license fees, milestone payments and research and development funding from strategic partners, and funds received at the date of our spin-off from Emergent. As of June 30, 2019, we had cash, and cash equivalents in the amount of $28.5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regarding our cash flows for the six months ended June 30, </w:t>
      </w:r>
      <w:r>
        <w:rPr>
          <w:rFonts w:ascii="Times New Roman" w:cs="Times New Roman" w:eastAsia="Times New Roman" w:hAnsi="Times New Roman"/>
          <w:sz w:val="18"/>
          <w:szCs w:val="18"/>
          <w:color w:val="231F20"/>
        </w:rPr>
        <w:t>2019 and 2018:</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6"/>
        </w:trPr>
        <w:tc>
          <w:tcPr>
            <w:tcW w:w="69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(29,735)</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(32,984)</w:t>
            </w: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2019 was primarily due to our net loss of $25.4 million and changes in working capital accounts. Net cash used in operating activities for the six months ended June 30, 2018 was primarily due to our net loss of $27.0 million, and changes in working capital accounts.</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2019, was due to the purchase of property and equipment. For the six months ended June 30, 2018, the largest components of the cash provided by investing activities was primarily due to the maturity and redemption of investments of $52.8 million, offset by investment purchases of $16.5 million.</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2019 is primarily due to $20.3 million received from the issuance of common stock and related warrants and the exercise of warrants. Net cash used in financing activities for the six months ended June 30, 2018 was primarily due to the payment of tax liability associated with restricted stock units that vested in the quarter.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Public Offering – March 2019</w:t>
      </w:r>
    </w:p>
    <w:p>
      <w:pPr>
        <w:spacing w:after="0" w:line="11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On March 11, 2019, we completed a public offering relating to the issuance and sale of 19,850,000 shares of our common stock and warrants to purchase up to 19,850,000 shares of common stock at $1.30 per share, as well as pre-funded warrants to purchase up to 2,150,000 shares of common stock at an exercise prices of $0.01 per share and 2,150,000 of related warrants to purchase shares of common stock at $1.30 per share. We received net proceeds of $20.2 million, after underwriting fees, legal fees, and other expenses. If the remaining warrants are fully exercised in the future, additional proceeds to be received upon exercise of these warrants totals up to $28.6 million, which have a five-year life.</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133"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On August 4, 2016, we entered into a Credit and Security Agreement or the Credit Agreement, with MidCap Financial Trust or MidCap.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the Hyperimmune Business under the LLC purchase agreement, and to reflect changes in the remaining business as a result of such sale.</w:t>
      </w:r>
    </w:p>
    <w:p>
      <w:pPr>
        <w:spacing w:after="0" w:line="21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and (iii) a new covenant requiring us to maintain a minimum $10.0 million unrestricted cash balance.</w:t>
      </w:r>
    </w:p>
    <w:p>
      <w:pPr>
        <w:spacing w:after="0" w:line="224"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202"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On August 6, 2018, we entered into an Amended and Restated Credit and Security Agreement, or the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$10.0 million to $5.0 million. On December 14, 2018, we entered into an amendment to the Amended Credit Agreement to amend certain provisions as related to our Equity Distribution Agreement.</w:t>
      </w:r>
    </w:p>
    <w:p>
      <w:pPr>
        <w:spacing w:after="0" w:line="21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In January 2019, our unrestricted cash level fell below $25.0 million which triggered the effectiveness of a security agreement in favor of MidCap with respect to our registered intellectual property to secure our obligations under the Amended Credit Agreement.</w:t>
      </w:r>
    </w:p>
    <w:p>
      <w:pPr>
        <w:spacing w:after="0" w:line="20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Additionally, this facility is subject to a subjective acceleration clause that could be invoked by the lender upon the occurrence of any event the lender deems to have a material adverse effect on our ability to repay the lender. We believe the likelihood of an acceleration of the due date for this obligation is remote.</w:t>
      </w:r>
    </w:p>
    <w:p>
      <w:pPr>
        <w:spacing w:after="0" w:line="17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obligations under the Amended Credit Agreement will mature on February 1, 2023. Amounts drawn under the Amended Credit Agreement continue to accrue interest at a rate of LIBOR plus 7.60% per annum</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1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On November 9, 2017, we entered into an Equity Distribution Agreement with Piper Jaffray. The Equity Distribution Agreement provides that, upon the terms and subject to the conditions set forth therein, we may issue and sell through Piper Jaffray, acting as sales agent, shares of our common stock having an aggregate offering price of up to $17.5 million. We have no obligation to sell any such shares under the Equity Distribution Agreement. The sale of the shares of our common stock by Piper Jaffray will be effected pursuant to a Registration Statement on Form S-3 which we filed on November 9, 2017. We have issued 13,265 shares under the Equity Distribution Agreement as of June 30, 2019.</w:t>
      </w:r>
    </w:p>
    <w:p>
      <w:pPr>
        <w:spacing w:after="0" w:line="184"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Equity Distribution Agreement will terminate upon the issuance and sale of all shares under the Equity Distribution Agreement or upon the earlier termination thereof at any time by us or Piper Jaffray upon notice to the other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Purchase Agreement</w:t>
      </w:r>
    </w:p>
    <w:p>
      <w:pPr>
        <w:spacing w:after="0" w:line="133"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On December 20, 2018 we entered into the Purchase Agreement, and a registration rights agreement, with Lincoln Park, pursuant to this agreement Lincoln Park has committed to purchase up to $35.0 million worth of our common stock over a 36-month period commencing on February 13, 2019, the date the registration statement covering the resale of the shares was deemed effective by the SEC. Pursuant to this purchase agreement we issued 105,467 commitment shares of common stock in December 2018, and 195,867 commitment shares of common stock in the first quarter of 2019.</w:t>
      </w:r>
    </w:p>
    <w:p>
      <w:pPr>
        <w:spacing w:after="0" w:line="2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Under the Purchase Agreement, on any business day selected by us, we may direct Lincoln Park to purchase shares of our common stock provided that Lincoln Park’s maximum commitment on any single day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w:t>
      </w:r>
    </w:p>
    <w:p>
      <w:pPr>
        <w:spacing w:after="0" w:line="21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Actual sales of shares of our common stock to Lincoln Park under the Purchase Agreement will depend on a variety of factors as determined by us from time to time,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significant operating losses from inception and we expect to incur significant operating losses in the future. We have funded our operations primarily through sales of our equity securities, utilization of our credit agreement, the sale of our former hyperimmune business, and payments from our former parent. For the three and six months ended June 30, 2019, we had a net loss of $13.3 million and $25.4 million. We had working capital of $27.1 million, cash and cash equivalents of $21 million, restricted cash of $7.5 million and an accumulated deficit of $152.8 million as of June 30, 2019. For the six months ended June 30, 2019, net cash used in our operating activities was $29.7 million. While we continue to generate cash inflows from the sale of IXINITY, exclusive of selling and marketing costs, our results of operations will be highly dependent on IXINITY sales unless or until we develop or partner any of our development stage product candidates and we expect to continue spending significantly on research and development and in marketing IXINITY. We believe that our existing cash resources, the cash to be generated from future product sales, and the $4.3 million we received from Saol in August 2019, will be sufficient to meet our projected operating requirements and debt service for at least twelve months from the date of this Form 10-Q filing.</w:t>
      </w:r>
    </w:p>
    <w:p>
      <w:pPr>
        <w:spacing w:after="0" w:line="18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may pursue the sale of additional equity or convertible debt securities, which may include the additional sales of our common stock, through our existing Purchase Agreement with Lincoln Park Financial LLC or our Equity Distribution Agreement with Piper Jaffray or other public or private equity or convertible debt financings. In addition, we may seek to partner or sell a portion or all rights to IXINITY or product candidates.</w:t>
      </w:r>
    </w:p>
    <w:p>
      <w:pPr>
        <w:spacing w:after="0" w:line="17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may result in additional dilution to our stockholders. If we raise additional funds through the issuance of debt securities or preferred stock or through additional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raise substantial additional capital, whether on terms that are acceptable to us, or at all then we may be required to:</w:t>
      </w:r>
    </w:p>
    <w:p>
      <w:pPr>
        <w:spacing w:after="0" w:line="117"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clinical trials or other development activities for one or more of our product candidates; and/or</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sales and marketing capabilities or other activities that may be necessary to commercialize our product candidates, if approved.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25" w:name="page26"/>
    <w:bookmarkEnd w:id="25"/>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Since our Annual Report on Form 10-K for the year ended December 31, 2018 that was filed with the SEC on March 18, 2019, we have entered into an amendment to our building lease. See Note 6 – Leases for our future contractual obligations as of June 30,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As of June 30, 2019, there were no material changes to the information provided under Item 7A, Quantitative and Qualitative Disclosures About Market Risk in our Annual Report filed on Form 10-K for the year ended December 31, 2018 and filed on March 18,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As of June 30, 2019,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June 30, 2019,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June 30, 2019, that have materially affected, or are reasonably likely to materially affect, our internal control over financial reporting.</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Quarterly Report on Form 10-Q in evaluating us and our common stock. Any of the following risks could materially and adversely affect our results of operations, financial condition or financial prospects.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2019, we had a net loss of $25.4 million. Except for the third quarter of 2017 and year ended December 31, 2017, we have experienced net losses in all other periods since our spin-off from Emergent. The net income for the third quarter of 2017 and year ended December 31, 2017 were the result of our receipt of proceeds from the sale of our Hyperimmune Business in September 2017. As of June 30, 2019, we had an accumulated deficit of $152.8 million.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As of June 30, 2019, we had cash, cash equivalents, and restricted cash in the amount of $28.5 million. We will require additional funding to grow our business including to develop additional products, support commercial marketing activities or otherwise provide additional financial flexibility. If we are not able to secure adequate additional funding, we plan to make reductions in spending. This may include extending payment terms with suppliers, liquidating assets, and suspending or curtailing planned programs. We may also have to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80"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cost of IXINITY sales;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of accounts receivable from customers;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comply with the continued listing requirements of the Nasdaq Global Market and the risk that our common shares will be delisted if we cannot do so;</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our credit agreement or any future indebtedness;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including product marketing, sales and distribution; and</w:t>
      </w:r>
    </w:p>
    <w:p>
      <w:pPr>
        <w:spacing w:after="0" w:line="225"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Future issuances of common stock may include (i) any sale of up to $17.5 million worth of shares of our common stock pursuant to our Equity Distribution Agreement with Piper Jaffray &amp; Co entered into in November 2017, (ii) any sale of up to $35.0 million worth of shares of our common stock in a private placement pursuant to our Purchase Agreement with Lincoln Park Capital Fund, LLC, or Lincoln Park, entered into in December 2018, and (iii) the issuance of up to 22,000,000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7" w:name="page28"/>
    <w:bookmarkEnd w:id="27"/>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rely on only one revenue-generating product, IXINITY.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have only one revenue-generating product, IXINITY. The commercial success of IXINITY depends upon:</w:t>
      </w:r>
    </w:p>
    <w:p>
      <w:pPr>
        <w:spacing w:after="0" w:line="117"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regulators, physicians, patients and other key decision-makers of IXINITY as a safe, therapeutic and cost-effective option;</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IXINITY and obtain marketing approval for its use in additional patient populations and the clinical data we generate to support expansion of the product label;</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AGC Biologics and other third-party service providers to provide us with sufficient IXINITY bulk drug substance and finished IXINITY product;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existing competitive products and from competitive products that may be approved in the future;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safety and efficacy of IXINITY;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what extent and in what amount government and third-party payors cover or reimburse for the costs of IXINITY;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the success of our third-party distributors in selling and marketing IXINITY.</w:t>
      </w:r>
    </w:p>
    <w:p>
      <w:pPr>
        <w:spacing w:after="0" w:line="225"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failure to maximize the financial contribution of IXINITY could have a material adverse effect on our business, financial condition, results of operations and growth prospects. We may choose to increase the price of IXINITY, and these price adjustments may negatively affect our sales volumes. In addition, our product sales may fluctuate significantly from quarter to quarter, depending on the number of patients receiving treatment, the availability of supply to meet the demand for IXINITY, the dosing requirements of treated patients and other factors. If sales of IXINITY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include any current collaborations and collaborations or a sale of assets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3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IXINITY revenue figures will likely fluctuate from month to month. IXINITY sales are difficult to predict from period to period and as a result, you should not rely on IXINITY sales results in any period as being indicative of future performance, and sales of IXINITY may be below the expectations of management, securities analysts or investors in the future. We believe that our quarterly and annual results of operations may be affected by a variety of factors, including:</w:t>
      </w:r>
    </w:p>
    <w:p>
      <w:pPr>
        <w:spacing w:after="0" w:line="86" w:lineRule="exact"/>
        <w:rPr>
          <w:sz w:val="20"/>
          <w:szCs w:val="20"/>
          <w:color w:val="auto"/>
        </w:rPr>
      </w:pPr>
    </w:p>
    <w:p>
      <w:pPr>
        <w:ind w:left="104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commercial sales of IXINITY as well as our product candidates, if and when such candidates are approved or commercialized;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coverage and reimbursement for IXINITY and the amount of IXINITY chargebacks, rebates and product returns;</w:t>
      </w:r>
    </w:p>
    <w:p>
      <w:pPr>
        <w:spacing w:after="0" w:line="117"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8"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22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addition, the number of indications in which IXINITY or any of our product candidates, if commercialized, would be used may be significantly less than the total number of such indications or total possible market size. These and other factors, including our limited history of product sales, may make it difficult for us to forecast and provide accurate guidance (including updates to prior guidance) related to our expected financial performance. If our operating results are below the expectations of securities analysts or investors, the trading price of our stock could decline.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credit agreement may restrict the operation of our business and limit the cash available for investment in our business operations.</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August 2016, we entered into a Credit and Security Agreement, or the Credit Agreement, by and among us and certain our subsidiaries as borrowers, MidCap Financial Trust, as agent, and the lenders from time to time party thereto. The Credit Agreement was amended and restated in August 2018 and amended again in December 2018. The terms of the Credit Agreement, as amended, and borrowings we may make under the Credit Agreement in the future, could have significant adverse consequences for our business, including:</w:t>
      </w:r>
    </w:p>
    <w:p>
      <w:pPr>
        <w:spacing w:after="0" w:line="72" w:lineRule="exact"/>
        <w:rPr>
          <w:sz w:val="20"/>
          <w:szCs w:val="20"/>
          <w:color w:val="auto"/>
        </w:rPr>
      </w:pPr>
    </w:p>
    <w:p>
      <w:pPr>
        <w:ind w:left="104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any cash flow from operations to payment on our debt, which would reduce the amounts available to fund other corporate initiatives;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interest that we have to pay on borrowings under the Credit Agreement if market rates of interest increase;</w:t>
      </w:r>
    </w:p>
    <w:p>
      <w:pPr>
        <w:spacing w:after="0" w:line="117"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complying with affirmative covenants including payment, reporting and revenue covenants; and</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better debt servicing options or stronger debt servicing capacity.</w:t>
      </w:r>
    </w:p>
    <w:p>
      <w:pPr>
        <w:spacing w:after="0" w:line="162"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may not have sufficient funds or be able to obtain additional financing to pay the amounts due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sale of IXINITY or any other product candidates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84"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If we cannot successfully defend ourselves against future claims that IXINITY or our product candidates caused injuries, we may incur substantial liabilities. Regardless of merit or eventual outcome, product liability claims may result in:</w:t>
      </w:r>
    </w:p>
    <w:p>
      <w:pPr>
        <w:spacing w:after="0" w:line="54" w:lineRule="exact"/>
        <w:rPr>
          <w:sz w:val="20"/>
          <w:szCs w:val="20"/>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commercialize products that we may develop.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9" w:name="page30"/>
    <w:bookmarkEnd w:id="29"/>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IXINITY or any product candidates we successfully develop, withdrawal of clinical trial participants and potential termination of clinical trial sites or entire clinical programs, and could cause our stock price to fall.</w:t>
      </w:r>
    </w:p>
    <w:p>
      <w:pPr>
        <w:spacing w:after="0" w:line="18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Product recalls may be issued at our discretion or at the discretion of our suppliers, government agencies and other entities that have regulatory authority for pharmaceutical sales. Any recall of IXINITY could materially adversely affect our business by rendering us unable to sell IXINITY for some time and by adversely affecting our reputation. A recall could also result in product liability claims by individuals and third-party payors. In addition, product liability claims could result in an investigation of the safety or efficacy of IXINITY, our manufacturing processes and facilities, or our marketing programs conducted by the FDA, the European Medicines Agency, or EMA, or the competent authorities of the EU Member States. Such investigations could also potentially lead to a recall of IXINITY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2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5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periodic litigation, which could result in losses or unexpected expenditure of time and resources.</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comprehensive tax reform bill could adversely affect our business and financial condition.</w:t>
      </w:r>
    </w:p>
    <w:p>
      <w:pPr>
        <w:spacing w:after="0" w:line="135"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new legislation that significantly revises the Internal Revenue Code of 1986, as amended. The newly enacted federal income tax law, among other things, contains significant changes to corporate taxation, including a reduction of the corporate tax rate from a top marginal rate of 35% to a flat rate of 21%, limitation of the deduction for net operating losses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limitations.</w:t>
      </w:r>
    </w:p>
    <w:p>
      <w:pPr>
        <w:spacing w:after="0" w:line="135"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As of December 31, 2018, we had approximately $20.3 million and $2.3 million of federal and state net operating loss carryforwards, respectively, available to reduce future taxable income that will begin to expire in 2028 for federal purposes and 2018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assessed whether such an ownership change has previously occurred, including as a result of our March 2019 public offering of common stock and warrants. In addition, we may experience ownership changes in the future as a result of subsequent shifts in our stock ownership, some of which may be outside of our control. If an ownership change has occurred or occurs in the future and our ability to use our net operating loss carryforwards is materially limited, it would harm our future operating results by effectively increasing our future tax obligations.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8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Undesirable side effects,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72"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w:t>
      </w:r>
    </w:p>
    <w:p>
      <w:pPr>
        <w:spacing w:after="0" w:line="12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8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88"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88"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For example, in 2018, we announced the discontinuation of development of APVO414 and otlertuzumab as a result of clinical trial results.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platform.</w:t>
      </w:r>
    </w:p>
    <w:p>
      <w:pPr>
        <w:spacing w:after="0" w:line="12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IXINITY,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26"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We believe that our most significant competitors in the hematology/oncology and inflammation markets include: AbbVie Inc., Aduro, Inc., Affirmed, Amgen Inc., AnaptysBio, Inc., Astellas Pharma Inc., Bayer AG, Biogen Idec Inc., Bioverativ Therapeutics Inc., Boehringer Ingelheim GmbH, CSL Behring, a subsidiary of CSL Limited, Dendron Corp., Genentech Inc. (a subsidiary of F. Hoffmann-La Roche Ltd.), Genmab A/S, Gilead Sciences, Inc., GlaxoSmithKline plc, Grifols USA LLC, ImmunoGen, Inc., Immunomedics, Inc., Janssen BioTech Inc., Johnson &amp; Johnson, Macrogenics, Inc., Novartis International AG, Pieris Pharmaceuticals, Inc., Pfizer Inc., Sanofi-Adventis US LLC, Shire US Inc., Takeda Pharmaceuticals U.S.A., Inc., Xencor, Inc. and Zymeworks Biopharmaceuticals, Inc. We compete, in the case of IXINITY, and expect to compete, in the cases of our product candidates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86"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similar to IXINITY. Each of our sales representatives is responsible for a territory of significant size. The continued growth of IXINITY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of IXINITY. IXINITY and our product candidates may also compete in the future with new products currently under development by others or biosimilar products. Any products that we develop are likely to be in a highly competitive market, and many of our competitors may succeed in developing products before we do or in developing products that may render our products obsolete or noncompetitive.</w:t>
      </w:r>
    </w:p>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IXINITY or 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The success of IXINITY and our product candidates, if approved, will depend upon, among other things, their acceptance by physicians, patients, third-party payors and other members of the medical community as a therapeutic and cost-effective alternative to competing products and treatments. If IXINITY or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8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In the United States and internationally, sales of IXINITY and our ability to generate revenues on such sales are dependent, in significant part, on the availability of coverage and level of reimbursement from third-party payors, including government payors, such as Medicare and Medicaid,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adequate reimbursement for IXINITY or any future drug product we may market, these products may be too costly for general use, and physicians may prescribe them less frequently. Our ability to successfully commercialize IXINITY and product candidates and the demand for our products depends, in part, on the extent to which reimbursement and access is available from such third-party payors.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3" w:name="page34"/>
    <w:bookmarkEnd w:id="33"/>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addition, particularly in the United States and increasingly in other countries, we are required to provide discounts and pay rebates to state and federal governments and agencies in connection with purchases of IXINITY that are reimbursed by such entities. Various provisions of the Patient Protection and Affordable Care Act (as amended by the Health Care and Education Reconciliation Act), or ACA, increased the levels of rebates and discounts that we have to provide in connection with sales of IXINITY that are paid for, or reimbursed by, certain state and federal government agencies and programs. It is possible that future legislation and regulatory changes in the United States and other jurisdictions could be enacted, which could potentially impact the reimbursement rates for IXINITY and also could further impact the levels of discounts and rebates we are required to pay to state and federal government entities.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revenues will depend on the availability outside the United States of adequate coverage, pricing and reimbursement from third-party payors for IXINITY, if we pursue registration and sale of IXINITY outside of the United States, and future drug products, if any.</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future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convince hospitals and managed care organizations to include IXINITY on their approved formulary lists, may result in our failure to meet revenue expectations.</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IXINITY on favorable terms or are significantly delayed in doing so, we may have difficulty achieving market acceptance of IXINITY and our business, results of operations and financial condition could be materially adversely affected.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legislature reform measures may have a material adverse effect on our business and results of operations.</w:t>
      </w:r>
    </w:p>
    <w:p>
      <w:pPr>
        <w:spacing w:after="0" w:line="135" w:lineRule="exact"/>
        <w:rPr>
          <w:sz w:val="20"/>
          <w:szCs w:val="20"/>
          <w:color w:val="auto"/>
        </w:rPr>
      </w:pPr>
    </w:p>
    <w:p>
      <w:pPr>
        <w:jc w:val="both"/>
        <w:ind w:firstLine="518"/>
        <w:spacing w:after="0" w:line="252"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 &amp; Jobs Act. While the Texas U.S. District Court Judge, as well as the current U.S. Presidential administration and the Centers for Medicare and Medicaid Services, or CMS, have stated that the ruling will have no immediate effect pending appeal of the decision,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22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4" w:name="page35"/>
    <w:bookmarkEnd w:id="34"/>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193"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IXINITY or any product candidates we successfully develop or additional pricing pressures.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negotiate and maintain satisfactory arrangements with group purchasing organizations and our distributors our financial condition could be adversely affected.</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Our ability to sell IXINITY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IXINITY,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18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Additionally,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loss of any of our sole source manufacturers, or delays or problems in the manufacture of </w:t>
      </w:r>
      <w:r>
        <w:rPr>
          <w:rFonts w:ascii="Times New Roman" w:cs="Times New Roman" w:eastAsia="Times New Roman" w:hAnsi="Times New Roman"/>
          <w:sz w:val="18"/>
          <w:szCs w:val="18"/>
          <w:color w:val="auto"/>
        </w:rPr>
        <w:t>IXINITY</w:t>
      </w:r>
      <w:r>
        <w:rPr>
          <w:rFonts w:ascii="Times New Roman" w:cs="Times New Roman" w:eastAsia="Times New Roman" w:hAnsi="Times New Roman"/>
          <w:sz w:val="18"/>
          <w:szCs w:val="18"/>
          <w:b w:val="1"/>
          <w:bCs w:val="1"/>
          <w:i w:val="1"/>
          <w:iCs w:val="1"/>
          <w:color w:val="auto"/>
        </w:rPr>
        <w:t xml:space="preserve"> or our product candidates, could result in product shortages and loss in revenue or delays in clinical development.</w:t>
      </w:r>
    </w:p>
    <w:p>
      <w:pPr>
        <w:spacing w:after="0" w:line="5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sole source third-party suppliers, including AGC Biologics, for our products and product candidates. Accordingly, our ability to develop and deliver products in a timely and competitive manner depends on our third-party manufacturers being able to continue to meet our ongoing commercial and clinical trial needs and perform their contractual obligations. Increases in the prices we pay our suppliers, interruptions in the supply of raw materials or IXINITY or lapses in quality could adversely impact our margins, profitability, cash flows and prospects.</w:t>
      </w:r>
    </w:p>
    <w:p>
      <w:pPr>
        <w:spacing w:after="0" w:line="184"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If, for any reason, AGC, sole manufacturer of bulk drug substance for our IXINITY product, does not continue to supply us with IXINITY in a timely fashion and in compliance with applicable quality and regulatory requirements, or otherwise fails or refuses to comply with its obligations to us under our manufacturing arrangement, we may not have adequate remedies for any breach of contract, and its failure to supply us could result in a shortage of IXINITY, which could lead to lost revenue and otherwise adversely affect our business, financial condition, results of operations and growth prospects. In addition, if AGC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IXINITY. Because of contractual restraints and the lead-time necessary to obtain FDA approval of a new manufacturer, replacement of any of AGC may be expensive and time consuming and may cause interruptions in our supply of IXINITY to our customers or an inability to manufacture.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Manufacturer of our products and product candidates, especially in large quantities, is complex and time consuming.</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IXINITY and all of our current product candidates are biologics. IXINITY and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APVO210,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85"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commercialization of IXINITY and our product candidates may be terminated or delayed.</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IXINITY and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IXINITY and our product candidates in development, our results of operations would be materially and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and uncertainties associated with our international activities and operations.</w:t>
      </w:r>
    </w:p>
    <w:p>
      <w:pPr>
        <w:spacing w:after="0" w:line="121"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We currently have limited operations outside of the United States. However, we have manufacturing, collaboration, clinical trial and other relationships outside the United States, and we may seek to grow our international operations significantly over the next several years. Our future results of operations will depend in part on our ability to grow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4"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84"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88"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88"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62"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Certain of our products in development have experienced regulatory and/or clinical setbacks. For example, in December 2015, after a review of data from the Phase 1 dose escalation study of APVO414 in prostate cancer patients, we concluded that the dosing regimen and administration required adjustment. Patients receiving weekly doses of APVO414 developed ADA. ADA developed in most patients including those receiving the maximum tolerated dose of drug that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The protocol was amended to continuous intravenous infusion which delayed the development of ADA compared to the weekly IV infusion. However, with longer dosing, ADA developed that cleared the drug from the blood in some patients. We elected to discontinue the development of APVO414 and are no longer enrolling patients into the Phase 1 clinical study, although we will continue to monitor the patients remaining on the therapy.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7" w:name="page38"/>
    <w:bookmarkEnd w:id="37"/>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addition, in 2018 we commenced a pilot Phase 2 clinical trial of otlertuzumab in combination with bendamustine in peripheral T cell lymphoma (PTCL). Otlertuzumab is a first-generation monospecific antibody targeting CD37. Reports in the literature showed that CD37 appeared to be overexpressed in various T-cell lymphomas, suggesting a potential role for otlertuzumab in the treatment of T-cell malignancies. One patient showed a complete response, there was some evidence of tumor regression (43% in primary tumor) in a second patient, and there has been no evidence of an early response in the remaining patients. Preliminary immunohistochemistry analysis has revealed that the number of patients with tumors expressing CD37, and the degree of CD37 expression within the tumors, is much lower than that found on panels of PTCL patient samples that were tested prior to the initiation of the pilot study. At this time, we have elected to discontinue the otlertuzumab development program and to close the study to further enrollment, although we will continue to monitor patients remaining on therapy and to explore options to partner or sell this asset.</w:t>
      </w:r>
    </w:p>
    <w:p>
      <w:pPr>
        <w:spacing w:after="0" w:line="185"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IXINITY or any of our future product candidates if approved.</w:t>
      </w:r>
    </w:p>
    <w:p>
      <w:pPr>
        <w:spacing w:after="0" w:line="67"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Any regulatory approval is limited to those specific diseases, indications and patient populations for which a product is deemed to be safe and effective by the FDA. For example, the FDA-approved label for IXINITY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84"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trials and approved by the regulatory authorities, our ability to promote the products is limited to those indications and patient populations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8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other regulatory or enforcement authorities determine that our communications regarding our marketed product are not in compliance with the relevant regulatory requirements and that we have improperly promoted off-label uses, or that our communications regarding our investigational products are not in compliance with the relevant regulatory requirements and that we have improperly engaged in pre-approval promotion, we may be subject to significant liability, including civil and administrative remedies as well as criminal sanctions.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face regulatory, legal or commercial challenges even after approval.</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85"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addition, the FDA has post-approval authority to require post-approval clinical trials and/or safety labeling changes if warranted by the appearance of new safety information. In certain circumstances, the FDA may impose a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w:t>
      </w:r>
    </w:p>
    <w:p>
      <w:pPr>
        <w:spacing w:after="0" w:line="18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Failure by AGC or our other third-party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The FDA enforces its cGMP and other requirements through periodic unannounced inspections of manufacturing facilities. If, in connection with any future inspection, the FDA finds that any of our third-party manufacturers is not in substantial compliance with cGMP requirements, or if the FDA is not satisfied with the corrective actions such manufacturer may take, the FDA may undertake certain enforcement actions, including product seizure or withdrawal of the product from the market, imposition of restrictions on the marketing or manufacturing of a product and suspension or withdrawal of regulatory approvals or refusal to approve pending applications or supplements.</w:t>
      </w:r>
    </w:p>
    <w:p>
      <w:pPr>
        <w:spacing w:after="0" w:line="18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040" w:hanging="519"/>
        <w:spacing w:after="0" w:line="25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79" w:lineRule="exact"/>
        <w:rPr>
          <w:rFonts w:ascii="Times New Roman" w:cs="Times New Roman" w:eastAsia="Times New Roman" w:hAnsi="Times New Roman"/>
          <w:sz w:val="18"/>
          <w:szCs w:val="18"/>
          <w:color w:val="auto"/>
        </w:rPr>
      </w:pPr>
    </w:p>
    <w:p>
      <w:pPr>
        <w:jc w:val="both"/>
        <w:ind w:left="1040" w:hanging="519"/>
        <w:spacing w:after="0" w:line="258"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9" w:name="page40"/>
    <w:bookmarkEnd w:id="39"/>
    <w:p>
      <w:pPr>
        <w:jc w:val="both"/>
        <w:ind w:left="1040" w:hanging="519"/>
        <w:spacing w:after="0" w:line="255"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1" w:lineRule="exact"/>
        <w:rPr>
          <w:rFonts w:ascii="Times New Roman" w:cs="Times New Roman" w:eastAsia="Times New Roman" w:hAnsi="Times New Roman"/>
          <w:sz w:val="18"/>
          <w:szCs w:val="18"/>
          <w:color w:val="auto"/>
        </w:rPr>
      </w:pPr>
    </w:p>
    <w:p>
      <w:pPr>
        <w:jc w:val="both"/>
        <w:ind w:left="1040" w:hanging="519"/>
        <w:spacing w:after="0" w:line="25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79" w:lineRule="exact"/>
        <w:rPr>
          <w:rFonts w:ascii="Times New Roman" w:cs="Times New Roman" w:eastAsia="Times New Roman" w:hAnsi="Times New Roman"/>
          <w:sz w:val="18"/>
          <w:szCs w:val="18"/>
          <w:color w:val="auto"/>
        </w:rPr>
      </w:pPr>
    </w:p>
    <w:p>
      <w:pPr>
        <w:jc w:val="both"/>
        <w:ind w:left="1040" w:hanging="519"/>
        <w:spacing w:after="0" w:line="258"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75" w:lineRule="exact"/>
        <w:rPr>
          <w:rFonts w:ascii="Times New Roman" w:cs="Times New Roman" w:eastAsia="Times New Roman" w:hAnsi="Times New Roman"/>
          <w:sz w:val="18"/>
          <w:szCs w:val="18"/>
          <w:color w:val="auto"/>
        </w:rPr>
      </w:pPr>
    </w:p>
    <w:p>
      <w:pPr>
        <w:jc w:val="both"/>
        <w:ind w:left="1040" w:hanging="519"/>
        <w:spacing w:after="0" w:line="255"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85"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88"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184"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ACA and CMS,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Future statutory or regulatory changes or CMS binding guidance could affect the ASP calculations for our products and the resulting Medicare payment rate and could negatively impact our results of operations.</w:t>
      </w:r>
    </w:p>
    <w:p>
      <w:pPr>
        <w:spacing w:after="0" w:line="18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85"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86"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1" w:name="page42"/>
    <w:bookmarkEnd w:id="41"/>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$184,767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18"/>
        <w:spacing w:after="0" w:line="252"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to bring our practices into compliance with the GDPR,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76"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225"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85"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8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80"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88"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3" w:name="page44"/>
    <w:bookmarkEnd w:id="43"/>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Additionally, in January 2019, our unrestricted cash level fell below $25.0 million which triggered the effectiveness of a security agreement in favor of MidCap with respect to our registered intellectual property to secure our obligations under the Amended Credit Agreement. MidCap now holds a security interest in our registered intellectual property and may take ownership of such intellectual property if we do not satisfy our obligations under the Amended Credit Agreement.</w:t>
      </w:r>
    </w:p>
    <w:p>
      <w:pPr>
        <w:spacing w:after="0" w:line="180"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0"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80"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6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outcome of a patent opposition proceeding currently pending in Europe relating to IXINITY is unsuccessful, we may need to identify an additional fill/finish manufacturer, which could result in significant production delays and additional costs associated with moving our fill/finish manufacturing activities and identifying another fill/finish manufacturer</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A European Patent Opposition is a European Patent Office proceeding that allows for an opponent to challenge the validity of an issued patent. A European Patent Opposition is a proceeding that determines only the validity of a patent and does not determine whether a party infringes a patent. To initiate an Opposition at the European Patent Office, an opponent files a notice that it wishes to oppose the patent within a nine-month period following the publication of the patent grant. After the opponent files the notice, it may be a few years before the merits of the opposition are heard and decided by the European Patent Office Opposition Division and several more years before the Boards of Appeal hears and decides on any appeals. We are currently opposing a European patent owned by Baxalta Incorporated, which relates to factor IX proteins such as IXINITY. Depending on the final outcome of the currently pending opposition proceeding, we may be unable to continue to conduct our current IXINITY fill/finish manufacturing activities. We were previously involved in five similar opposition proceedings in Europe relating to factor IX proteins in which Baxter International Inc., former parent of Baxalta, or Baxalta was the patentee or opposing party. None of the previous five oppositions are still pending, and all came to a conclusion in a manner favorable to Aptevo.</w:t>
      </w:r>
    </w:p>
    <w:p>
      <w:pPr>
        <w:spacing w:after="0" w:line="18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Patheon UK Limited, through an affiliate, is currently the sole source third-party manufacturer that provides fill and finish services for our IXINITY product, which conducts such activities in Europe. If, as a result of an adverse outcome in this proceeding, we are required to identify an additional fill/finish manufacturer in another location, we would not be able to do so without significant delay and likely significant additional cost.</w:t>
      </w:r>
    </w:p>
    <w:p>
      <w:pPr>
        <w:spacing w:after="0" w:line="17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In addition, depending on the final outcome of this proceeding, we may be unable to sell factor IX products in Europe relating to the subject matter claimed in the European patent we are opposing.</w:t>
      </w:r>
    </w:p>
    <w:p>
      <w:pPr>
        <w:spacing w:after="0" w:line="16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Although we do not have current marketing authorization for IXINITY in Europe, nor do we sell IXINITY in Europe, if we are unsuccessful in opposing Baxalta’s European patent, we may never be able to obtain marketing authorization to sell IXINITY in Europe or any other recombinant vitamin K dependent products we may develop in the future.</w:t>
      </w:r>
    </w:p>
    <w:p>
      <w:pPr>
        <w:spacing w:after="0" w:line="17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International patent protection is particularly uncertain, and if we are involved in additional opposition proceedings in foreign countries, we may have to expend substantial sums and management resources.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8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88"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that could impact our products and technology.</w:t>
      </w:r>
    </w:p>
    <w:p>
      <w:pPr>
        <w:spacing w:after="0" w:line="18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21" w:lineRule="exact"/>
        <w:rPr>
          <w:sz w:val="20"/>
          <w:szCs w:val="20"/>
          <w:color w:val="auto"/>
        </w:rPr>
      </w:pPr>
    </w:p>
    <w:p>
      <w:pPr>
        <w:jc w:val="both"/>
        <w:ind w:firstLine="518"/>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If we were to experience a prolonged system disruption in our information technology systems or those of certain of our vendors, it could delay or negatively impact our sales of IXINITY or the development and commercialization of our product candidates, which could adversely impact our business. If operations at our facilities were disrupted, it may cause a material disruption in our business if we are not capable of restoring function on an acceptable timeframe. In addition, our information technology systems are potentially vulnerable to data security breaches—whether by employees or others—which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which could disrupt our business, result in increased costs or loss of revenue, and/or result in significant legal and financial exposure. In addition, a data security breach could result in loss of clinical trial data or damage to the integrity of that data. 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Collaborations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5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8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6" w:name="page47"/>
    <w:bookmarkEnd w:id="46"/>
    <w:p>
      <w:pPr>
        <w:ind w:left="52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04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terminate our relationship.</w:t>
      </w:r>
    </w:p>
    <w:p>
      <w:pPr>
        <w:spacing w:after="0" w:line="225"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51"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67"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Since August 1, 2016, the reported closing price of our common stock has fluctuated between $0.67 and $5.94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72" w:lineRule="exact"/>
        <w:rPr>
          <w:sz w:val="20"/>
          <w:szCs w:val="20"/>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or negative announcements by our customers, competitors or suppliers regarding their own performance;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expenses and results of clinical and non-clinical trials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product revenue and results of operations;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conditions and domestic and worldwide financial, economic and political instability;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2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Global Market in the future. Delisting could adversely affect the liquidity of our common stock and the market price of our common stock could decrease.</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The Nasdaq Stock Market LLC has minimum requirements that a company must meet in order to remain listed on Nasdaq, including a requirement that we maintain a minimum closing bid price of $1.00 per share. On April 18, 2019, we received a letter from the listing qualifications department staff of Nasdaq notifying us that for the last 30 consecutive business days the bid price of our common stock had closed below $1.00 per share.</w:t>
      </w:r>
    </w:p>
    <w:p>
      <w:pPr>
        <w:spacing w:after="0" w:line="2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rules, we have 180 calendar days, or until October 15, 2019, to regain compliance with the minimum bid price rule. To regain compliance, the closing bid price of our common stock must be at least $1.00 per share for a minimum of ten consecutive business days before October 15,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If our common stock does not achieve compliance by October 15, 2019, we may be eligible for an additional 180-day period to regain compliance if we submit, prior to October 15, 2019, a transfer application to transfer our listing of shares to the Nasdaq Capital Market. We will be required to meet the continued listing requirement for market value of publicly held shares and all other initial listing standards of the Nasdaq Capital Market, with the exception of the bid price requirement, and must provide written notice to Nasdaq of our intention to cure the deficiency during the second compliance period by effecting a reverse stock split, if necessary. However, if it appears to the Nasdaq staff that we will not be able to cure the deficiency, or if we do not meet the other listing standards, Nasdaq could provide notice that our common stock will become subject to delisting. In the event we receive notice that our common stock is being delisted, Nasdaq rules permit us to appeal any delisting determination by the Nasdaq staff to a hearings panel.</w:t>
      </w:r>
    </w:p>
    <w:p>
      <w:pPr>
        <w:spacing w:after="0" w:line="21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intend to actively monitor the closing bid price of our common stock between now and October 15, 2019 and will evaluate available options to resolve the deficiency and regain compliance with the minimum bid price rule. However, if our common stock were to be delisted, the liquidity of our common stock would be adversely affected and the market price of our common stock could decrease.</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17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p>
      <w:pPr>
        <w:spacing w:after="0" w:line="76" w:lineRule="exact"/>
        <w:rPr>
          <w:sz w:val="20"/>
          <w:szCs w:val="20"/>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special written suitability determination for the purchaser;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purchaser’s written agreement to the transaction prior to sale;</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purchaser with risk disclosure documents which identify certain risks associated with investing in “penny stocks” and which describe the market for these “penny stocks” as well as a purchaser’s legal remedies; and</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signed and dated acknowledgment from the purchaser demonstrating that the purchaser has actually received the required risk disclosure document before a transaction in a “penny stock” can be completed.</w:t>
      </w:r>
    </w:p>
    <w:p>
      <w:pPr>
        <w:spacing w:after="0" w:line="16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As a result of these requirements, the market price of our securities may be adversely impacted, and current stockholders may find it more difficult to sell our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17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Future issuances of common stock may include (i) any sale of up to $17.5 million worth of shares of our common stock pursuant to our Equity Distribution Agreement with Piper Jaffray &amp; Co entered into in November 2017, (ii) any sale of up to $35.0 million worth of shares of our common stock in a private placement pursuant to our Purchase Agreement with Lincoln Park, entered into in December 2018 and (iii) the issuance of up to 22,000,000 share of common stock upon the exercise of warrants issued in connection with our March 2019 public offering of common stock and warrants.</w:t>
      </w:r>
    </w:p>
    <w:p>
      <w:pPr>
        <w:spacing w:after="0" w:line="180"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22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0"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5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2019, Aptevo Therapeutics Inc. (“ATI”), Aptevo BioTherapeutics LLC, a wholly owned subsidiary of ATI, and Venus BioTherapeutics Sub LLC, a wholly owned subsidiary of Aptevo BioT, entered into an amendment to LLC purchase agreement (the “Amendment”) with Saol International Limited (“Saol”) to amend certain provisions of the LLC purchase agreement by and among the parties, dated August 31, 2017 (the “Purchase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 amends the terms of the milestone payment payable by Saol to ATI. Pursuant to the Amendment, Saol made a milestone payment to ATI in the amount of $4,250,000 on or before August 7, 2019 in lieu of any milestones payable upon the achievement of certain gross profit thresholds as provided in the original Purchase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is only a summary of the material terms of the Amendment, and does not purport to be complete and is qualified in its entirety by reference to the full text of the Amendment, which is filed as an exhibit to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6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18"/>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60" w:type="dxa"/>
            <w:vAlign w:val="bottom"/>
            <w:vMerge w:val="restart"/>
          </w:tcPr>
          <w:p>
            <w:pPr>
              <w:ind w:left="4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10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10460" w:type="dxa"/>
            <w:vAlign w:val="bottom"/>
            <w:gridSpan w:val="5"/>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Amendment to LLC Purchase Agreement, dated as of August 31, 2017, by and among Aptevo BioTherapeutics LLC, Aptevo Therapeutics Inc.,</w:t>
              </w:r>
            </w:hyperlink>
          </w:p>
        </w:tc>
      </w:tr>
      <w:tr>
        <w:trPr>
          <w:trHeight w:val="196"/>
        </w:trPr>
        <w:tc>
          <w:tcPr>
            <w:tcW w:w="960" w:type="dxa"/>
            <w:vAlign w:val="bottom"/>
          </w:tcPr>
          <w:p>
            <w:pPr>
              <w:spacing w:after="0"/>
              <w:rPr>
                <w:sz w:val="17"/>
                <w:szCs w:val="17"/>
                <w:color w:val="auto"/>
              </w:rPr>
            </w:pPr>
          </w:p>
        </w:tc>
        <w:tc>
          <w:tcPr>
            <w:tcW w:w="104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Venus Bio Therapeutics Sub LLC, and Saol International Limited.</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318"/>
        </w:trPr>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104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hyperlink>
          </w:p>
        </w:tc>
      </w:tr>
      <w:tr>
        <w:trPr>
          <w:trHeight w:val="196"/>
        </w:trPr>
        <w:tc>
          <w:tcPr>
            <w:tcW w:w="960" w:type="dxa"/>
            <w:vAlign w:val="bottom"/>
          </w:tcPr>
          <w:p>
            <w:pPr>
              <w:spacing w:after="0"/>
              <w:rPr>
                <w:sz w:val="17"/>
                <w:szCs w:val="17"/>
                <w:color w:val="auto"/>
              </w:rPr>
            </w:pPr>
          </w:p>
        </w:tc>
        <w:tc>
          <w:tcPr>
            <w:tcW w:w="4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Pursuant to Section 302 of the Sarbanes Oxley Act of 2002.</w:t>
              </w:r>
            </w:hyperlink>
          </w:p>
        </w:tc>
        <w:tc>
          <w:tcPr>
            <w:tcW w:w="6160" w:type="dxa"/>
            <w:vAlign w:val="bottom"/>
            <w:gridSpan w:val="3"/>
          </w:tcPr>
          <w:p>
            <w:pPr>
              <w:spacing w:after="0"/>
              <w:rPr>
                <w:sz w:val="17"/>
                <w:szCs w:val="17"/>
                <w:color w:val="auto"/>
              </w:rPr>
            </w:pPr>
          </w:p>
        </w:tc>
      </w:tr>
      <w:tr>
        <w:trPr>
          <w:trHeight w:val="318"/>
        </w:trPr>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104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hyperlink>
          </w:p>
        </w:tc>
      </w:tr>
      <w:tr>
        <w:trPr>
          <w:trHeight w:val="196"/>
        </w:trPr>
        <w:tc>
          <w:tcPr>
            <w:tcW w:w="960" w:type="dxa"/>
            <w:vAlign w:val="bottom"/>
          </w:tcPr>
          <w:p>
            <w:pPr>
              <w:spacing w:after="0"/>
              <w:rPr>
                <w:sz w:val="17"/>
                <w:szCs w:val="17"/>
                <w:color w:val="auto"/>
              </w:rPr>
            </w:pPr>
          </w:p>
        </w:tc>
        <w:tc>
          <w:tcPr>
            <w:tcW w:w="4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Pursuant to Section 302 of the Sarbanes Oxley Act of 2002.</w:t>
              </w:r>
            </w:hyperlink>
          </w:p>
        </w:tc>
        <w:tc>
          <w:tcPr>
            <w:tcW w:w="6160" w:type="dxa"/>
            <w:vAlign w:val="bottom"/>
            <w:gridSpan w:val="3"/>
          </w:tcPr>
          <w:p>
            <w:pPr>
              <w:spacing w:after="0"/>
              <w:rPr>
                <w:sz w:val="17"/>
                <w:szCs w:val="17"/>
                <w:color w:val="auto"/>
              </w:rPr>
            </w:pPr>
          </w:p>
        </w:tc>
      </w:tr>
      <w:tr>
        <w:trPr>
          <w:trHeight w:val="318"/>
        </w:trPr>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32.1*</w:t>
            </w:r>
          </w:p>
        </w:tc>
        <w:tc>
          <w:tcPr>
            <w:tcW w:w="104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 Act</w:t>
              </w:r>
            </w:hyperlink>
          </w:p>
        </w:tc>
      </w:tr>
      <w:tr>
        <w:trPr>
          <w:trHeight w:val="196"/>
        </w:trPr>
        <w:tc>
          <w:tcPr>
            <w:tcW w:w="9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58">
              <w:r>
                <w:rPr>
                  <w:rFonts w:ascii="Times New Roman" w:cs="Times New Roman" w:eastAsia="Times New Roman" w:hAnsi="Times New Roman"/>
                  <w:sz w:val="18"/>
                  <w:szCs w:val="18"/>
                  <w:color w:val="0000EE"/>
                  <w:w w:val="96"/>
                </w:rPr>
                <w:t>of 2002.</w:t>
              </w:r>
            </w:hyperlink>
          </w:p>
        </w:tc>
        <w:tc>
          <w:tcPr>
            <w:tcW w:w="9860" w:type="dxa"/>
            <w:vAlign w:val="bottom"/>
            <w:gridSpan w:val="4"/>
          </w:tcPr>
          <w:p>
            <w:pPr>
              <w:spacing w:after="0"/>
              <w:rPr>
                <w:sz w:val="17"/>
                <w:szCs w:val="17"/>
                <w:color w:val="auto"/>
              </w:rPr>
            </w:pPr>
          </w:p>
        </w:tc>
      </w:tr>
      <w:tr>
        <w:trPr>
          <w:trHeight w:val="318"/>
        </w:trPr>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32.2*</w:t>
            </w:r>
          </w:p>
        </w:tc>
        <w:tc>
          <w:tcPr>
            <w:tcW w:w="104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 Act</w:t>
              </w:r>
            </w:hyperlink>
          </w:p>
        </w:tc>
      </w:tr>
      <w:tr>
        <w:trPr>
          <w:trHeight w:val="196"/>
        </w:trPr>
        <w:tc>
          <w:tcPr>
            <w:tcW w:w="9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59">
              <w:r>
                <w:rPr>
                  <w:rFonts w:ascii="Times New Roman" w:cs="Times New Roman" w:eastAsia="Times New Roman" w:hAnsi="Times New Roman"/>
                  <w:sz w:val="18"/>
                  <w:szCs w:val="18"/>
                  <w:color w:val="0000EE"/>
                  <w:w w:val="96"/>
                </w:rPr>
                <w:t>of 2002.</w:t>
              </w:r>
            </w:hyperlink>
          </w:p>
        </w:tc>
        <w:tc>
          <w:tcPr>
            <w:tcW w:w="9860" w:type="dxa"/>
            <w:vAlign w:val="bottom"/>
            <w:gridSpan w:val="4"/>
          </w:tcPr>
          <w:p>
            <w:pPr>
              <w:spacing w:after="0"/>
              <w:rPr>
                <w:sz w:val="17"/>
                <w:szCs w:val="17"/>
                <w:color w:val="auto"/>
              </w:rPr>
            </w:pPr>
          </w:p>
        </w:tc>
      </w:tr>
      <w:tr>
        <w:trPr>
          <w:trHeight w:val="453"/>
        </w:trPr>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10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875030</wp:posOffset>
            </wp:positionV>
            <wp:extent cx="1209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93" w:lineRule="exact"/>
        <w:rPr>
          <w:sz w:val="20"/>
          <w:szCs w:val="20"/>
          <w:color w:val="auto"/>
        </w:rPr>
      </w:pPr>
    </w:p>
    <w:p>
      <w:pPr>
        <w:spacing w:after="0"/>
        <w:tabs>
          <w:tab w:leader="none" w:pos="6280" w:val="left"/>
          <w:tab w:leader="none" w:pos="844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Marvin White</w:t>
      </w:r>
    </w:p>
    <w:p>
      <w:pPr>
        <w:spacing w:after="0" w:line="3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74" w:lineRule="exact"/>
        <w:rPr>
          <w:sz w:val="20"/>
          <w:szCs w:val="20"/>
          <w:color w:val="auto"/>
        </w:rPr>
      </w:pPr>
    </w:p>
    <w:p>
      <w:pPr>
        <w:spacing w:after="0"/>
        <w:tabs>
          <w:tab w:leader="none" w:pos="6280" w:val="left"/>
          <w:tab w:leader="none" w:pos="824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Jeffrey G. Lamothe</w:t>
      </w:r>
    </w:p>
    <w:p>
      <w:pPr>
        <w:spacing w:after="0" w:line="3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2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33"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LLC PURCHASE AGREEMENT</w:t>
      </w:r>
    </w:p>
    <w:p>
      <w:pPr>
        <w:spacing w:after="0" w:line="206" w:lineRule="exact"/>
        <w:rPr>
          <w:sz w:val="20"/>
          <w:szCs w:val="20"/>
          <w:color w:val="auto"/>
        </w:rPr>
      </w:pPr>
    </w:p>
    <w:p>
      <w:pPr>
        <w:ind w:firstLine="82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AMENDMENT </w:t>
      </w:r>
      <w:r>
        <w:rPr>
          <w:rFonts w:ascii="Times New Roman" w:cs="Times New Roman" w:eastAsia="Times New Roman" w:hAnsi="Times New Roman"/>
          <w:sz w:val="22"/>
          <w:szCs w:val="22"/>
          <w:color w:val="auto"/>
        </w:rPr>
        <w:t>(the “Amendment”) to the LLC Purchase Agreement by and among Aptevo BioTherapeutics LLC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 Aptevo Therapeutics Inc. (“ATI”), Saol International Limited (“Purchaser”) and Venus BioTherapeutics Sub LLC (“Venus” and with Seller, ATI and Purchaser, each a “Party” and collectively the “Parties”) dated as of August 31, 2017 (the “Agreement”), is entered into as of the date set forth below. Terms used herein and not otherwise defined shall have the meaning given in the Agreement.</w:t>
      </w:r>
    </w:p>
    <w:p>
      <w:pPr>
        <w:spacing w:after="0" w:line="177" w:lineRule="exact"/>
        <w:rPr>
          <w:sz w:val="20"/>
          <w:szCs w:val="20"/>
          <w:color w:val="auto"/>
        </w:rPr>
      </w:pPr>
    </w:p>
    <w:p>
      <w:pPr>
        <w:ind w:right="240" w:firstLine="82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amend the Agreement to allow for the Milestone Payment to be made in a set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at a date earlier than originally provided for in the Agreement;</w:t>
      </w:r>
    </w:p>
    <w:p>
      <w:pPr>
        <w:spacing w:after="0" w:line="150" w:lineRule="exact"/>
        <w:rPr>
          <w:sz w:val="20"/>
          <w:szCs w:val="20"/>
          <w:color w:val="auto"/>
        </w:rPr>
      </w:pPr>
    </w:p>
    <w:p>
      <w:pPr>
        <w:ind w:right="560" w:firstLine="827"/>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other good and valuable consideration,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hereby acknowledged, the Parties agree as follows:</w:t>
      </w:r>
    </w:p>
    <w:p>
      <w:pPr>
        <w:spacing w:after="0" w:line="154" w:lineRule="exact"/>
        <w:rPr>
          <w:sz w:val="20"/>
          <w:szCs w:val="20"/>
          <w:color w:val="auto"/>
        </w:rPr>
      </w:pPr>
    </w:p>
    <w:p>
      <w:pPr>
        <w:ind w:right="620" w:firstLine="835"/>
        <w:spacing w:after="0" w:line="258" w:lineRule="auto"/>
        <w:tabs>
          <w:tab w:leader="none" w:pos="163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1.5 “Milestone Payment” is hereby amended by deleting the current language of Section 1.5 in its entirety and substituting the following language in its place:</w:t>
      </w:r>
    </w:p>
    <w:p>
      <w:pPr>
        <w:spacing w:after="0" w:line="154" w:lineRule="exact"/>
        <w:rPr>
          <w:sz w:val="20"/>
          <w:szCs w:val="20"/>
          <w:color w:val="auto"/>
        </w:rPr>
      </w:pPr>
    </w:p>
    <w:p>
      <w:pPr>
        <w:ind w:left="1380" w:right="220"/>
        <w:spacing w:after="0" w:line="241"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b w:val="1"/>
          <w:bCs w:val="1"/>
          <w:color w:val="auto"/>
        </w:rPr>
        <w:t>Milestone Payment.</w:t>
      </w:r>
      <w:r>
        <w:rPr>
          <w:rFonts w:ascii="Times New Roman" w:cs="Times New Roman" w:eastAsia="Times New Roman" w:hAnsi="Times New Roman"/>
          <w:sz w:val="22"/>
          <w:szCs w:val="22"/>
          <w:color w:val="auto"/>
        </w:rPr>
        <w:t xml:space="preserve"> In addition to the Upfront Purchase Price, and as additional consideration for the Membership Interests, Purchaser shall make, or cause to be made, a payment (the “Milestone Payment”) to Seller (by wire transfer of immediately available funds) in the amount of Four Million Two Hundred Fifty Thousand Dollars ($4,250,000), on or before August 7, 2019.”</w:t>
      </w:r>
    </w:p>
    <w:p>
      <w:pPr>
        <w:spacing w:after="0" w:line="176" w:lineRule="exact"/>
        <w:rPr>
          <w:sz w:val="20"/>
          <w:szCs w:val="20"/>
          <w:color w:val="auto"/>
        </w:rPr>
      </w:pPr>
    </w:p>
    <w:p>
      <w:pPr>
        <w:ind w:right="460" w:firstLine="835"/>
        <w:spacing w:after="0" w:line="244" w:lineRule="auto"/>
        <w:tabs>
          <w:tab w:leader="none" w:pos="163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by this Amendment, the terms and provisions of the Agreement shall remain unchanged and are in all other respects ratified and confirmed and shall remain in full force and effect in accordance with their terms. This Amendment shall not waive any Parties compliance with any terms of the Agreement.</w:t>
      </w:r>
    </w:p>
    <w:p>
      <w:pPr>
        <w:spacing w:after="0" w:line="173" w:lineRule="exact"/>
        <w:rPr>
          <w:rFonts w:ascii="Times New Roman" w:cs="Times New Roman" w:eastAsia="Times New Roman" w:hAnsi="Times New Roman"/>
          <w:sz w:val="22"/>
          <w:szCs w:val="22"/>
          <w:color w:val="auto"/>
        </w:rPr>
      </w:pPr>
    </w:p>
    <w:p>
      <w:pPr>
        <w:ind w:right="560" w:firstLine="835"/>
        <w:spacing w:after="0" w:line="258" w:lineRule="auto"/>
        <w:tabs>
          <w:tab w:leader="none" w:pos="163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construed in accordance with and governed by the laws of the State of Delaware without giving affect to its principles of conflicts of law.</w:t>
      </w:r>
    </w:p>
    <w:p>
      <w:pPr>
        <w:spacing w:after="0" w:line="158" w:lineRule="exact"/>
        <w:rPr>
          <w:rFonts w:ascii="Times New Roman" w:cs="Times New Roman" w:eastAsia="Times New Roman" w:hAnsi="Times New Roman"/>
          <w:sz w:val="22"/>
          <w:szCs w:val="22"/>
          <w:color w:val="auto"/>
        </w:rPr>
      </w:pPr>
    </w:p>
    <w:p>
      <w:pPr>
        <w:ind w:left="1640" w:hanging="805"/>
        <w:spacing w:after="0"/>
        <w:tabs>
          <w:tab w:leader="none" w:pos="1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w:t>
      </w:r>
    </w:p>
    <w:p>
      <w:pPr>
        <w:spacing w:after="0" w:line="206" w:lineRule="exact"/>
        <w:rPr>
          <w:rFonts w:ascii="Times New Roman" w:cs="Times New Roman" w:eastAsia="Times New Roman" w:hAnsi="Times New Roman"/>
          <w:sz w:val="22"/>
          <w:szCs w:val="22"/>
          <w:color w:val="auto"/>
        </w:rPr>
      </w:pPr>
    </w:p>
    <w:p>
      <w:pPr>
        <w:jc w:val="both"/>
        <w:ind w:right="520" w:firstLine="835"/>
        <w:spacing w:after="0" w:line="244" w:lineRule="auto"/>
        <w:tabs>
          <w:tab w:leader="none" w:pos="163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date of this Amendment, each reference in the Agreement to this “Agreement,” “hereof,” or words like import, shall, in each case, unless the context otherwise requires, be deemed to refer to the Agreement as amended hereby.</w:t>
      </w:r>
    </w:p>
    <w:p>
      <w:pPr>
        <w:spacing w:after="0" w:line="173" w:lineRule="exact"/>
        <w:rPr>
          <w:rFonts w:ascii="Times New Roman" w:cs="Times New Roman" w:eastAsia="Times New Roman" w:hAnsi="Times New Roman"/>
          <w:sz w:val="22"/>
          <w:szCs w:val="22"/>
          <w:color w:val="auto"/>
        </w:rPr>
      </w:pPr>
    </w:p>
    <w:p>
      <w:pPr>
        <w:ind w:left="1640" w:hanging="805"/>
        <w:spacing w:after="0"/>
        <w:tabs>
          <w:tab w:leader="none" w:pos="164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recitals to this Amendment are incorporated herein in their entirety by this reference thereto and deemed to</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 a part hereof.</w:t>
      </w:r>
    </w:p>
    <w:p>
      <w:pPr>
        <w:spacing w:after="0" w:line="182" w:lineRule="exact"/>
        <w:rPr>
          <w:rFonts w:ascii="Times New Roman" w:cs="Times New Roman" w:eastAsia="Times New Roman" w:hAnsi="Times New Roman"/>
          <w:sz w:val="21"/>
          <w:szCs w:val="21"/>
          <w:color w:val="auto"/>
        </w:rPr>
      </w:pPr>
    </w:p>
    <w:p>
      <w:pPr>
        <w:ind w:left="1640" w:hanging="805"/>
        <w:spacing w:after="0"/>
        <w:tabs>
          <w:tab w:leader="none" w:pos="1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inure to the benefit of the Parties and their respective successors and permitted assigns.</w:t>
      </w:r>
    </w:p>
    <w:p>
      <w:pPr>
        <w:spacing w:after="0" w:line="202" w:lineRule="exact"/>
        <w:rPr>
          <w:rFonts w:ascii="Times New Roman" w:cs="Times New Roman" w:eastAsia="Times New Roman" w:hAnsi="Times New Roman"/>
          <w:sz w:val="22"/>
          <w:szCs w:val="22"/>
          <w:color w:val="auto"/>
        </w:rPr>
      </w:pPr>
    </w:p>
    <w:p>
      <w:pPr>
        <w:ind w:left="45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Amendment as of the 6th day of August, 2019.</w:t>
      </w:r>
    </w:p>
    <w:p>
      <w:pPr>
        <w:spacing w:after="0" w:line="21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Aptevo BioTherapeutics LLC</w:t>
      </w:r>
    </w:p>
    <w:p>
      <w:pPr>
        <w:spacing w:after="0" w:line="206" w:lineRule="exact"/>
        <w:rPr>
          <w:sz w:val="20"/>
          <w:szCs w:val="20"/>
          <w:color w:val="auto"/>
        </w:rPr>
      </w:pPr>
    </w:p>
    <w:tbl>
      <w:tblPr>
        <w:tblLayout w:type="fixed"/>
        <w:tblInd w:w="6020" w:type="dxa"/>
        <w:tblCellMar>
          <w:top w:w="0" w:type="dxa"/>
          <w:left w:w="0" w:type="dxa"/>
          <w:bottom w:w="0" w:type="dxa"/>
          <w:right w:w="0" w:type="dxa"/>
        </w:tblCellMar>
      </w:tblPr>
      <w:tr>
        <w:trPr>
          <w:trHeight w:val="271"/>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Marvin White</w:t>
            </w:r>
          </w:p>
        </w:tc>
      </w:tr>
      <w:tr>
        <w:trPr>
          <w:trHeight w:val="237"/>
        </w:trPr>
        <w:tc>
          <w:tcPr>
            <w:tcW w:w="8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36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Marvin White</w:t>
            </w:r>
          </w:p>
        </w:tc>
      </w:tr>
      <w:tr>
        <w:trPr>
          <w:trHeight w:val="237"/>
        </w:trPr>
        <w:tc>
          <w:tcPr>
            <w:tcW w:w="8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Its:</w:t>
            </w:r>
          </w:p>
        </w:tc>
        <w:tc>
          <w:tcPr>
            <w:tcW w:w="36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President</w:t>
            </w:r>
          </w:p>
        </w:tc>
      </w:tr>
      <w:tr>
        <w:trPr>
          <w:trHeight w:val="465"/>
        </w:trPr>
        <w:tc>
          <w:tcPr>
            <w:tcW w:w="4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Aptevo Therapeutics Inc.</w:t>
            </w:r>
          </w:p>
        </w:tc>
      </w:tr>
      <w:tr>
        <w:trPr>
          <w:trHeight w:val="447"/>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Marvin White</w:t>
            </w:r>
          </w:p>
        </w:tc>
      </w:tr>
      <w:tr>
        <w:trPr>
          <w:trHeight w:val="237"/>
        </w:trPr>
        <w:tc>
          <w:tcPr>
            <w:tcW w:w="8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36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Marvin White</w:t>
            </w:r>
          </w:p>
        </w:tc>
      </w:tr>
      <w:tr>
        <w:trPr>
          <w:trHeight w:val="237"/>
        </w:trPr>
        <w:tc>
          <w:tcPr>
            <w:tcW w:w="8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Its:</w:t>
            </w:r>
          </w:p>
        </w:tc>
        <w:tc>
          <w:tcPr>
            <w:tcW w:w="36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President and CEO</w:t>
            </w:r>
          </w:p>
        </w:tc>
      </w:tr>
      <w:tr>
        <w:trPr>
          <w:trHeight w:val="465"/>
        </w:trPr>
        <w:tc>
          <w:tcPr>
            <w:tcW w:w="4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Saol International Limited</w:t>
            </w:r>
          </w:p>
        </w:tc>
      </w:tr>
      <w:tr>
        <w:trPr>
          <w:trHeight w:val="447"/>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Kevin Insley</w:t>
            </w:r>
          </w:p>
        </w:tc>
      </w:tr>
      <w:tr>
        <w:trPr>
          <w:trHeight w:val="237"/>
        </w:trPr>
        <w:tc>
          <w:tcPr>
            <w:tcW w:w="8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36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Kevin Insley</w:t>
            </w:r>
          </w:p>
        </w:tc>
      </w:tr>
      <w:tr>
        <w:trPr>
          <w:trHeight w:val="237"/>
        </w:trPr>
        <w:tc>
          <w:tcPr>
            <w:tcW w:w="8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Its:</w:t>
            </w:r>
          </w:p>
        </w:tc>
        <w:tc>
          <w:tcPr>
            <w:tcW w:w="36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CEO</w:t>
            </w:r>
          </w:p>
        </w:tc>
      </w:tr>
    </w:tbl>
    <w:p>
      <w:pPr>
        <w:spacing w:after="0" w:line="18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Venus BioTherapeutics Sub LLC</w:t>
      </w:r>
    </w:p>
    <w:p>
      <w:pPr>
        <w:spacing w:after="0" w:line="206" w:lineRule="exact"/>
        <w:rPr>
          <w:sz w:val="20"/>
          <w:szCs w:val="20"/>
          <w:color w:val="auto"/>
        </w:rPr>
      </w:pPr>
    </w:p>
    <w:tbl>
      <w:tblPr>
        <w:tblLayout w:type="fixed"/>
        <w:tblInd w:w="6020" w:type="dxa"/>
        <w:tblCellMar>
          <w:top w:w="0" w:type="dxa"/>
          <w:left w:w="0" w:type="dxa"/>
          <w:bottom w:w="0" w:type="dxa"/>
          <w:right w:w="0" w:type="dxa"/>
        </w:tblCellMar>
      </w:tblPr>
      <w:tr>
        <w:trPr>
          <w:trHeight w:val="271"/>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Kevin Insley</w:t>
            </w:r>
          </w:p>
        </w:tc>
      </w:tr>
      <w:tr>
        <w:trPr>
          <w:trHeight w:val="237"/>
        </w:trPr>
        <w:tc>
          <w:tcPr>
            <w:tcW w:w="8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36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Kevin Insley</w:t>
            </w:r>
          </w:p>
        </w:tc>
      </w:tr>
      <w:tr>
        <w:trPr>
          <w:trHeight w:val="237"/>
        </w:trPr>
        <w:tc>
          <w:tcPr>
            <w:tcW w:w="8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Its:</w:t>
            </w:r>
          </w:p>
        </w:tc>
        <w:tc>
          <w:tcPr>
            <w:tcW w:w="36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Authorized Signatory</w:t>
            </w:r>
          </w:p>
        </w:tc>
      </w:tr>
    </w:tbl>
    <w:p>
      <w:pPr>
        <w:sectPr>
          <w:pgSz w:w="11900" w:h="16838" w:orient="portrait"/>
          <w:cols w:equalWidth="0" w:num="1">
            <w:col w:w="10580"/>
          </w:cols>
          <w:pgMar w:left="1080" w:top="324"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00" w:val="left"/>
          <w:tab w:leader="none" w:pos="810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Marvin White</w:t>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Lamothe, certify that:</w:t>
      </w:r>
    </w:p>
    <w:p>
      <w:pPr>
        <w:spacing w:after="0" w:line="225"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00" w:val="left"/>
          <w:tab w:leader="none" w:pos="812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Jeff Lamothe</w:t>
      </w:r>
    </w:p>
    <w:p>
      <w:pPr>
        <w:spacing w:after="0" w:line="3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Treasurer</w:t>
      </w:r>
    </w:p>
    <w:p>
      <w:pPr>
        <w:sectPr>
          <w:pgSz w:w="11900" w:h="16838" w:orient="portrait"/>
          <w:cols w:equalWidth="0" w:num="1">
            <w:col w:w="11420"/>
          </w:cols>
          <w:pgMar w:left="240" w:top="117"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Aptevo Therapeutics Inc. on Form 10-Q for the period ending June 30, 2019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0" w:lineRule="exact"/>
        <w:rPr>
          <w:sz w:val="20"/>
          <w:szCs w:val="20"/>
          <w:color w:val="auto"/>
        </w:rPr>
      </w:pPr>
    </w:p>
    <w:p>
      <w:pPr>
        <w:spacing w:after="0"/>
        <w:tabs>
          <w:tab w:leader="none" w:pos="6800" w:val="left"/>
          <w:tab w:leader="none" w:pos="862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17145</wp:posOffset>
            </wp:positionV>
            <wp:extent cx="2744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Marvin White</w:t>
      </w:r>
    </w:p>
    <w:p>
      <w:pPr>
        <w:spacing w:after="0" w:line="31"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420"/>
          </w:cols>
          <w:pgMar w:left="240" w:top="117"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18"/>
        <w:spacing w:after="0" w:line="313" w:lineRule="auto"/>
        <w:rPr>
          <w:sz w:val="20"/>
          <w:szCs w:val="20"/>
          <w:color w:val="auto"/>
        </w:rPr>
      </w:pPr>
      <w:r>
        <w:rPr>
          <w:rFonts w:ascii="Times New Roman" w:cs="Times New Roman" w:eastAsia="Times New Roman" w:hAnsi="Times New Roman"/>
          <w:sz w:val="17"/>
          <w:szCs w:val="17"/>
          <w:color w:val="auto"/>
        </w:rPr>
        <w:t>In connection with the Annual Report of Aptevo Inc. on Form 10-Q for the period ending June 30, 2019 as filed with the Securities and Exchange Commission on the date hereof (the “Report”), I certify, pursuant to 18 U.S.C. § 1350, as adopted pursuant to § 906 of the Sarbanes-Oxley Act of 2002, that:</w:t>
      </w:r>
    </w:p>
    <w:p>
      <w:pPr>
        <w:spacing w:after="0" w:line="30" w:lineRule="exact"/>
        <w:rPr>
          <w:sz w:val="20"/>
          <w:szCs w:val="20"/>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0" w:lineRule="exact"/>
        <w:rPr>
          <w:sz w:val="20"/>
          <w:szCs w:val="20"/>
          <w:color w:val="auto"/>
        </w:rPr>
      </w:pPr>
    </w:p>
    <w:p>
      <w:pPr>
        <w:spacing w:after="0"/>
        <w:tabs>
          <w:tab w:leader="none" w:pos="6800" w:val="left"/>
          <w:tab w:leader="none" w:pos="864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17145</wp:posOffset>
            </wp:positionV>
            <wp:extent cx="274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Jeff Lamothe</w:t>
      </w:r>
    </w:p>
    <w:p>
      <w:pPr>
        <w:spacing w:after="0" w:line="3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and Treasurer</w:t>
      </w:r>
    </w:p>
    <w:p>
      <w:pPr>
        <w:spacing w:after="0" w:line="200" w:lineRule="exact"/>
        <w:rPr>
          <w:sz w:val="20"/>
          <w:szCs w:val="20"/>
          <w:color w:val="auto"/>
        </w:rPr>
      </w:pPr>
    </w:p>
    <w:p>
      <w:pPr>
        <w:spacing w:after="0" w:line="22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lowerLetter"/>
      <w:start w:val="3"/>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2"/>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2019-12-28T07:23:53Z</dcterms:created>
  <dcterms:modified xsi:type="dcterms:W3CDTF">2019-12-28T07:23:53Z</dcterms:modified>
</cp:coreProperties>
</file>